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269E4">
      <w:pPr>
        <w:widowControl w:val="0"/>
        <w:kinsoku/>
        <w:jc w:val="center"/>
        <w:outlineLvl w:val="0"/>
        <w:rPr>
          <w:rFonts w:ascii="Times New Roman" w:hAnsi="Times New Roman" w:eastAsia="方正小标宋_GBK" w:cs="Times New Roman"/>
          <w:bCs/>
          <w:color w:val="000000" w:themeColor="text1"/>
          <w:sz w:val="72"/>
          <w:szCs w:val="72"/>
          <w:highlight w:val="none"/>
          <w14:textFill>
            <w14:solidFill>
              <w14:schemeClr w14:val="tx1"/>
            </w14:solidFill>
          </w14:textFill>
        </w:rPr>
      </w:pPr>
      <w:bookmarkStart w:id="48" w:name="_GoBack"/>
      <w:bookmarkEnd w:id="48"/>
      <w:r>
        <mc:AlternateContent>
          <mc:Choice Requires="wps">
            <w:drawing>
              <wp:anchor distT="0" distB="0" distL="114300" distR="114300" simplePos="0" relativeHeight="251662336" behindDoc="1" locked="0" layoutInCell="1" allowOverlap="1">
                <wp:simplePos x="0" y="0"/>
                <wp:positionH relativeFrom="column">
                  <wp:posOffset>4115435</wp:posOffset>
                </wp:positionH>
                <wp:positionV relativeFrom="paragraph">
                  <wp:posOffset>470535</wp:posOffset>
                </wp:positionV>
                <wp:extent cx="1650365" cy="348615"/>
                <wp:effectExtent l="0" t="0" r="6985" b="13335"/>
                <wp:wrapTight wrapText="bothSides">
                  <wp:wrapPolygon>
                    <wp:start x="0" y="0"/>
                    <wp:lineTo x="0" y="20734"/>
                    <wp:lineTo x="21442" y="20734"/>
                    <wp:lineTo x="21442" y="0"/>
                    <wp:lineTo x="0" y="0"/>
                  </wp:wrapPolygon>
                </wp:wrapTight>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1650365" cy="348615"/>
                        </a:xfrm>
                        <a:prstGeom prst="rect">
                          <a:avLst/>
                        </a:prstGeom>
                        <a:solidFill>
                          <a:srgbClr val="FFFFFF"/>
                        </a:solidFill>
                        <a:ln>
                          <a:noFill/>
                        </a:ln>
                      </wps:spPr>
                      <wps:txbx>
                        <w:txbxContent>
                          <w:p w14:paraId="685BCEE4">
                            <w:pPr>
                              <w:adjustRightInd w:val="0"/>
                              <w:snapToGrid w:val="0"/>
                              <w:rPr>
                                <w:rFonts w:hint="eastAsia" w:ascii="黑体" w:hAnsi="黑体" w:eastAsia="黑体"/>
                                <w:b/>
                                <w:bCs/>
                                <w:spacing w:val="24"/>
                                <w:sz w:val="30"/>
                                <w:szCs w:val="30"/>
                                <w:lang w:eastAsia="zh-CN"/>
                              </w:rPr>
                            </w:pPr>
                            <w:r>
                              <w:rPr>
                                <w:rFonts w:hint="eastAsia" w:ascii="黑体" w:hAnsi="黑体" w:eastAsia="黑体"/>
                                <w:b/>
                                <w:bCs/>
                                <w:spacing w:val="24"/>
                                <w:sz w:val="30"/>
                                <w:szCs w:val="30"/>
                              </w:rPr>
                              <w:t>D</w:t>
                            </w:r>
                            <w:r>
                              <w:rPr>
                                <w:rFonts w:ascii="黑体" w:hAnsi="黑体" w:eastAsia="黑体"/>
                                <w:b/>
                                <w:bCs/>
                                <w:spacing w:val="24"/>
                                <w:sz w:val="30"/>
                                <w:szCs w:val="30"/>
                              </w:rPr>
                              <w:t>HHP-0</w:t>
                            </w:r>
                            <w:r>
                              <w:rPr>
                                <w:rFonts w:hint="eastAsia" w:ascii="黑体" w:hAnsi="黑体" w:eastAsia="黑体"/>
                                <w:b/>
                                <w:bCs/>
                                <w:spacing w:val="24"/>
                                <w:sz w:val="30"/>
                                <w:szCs w:val="30"/>
                                <w:lang w:val="en-US" w:eastAsia="zh-CN"/>
                              </w:rPr>
                              <w:t>2</w:t>
                            </w:r>
                            <w:r>
                              <w:rPr>
                                <w:rFonts w:ascii="黑体" w:hAnsi="黑体" w:eastAsia="黑体"/>
                                <w:b/>
                                <w:bCs/>
                                <w:spacing w:val="24"/>
                                <w:sz w:val="30"/>
                                <w:szCs w:val="30"/>
                              </w:rPr>
                              <w:t>-2</w:t>
                            </w:r>
                            <w:r>
                              <w:rPr>
                                <w:rFonts w:hint="eastAsia" w:ascii="黑体" w:hAnsi="黑体" w:eastAsia="黑体"/>
                                <w:b/>
                                <w:bCs/>
                                <w:spacing w:val="24"/>
                                <w:sz w:val="30"/>
                                <w:szCs w:val="30"/>
                                <w:lang w:val="en-US" w:eastAsia="zh-CN"/>
                              </w:rPr>
                              <w:t>6</w:t>
                            </w:r>
                            <w:r>
                              <w:rPr>
                                <w:rFonts w:ascii="黑体" w:hAnsi="黑体" w:eastAsia="黑体"/>
                                <w:b/>
                                <w:bCs/>
                                <w:spacing w:val="24"/>
                                <w:sz w:val="30"/>
                                <w:szCs w:val="30"/>
                              </w:rPr>
                              <w:t>0</w:t>
                            </w:r>
                            <w:r>
                              <w:rPr>
                                <w:rFonts w:hint="eastAsia" w:ascii="黑体" w:hAnsi="黑体" w:eastAsia="黑体"/>
                                <w:b/>
                                <w:bCs/>
                                <w:spacing w:val="24"/>
                                <w:sz w:val="30"/>
                                <w:szCs w:val="30"/>
                                <w:lang w:val="en-US" w:eastAsia="zh-CN"/>
                              </w:rPr>
                              <w:t>5</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4.05pt;margin-top:37.05pt;height:27.45pt;width:129.95pt;mso-wrap-distance-left:9pt;mso-wrap-distance-right:9pt;z-index:-251654144;mso-width-relative:page;mso-height-relative:page;" fillcolor="#FFFFFF" filled="t" stroked="f" coordsize="21600,21600" wrapcoords="0 0 0 20734 21442 20734 21442 0 0 0" o:gfxdata="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kjWi&#10;1wAAAAoBAAAPAAAAAAAAAAEAIAAAACIAAABkcnMvZG93bnJldi54bWxQSwECFAAUAAAACACHTuJA&#10;uh7I3CICAAAzBAAADgAAAAAAAAABACAAAAAmAQAAZHJzL2Uyb0RvYy54bWxQSwUGAAAAAAYABgBZ&#10;AQAAugUAAAAA&#10;">
                <v:fill on="t" focussize="0,0"/>
                <v:stroke on="f"/>
                <v:imagedata o:title=""/>
                <o:lock v:ext="edit" aspectratio="f"/>
                <v:textbox>
                  <w:txbxContent>
                    <w:p w14:paraId="685BCEE4">
                      <w:pPr>
                        <w:adjustRightInd w:val="0"/>
                        <w:snapToGrid w:val="0"/>
                        <w:rPr>
                          <w:rFonts w:hint="eastAsia" w:ascii="黑体" w:hAnsi="黑体" w:eastAsia="黑体"/>
                          <w:b/>
                          <w:bCs/>
                          <w:spacing w:val="24"/>
                          <w:sz w:val="30"/>
                          <w:szCs w:val="30"/>
                          <w:lang w:eastAsia="zh-CN"/>
                        </w:rPr>
                      </w:pPr>
                      <w:r>
                        <w:rPr>
                          <w:rFonts w:hint="eastAsia" w:ascii="黑体" w:hAnsi="黑体" w:eastAsia="黑体"/>
                          <w:b/>
                          <w:bCs/>
                          <w:spacing w:val="24"/>
                          <w:sz w:val="30"/>
                          <w:szCs w:val="30"/>
                        </w:rPr>
                        <w:t>D</w:t>
                      </w:r>
                      <w:r>
                        <w:rPr>
                          <w:rFonts w:ascii="黑体" w:hAnsi="黑体" w:eastAsia="黑体"/>
                          <w:b/>
                          <w:bCs/>
                          <w:spacing w:val="24"/>
                          <w:sz w:val="30"/>
                          <w:szCs w:val="30"/>
                        </w:rPr>
                        <w:t>HHP-0</w:t>
                      </w:r>
                      <w:r>
                        <w:rPr>
                          <w:rFonts w:hint="eastAsia" w:ascii="黑体" w:hAnsi="黑体" w:eastAsia="黑体"/>
                          <w:b/>
                          <w:bCs/>
                          <w:spacing w:val="24"/>
                          <w:sz w:val="30"/>
                          <w:szCs w:val="30"/>
                          <w:lang w:val="en-US" w:eastAsia="zh-CN"/>
                        </w:rPr>
                        <w:t>2</w:t>
                      </w:r>
                      <w:r>
                        <w:rPr>
                          <w:rFonts w:ascii="黑体" w:hAnsi="黑体" w:eastAsia="黑体"/>
                          <w:b/>
                          <w:bCs/>
                          <w:spacing w:val="24"/>
                          <w:sz w:val="30"/>
                          <w:szCs w:val="30"/>
                        </w:rPr>
                        <w:t>-2</w:t>
                      </w:r>
                      <w:r>
                        <w:rPr>
                          <w:rFonts w:hint="eastAsia" w:ascii="黑体" w:hAnsi="黑体" w:eastAsia="黑体"/>
                          <w:b/>
                          <w:bCs/>
                          <w:spacing w:val="24"/>
                          <w:sz w:val="30"/>
                          <w:szCs w:val="30"/>
                          <w:lang w:val="en-US" w:eastAsia="zh-CN"/>
                        </w:rPr>
                        <w:t>6</w:t>
                      </w:r>
                      <w:r>
                        <w:rPr>
                          <w:rFonts w:ascii="黑体" w:hAnsi="黑体" w:eastAsia="黑体"/>
                          <w:b/>
                          <w:bCs/>
                          <w:spacing w:val="24"/>
                          <w:sz w:val="30"/>
                          <w:szCs w:val="30"/>
                        </w:rPr>
                        <w:t>0</w:t>
                      </w:r>
                      <w:r>
                        <w:rPr>
                          <w:rFonts w:hint="eastAsia" w:ascii="黑体" w:hAnsi="黑体" w:eastAsia="黑体"/>
                          <w:b/>
                          <w:bCs/>
                          <w:spacing w:val="24"/>
                          <w:sz w:val="30"/>
                          <w:szCs w:val="30"/>
                          <w:lang w:val="en-US" w:eastAsia="zh-CN"/>
                        </w:rPr>
                        <w:t>5</w:t>
                      </w:r>
                    </w:p>
                  </w:txbxContent>
                </v:textbox>
                <w10:wrap type="tight"/>
              </v:rect>
            </w:pict>
          </mc:Fallback>
        </mc:AlternateContent>
      </w:r>
      <w:r>
        <w:rPr>
          <w:rFonts w:hint="eastAsia"/>
        </w:rPr>
        <w:drawing>
          <wp:anchor distT="0" distB="0" distL="114300" distR="114300" simplePos="0" relativeHeight="251659264" behindDoc="1" locked="0" layoutInCell="1" allowOverlap="1">
            <wp:simplePos x="0" y="0"/>
            <wp:positionH relativeFrom="column">
              <wp:posOffset>4067810</wp:posOffset>
            </wp:positionH>
            <wp:positionV relativeFrom="paragraph">
              <wp:posOffset>55245</wp:posOffset>
            </wp:positionV>
            <wp:extent cx="1416685" cy="403860"/>
            <wp:effectExtent l="0" t="0" r="12065" b="15240"/>
            <wp:wrapNone/>
            <wp:docPr id="9" name="图片 9" descr="89cd6500ee51ec12c134c26c67fd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9cd6500ee51ec12c134c26c67fd018"/>
                    <pic:cNvPicPr>
                      <a:picLocks noChangeAspect="1"/>
                    </pic:cNvPicPr>
                  </pic:nvPicPr>
                  <pic:blipFill>
                    <a:blip r:embed="rId9">
                      <a:clrChange>
                        <a:clrFrom>
                          <a:srgbClr val="FFFFFF">
                            <a:alpha val="100000"/>
                          </a:srgbClr>
                        </a:clrFrom>
                        <a:clrTo>
                          <a:srgbClr val="FFFFFF">
                            <a:alpha val="100000"/>
                            <a:alpha val="0"/>
                          </a:srgbClr>
                        </a:clrTo>
                      </a:clrChange>
                    </a:blip>
                    <a:srcRect l="29671" t="35103" r="31485" b="45188"/>
                    <a:stretch>
                      <a:fillRect/>
                    </a:stretch>
                  </pic:blipFill>
                  <pic:spPr>
                    <a:xfrm>
                      <a:off x="0" y="0"/>
                      <a:ext cx="1416685" cy="403860"/>
                    </a:xfrm>
                    <a:prstGeom prst="rect">
                      <a:avLst/>
                    </a:prstGeom>
                    <a:ln>
                      <a:noFill/>
                    </a:ln>
                  </pic:spPr>
                </pic:pic>
              </a:graphicData>
            </a:graphic>
          </wp:anchor>
        </w:drawing>
      </w:r>
    </w:p>
    <w:p w14:paraId="4DA53E7F">
      <w:pPr>
        <w:widowControl w:val="0"/>
        <w:kinsoku/>
        <w:jc w:val="center"/>
        <w:outlineLvl w:val="0"/>
        <w:rPr>
          <w:rFonts w:ascii="Times New Roman" w:hAnsi="Times New Roman" w:eastAsia="方正小标宋_GBK" w:cs="Times New Roman"/>
          <w:bCs/>
          <w:color w:val="000000" w:themeColor="text1"/>
          <w:sz w:val="72"/>
          <w:szCs w:val="72"/>
          <w:highlight w:val="none"/>
          <w14:textFill>
            <w14:solidFill>
              <w14:schemeClr w14:val="tx1"/>
            </w14:solidFill>
          </w14:textFill>
        </w:rPr>
      </w:pPr>
    </w:p>
    <w:p w14:paraId="575B72D7">
      <w:pPr>
        <w:widowControl w:val="0"/>
        <w:kinsoku/>
        <w:jc w:val="center"/>
        <w:outlineLvl w:val="0"/>
        <w:rPr>
          <w:rFonts w:ascii="Times New Roman" w:hAnsi="Times New Roman" w:eastAsia="方正小标宋_GBK" w:cs="Times New Roman"/>
          <w:bCs/>
          <w:color w:val="000000" w:themeColor="text1"/>
          <w:sz w:val="72"/>
          <w:szCs w:val="72"/>
          <w:highlight w:val="none"/>
          <w:lang w:eastAsia="zh-CN"/>
          <w14:textFill>
            <w14:solidFill>
              <w14:schemeClr w14:val="tx1"/>
            </w14:solidFill>
          </w14:textFill>
        </w:rPr>
      </w:pPr>
      <w:r>
        <w:rPr>
          <w:rFonts w:ascii="Times New Roman" w:hAnsi="Times New Roman" w:eastAsia="方正小标宋_GBK" w:cs="Times New Roman"/>
          <w:bCs/>
          <w:color w:val="000000" w:themeColor="text1"/>
          <w:sz w:val="72"/>
          <w:szCs w:val="72"/>
          <w:highlight w:val="none"/>
          <w:lang w:eastAsia="zh-CN"/>
          <w14:textFill>
            <w14:solidFill>
              <w14:schemeClr w14:val="tx1"/>
            </w14:solidFill>
          </w14:textFill>
        </w:rPr>
        <w:t>建设项目环境影响报告表</w:t>
      </w:r>
    </w:p>
    <w:p w14:paraId="6A5180BD">
      <w:pPr>
        <w:widowControl w:val="0"/>
        <w:kinsoku/>
        <w:spacing w:before="192" w:beforeLines="80"/>
        <w:jc w:val="center"/>
        <w:rPr>
          <w:rFonts w:ascii="Times New Roman" w:hAnsi="Times New Roman" w:eastAsia="楷体_GB2312" w:cs="Times New Roman"/>
          <w:bCs/>
          <w:color w:val="000000" w:themeColor="text1"/>
          <w:sz w:val="48"/>
          <w:szCs w:val="48"/>
          <w:highlight w:val="none"/>
          <w:lang w:eastAsia="zh-CN"/>
          <w14:textFill>
            <w14:solidFill>
              <w14:schemeClr w14:val="tx1"/>
            </w14:solidFill>
          </w14:textFill>
        </w:rPr>
      </w:pPr>
    </w:p>
    <w:p w14:paraId="53C4BC4F">
      <w:pPr>
        <w:widowControl w:val="0"/>
        <w:kinsoku/>
        <w:spacing w:before="192" w:beforeLines="80"/>
        <w:jc w:val="center"/>
        <w:rPr>
          <w:rFonts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eastAsia="楷体_GB2312" w:cs="Times New Roman"/>
          <w:bCs/>
          <w:color w:val="000000" w:themeColor="text1"/>
          <w:sz w:val="48"/>
          <w:szCs w:val="48"/>
          <w:highlight w:val="none"/>
          <w:lang w:eastAsia="zh-CN"/>
          <w14:textFill>
            <w14:solidFill>
              <w14:schemeClr w14:val="tx1"/>
            </w14:solidFill>
          </w14:textFill>
        </w:rPr>
        <w:t>（生态影响类）</w:t>
      </w:r>
      <w:bookmarkStart w:id="0" w:name="OLE_LINK1"/>
    </w:p>
    <w:bookmarkEnd w:id="0"/>
    <w:p w14:paraId="6623C44D">
      <w:pPr>
        <w:widowControl w:val="0"/>
        <w:kinsoku/>
        <w:spacing w:line="360" w:lineRule="auto"/>
        <w:ind w:left="1600" w:hanging="1600" w:hangingChars="500"/>
        <w:jc w:val="center"/>
        <w:rPr>
          <w:rFonts w:ascii="Times New Roman" w:hAnsi="Times New Roman" w:eastAsia="仿宋_GB2312" w:cs="Times New Roman"/>
          <w:color w:val="000000" w:themeColor="text1"/>
          <w:sz w:val="32"/>
          <w:szCs w:val="32"/>
          <w:highlight w:val="none"/>
          <w:u w:val="none"/>
          <w:lang w:val="zh-CN" w:eastAsia="zh-CN"/>
          <w14:textFill>
            <w14:solidFill>
              <w14:schemeClr w14:val="tx1"/>
            </w14:solidFill>
          </w14:textFill>
        </w:rPr>
      </w:pPr>
      <w:bookmarkStart w:id="1" w:name="_Hlk57883728"/>
      <w:r>
        <w:rPr>
          <w:rFonts w:hint="eastAsia" w:ascii="Times New Roman" w:hAnsi="Times New Roman" w:eastAsia="仿宋_GB2312" w:cs="Times New Roman"/>
          <w:color w:val="000000" w:themeColor="text1"/>
          <w:sz w:val="32"/>
          <w:szCs w:val="32"/>
          <w:highlight w:val="none"/>
          <w:u w:val="none"/>
          <w:lang w:val="zh-CN"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u w:val="none"/>
          <w:lang w:val="en-US" w:eastAsia="zh-CN"/>
          <w14:textFill>
            <w14:solidFill>
              <w14:schemeClr w14:val="tx1"/>
            </w14:solidFill>
          </w14:textFill>
        </w:rPr>
        <w:t>报批稿</w:t>
      </w:r>
      <w:r>
        <w:rPr>
          <w:rFonts w:hint="eastAsia" w:ascii="Times New Roman" w:hAnsi="Times New Roman" w:eastAsia="仿宋_GB2312" w:cs="Times New Roman"/>
          <w:color w:val="000000" w:themeColor="text1"/>
          <w:sz w:val="32"/>
          <w:szCs w:val="32"/>
          <w:highlight w:val="none"/>
          <w:u w:val="none"/>
          <w:lang w:val="zh-CN" w:eastAsia="zh-CN"/>
          <w14:textFill>
            <w14:solidFill>
              <w14:schemeClr w14:val="tx1"/>
            </w14:solidFill>
          </w14:textFill>
        </w:rPr>
        <w:t>）</w:t>
      </w:r>
    </w:p>
    <w:p w14:paraId="052EB4E3">
      <w:pPr>
        <w:pStyle w:val="4"/>
        <w:kinsoku/>
        <w:rPr>
          <w:rFonts w:ascii="Times New Roman" w:hAnsi="Times New Roman" w:cs="Times New Roman"/>
          <w:color w:val="000000" w:themeColor="text1"/>
          <w:highlight w:val="none"/>
          <w:lang w:eastAsia="zh-CN"/>
          <w14:textFill>
            <w14:solidFill>
              <w14:schemeClr w14:val="tx1"/>
            </w14:solidFill>
          </w14:textFill>
        </w:rPr>
      </w:pPr>
    </w:p>
    <w:p w14:paraId="6BDE260E">
      <w:pPr>
        <w:widowControl w:val="0"/>
        <w:kinsoku/>
        <w:ind w:firstLine="1040"/>
        <w:jc w:val="both"/>
        <w:rPr>
          <w:rFonts w:ascii="Times New Roman" w:hAnsi="Times New Roman" w:eastAsia="仿宋" w:cs="Times New Roman"/>
          <w:color w:val="000000" w:themeColor="text1"/>
          <w:sz w:val="44"/>
          <w:szCs w:val="44"/>
          <w:highlight w:val="none"/>
          <w:lang w:eastAsia="zh-CN"/>
          <w14:textFill>
            <w14:solidFill>
              <w14:schemeClr w14:val="tx1"/>
            </w14:solidFill>
          </w14:textFill>
        </w:rPr>
      </w:pPr>
    </w:p>
    <w:p w14:paraId="4466CCC4">
      <w:pPr>
        <w:widowControl w:val="0"/>
        <w:kinsoku/>
        <w:ind w:firstLine="1040"/>
        <w:jc w:val="both"/>
        <w:rPr>
          <w:rFonts w:ascii="Times New Roman" w:hAnsi="Times New Roman" w:eastAsia="仿宋" w:cs="Times New Roman"/>
          <w:color w:val="000000" w:themeColor="text1"/>
          <w:sz w:val="44"/>
          <w:szCs w:val="44"/>
          <w:highlight w:val="none"/>
          <w:lang w:eastAsia="zh-CN"/>
          <w14:textFill>
            <w14:solidFill>
              <w14:schemeClr w14:val="tx1"/>
            </w14:solidFill>
          </w14:textFill>
        </w:rPr>
      </w:pPr>
    </w:p>
    <w:p w14:paraId="36CA4169">
      <w:pPr>
        <w:widowControl w:val="0"/>
        <w:kinsoku/>
        <w:ind w:firstLine="1040"/>
        <w:jc w:val="both"/>
        <w:rPr>
          <w:rFonts w:ascii="Times New Roman" w:hAnsi="Times New Roman" w:eastAsia="仿宋" w:cs="Times New Roman"/>
          <w:color w:val="000000" w:themeColor="text1"/>
          <w:sz w:val="44"/>
          <w:szCs w:val="44"/>
          <w:highlight w:val="none"/>
          <w:lang w:eastAsia="zh-CN"/>
          <w14:textFill>
            <w14:solidFill>
              <w14:schemeClr w14:val="tx1"/>
            </w14:solidFill>
          </w14:textFill>
        </w:rPr>
      </w:pPr>
    </w:p>
    <w:p w14:paraId="083C3A8E">
      <w:pPr>
        <w:pStyle w:val="4"/>
        <w:kinsoku/>
        <w:rPr>
          <w:rFonts w:ascii="Times New Roman" w:hAnsi="Times New Roman" w:cs="Times New Roman"/>
          <w:color w:val="000000" w:themeColor="text1"/>
          <w:highlight w:val="none"/>
          <w:lang w:eastAsia="zh-CN"/>
          <w14:textFill>
            <w14:solidFill>
              <w14:schemeClr w14:val="tx1"/>
            </w14:solidFill>
          </w14:textFill>
        </w:rPr>
      </w:pPr>
    </w:p>
    <w:bookmarkEnd w:id="1"/>
    <w:p w14:paraId="099F1229">
      <w:pPr>
        <w:widowControl w:val="0"/>
        <w:kinsoku/>
        <w:spacing w:line="360" w:lineRule="auto"/>
        <w:ind w:left="1600" w:hanging="1600" w:hangingChars="500"/>
        <w:jc w:val="both"/>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ascii="Times New Roman" w:hAnsi="Times New Roman" w:eastAsia="仿宋_GB2312" w:cs="Times New Roman"/>
          <w:color w:val="000000" w:themeColor="text1"/>
          <w:sz w:val="32"/>
          <w:szCs w:val="32"/>
          <w:highlight w:val="none"/>
          <w:lang w:eastAsia="zh-CN"/>
          <w14:textFill>
            <w14:solidFill>
              <w14:schemeClr w14:val="tx1"/>
            </w14:solidFill>
          </w14:textFill>
        </w:rPr>
        <w:t>项目名称：</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准噶尔盆地</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吉康油田吉</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阜</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1</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03H</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井</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吉</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阜</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1001</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H井钻试工程项目</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 xml:space="preserve">                            </w:t>
      </w:r>
    </w:p>
    <w:p w14:paraId="368867B1">
      <w:pPr>
        <w:widowControl w:val="0"/>
        <w:kinsoku/>
        <w:spacing w:line="360" w:lineRule="auto"/>
        <w:ind w:left="1600" w:hanging="1600" w:hangingChars="500"/>
        <w:jc w:val="both"/>
        <w:rPr>
          <w:rFonts w:hint="default"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pPr>
      <w:r>
        <w:rPr>
          <w:rFonts w:ascii="Times New Roman" w:hAnsi="Times New Roman" w:eastAsia="仿宋_GB2312" w:cs="Times New Roman"/>
          <w:color w:val="000000" w:themeColor="text1"/>
          <w:sz w:val="32"/>
          <w:szCs w:val="32"/>
          <w:highlight w:val="none"/>
          <w:lang w:eastAsia="zh-CN"/>
          <w14:textFill>
            <w14:solidFill>
              <w14:schemeClr w14:val="tx1"/>
            </w14:solidFill>
          </w14:textFill>
        </w:rPr>
        <w:t>建设单位：</w:t>
      </w:r>
      <w:r>
        <w:rPr>
          <w:rFonts w:ascii="Times New Roman" w:hAnsi="Times New Roman" w:eastAsia="仿宋_GB2312" w:cs="Times New Roman"/>
          <w:color w:val="000000" w:themeColor="text1"/>
          <w:sz w:val="32"/>
          <w:szCs w:val="32"/>
          <w:highlight w:val="none"/>
          <w:u w:val="single"/>
          <w:lang w:val="zh-CN" w:eastAsia="zh-CN"/>
          <w14:textFill>
            <w14:solidFill>
              <w14:schemeClr w14:val="tx1"/>
            </w14:solidFill>
          </w14:textFill>
        </w:rPr>
        <w:t>中国石油天然气股份有限公司</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吐哈油田分公司准东采油管理区</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 xml:space="preserve">                            </w:t>
      </w:r>
    </w:p>
    <w:p w14:paraId="29FEBF01">
      <w:pPr>
        <w:widowControl w:val="0"/>
        <w:kinsoku/>
        <w:spacing w:line="360" w:lineRule="auto"/>
        <w:jc w:val="both"/>
        <w:rPr>
          <w:rFonts w:ascii="Times New Roman" w:hAnsi="Times New Roman" w:eastAsia="仿宋_GB2312" w:cs="Times New Roman"/>
          <w:color w:val="000000" w:themeColor="text1"/>
          <w:sz w:val="32"/>
          <w:szCs w:val="32"/>
          <w:highlight w:val="none"/>
          <w:lang w:eastAsia="zh-CN"/>
          <w14:textFill>
            <w14:solidFill>
              <w14:schemeClr w14:val="tx1"/>
            </w14:solidFill>
          </w14:textFill>
        </w:rPr>
      </w:pPr>
      <w:r>
        <w:rPr>
          <w:rFonts w:ascii="Times New Roman" w:hAnsi="Times New Roman" w:eastAsia="仿宋_GB2312" w:cs="Times New Roman"/>
          <w:color w:val="000000" w:themeColor="text1"/>
          <w:sz w:val="32"/>
          <w:szCs w:val="32"/>
          <w:highlight w:val="none"/>
          <w:lang w:eastAsia="zh-CN"/>
          <w14:textFill>
            <w14:solidFill>
              <w14:schemeClr w14:val="tx1"/>
            </w14:solidFill>
          </w14:textFill>
        </w:rPr>
        <w:t>编制日期：</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 xml:space="preserve">              </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 xml:space="preserve"> </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 xml:space="preserve"> 202</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6</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年</w:t>
      </w:r>
      <w:r>
        <w:rPr>
          <w:rFonts w:hint="eastAsia" w:ascii="Times New Roman" w:hAnsi="Times New Roman" w:eastAsia="仿宋_GB2312" w:cs="Times New Roman"/>
          <w:color w:val="000000" w:themeColor="text1"/>
          <w:sz w:val="32"/>
          <w:szCs w:val="32"/>
          <w:highlight w:val="none"/>
          <w:u w:val="single"/>
          <w:lang w:val="en-US" w:eastAsia="zh-CN"/>
          <w14:textFill>
            <w14:solidFill>
              <w14:schemeClr w14:val="tx1"/>
            </w14:solidFill>
          </w14:textFill>
        </w:rPr>
        <w:t>2</w:t>
      </w:r>
      <w:r>
        <w:rPr>
          <w:rFonts w:ascii="Times New Roman" w:hAnsi="Times New Roman" w:eastAsia="仿宋_GB2312" w:cs="Times New Roman"/>
          <w:color w:val="000000" w:themeColor="text1"/>
          <w:sz w:val="32"/>
          <w:szCs w:val="32"/>
          <w:highlight w:val="none"/>
          <w:u w:val="single"/>
          <w:lang w:eastAsia="zh-CN"/>
          <w14:textFill>
            <w14:solidFill>
              <w14:schemeClr w14:val="tx1"/>
            </w14:solidFill>
          </w14:textFill>
        </w:rPr>
        <w:t xml:space="preserve">月                </w:t>
      </w:r>
    </w:p>
    <w:p w14:paraId="2CF24AB4">
      <w:pPr>
        <w:widowControl w:val="0"/>
        <w:kinsoku/>
        <w:spacing w:line="360" w:lineRule="auto"/>
        <w:ind w:left="1600" w:hanging="1600" w:hangingChars="500"/>
        <w:jc w:val="both"/>
        <w:rPr>
          <w:rFonts w:ascii="Times New Roman" w:hAnsi="Times New Roman" w:eastAsia="仿宋_GB2312" w:cs="Times New Roman"/>
          <w:color w:val="000000" w:themeColor="text1"/>
          <w:sz w:val="32"/>
          <w:szCs w:val="32"/>
          <w:highlight w:val="none"/>
          <w:lang w:eastAsia="zh-CN"/>
          <w14:textFill>
            <w14:solidFill>
              <w14:schemeClr w14:val="tx1"/>
            </w14:solidFill>
          </w14:textFill>
        </w:rPr>
      </w:pPr>
    </w:p>
    <w:p w14:paraId="66289DDA">
      <w:pPr>
        <w:widowControl w:val="0"/>
        <w:kinsoku/>
        <w:spacing w:line="288" w:lineRule="auto"/>
        <w:ind w:firstLine="1040"/>
        <w:jc w:val="both"/>
        <w:rPr>
          <w:rFonts w:ascii="Times New Roman" w:hAnsi="Times New Roman" w:eastAsia="仿宋_GB2312" w:cs="Times New Roman"/>
          <w:color w:val="000000" w:themeColor="text1"/>
          <w:sz w:val="36"/>
          <w:szCs w:val="36"/>
          <w:highlight w:val="none"/>
          <w:lang w:eastAsia="zh-CN"/>
          <w14:textFill>
            <w14:solidFill>
              <w14:schemeClr w14:val="tx1"/>
            </w14:solidFill>
          </w14:textFill>
        </w:rPr>
      </w:pPr>
    </w:p>
    <w:p w14:paraId="3F3C9275">
      <w:pPr>
        <w:widowControl w:val="0"/>
        <w:kinsoku/>
        <w:spacing w:line="288" w:lineRule="auto"/>
        <w:ind w:firstLine="1040"/>
        <w:jc w:val="both"/>
        <w:rPr>
          <w:rFonts w:ascii="Times New Roman" w:hAnsi="Times New Roman" w:eastAsia="仿宋_GB2312" w:cs="Times New Roman"/>
          <w:color w:val="000000" w:themeColor="text1"/>
          <w:sz w:val="36"/>
          <w:szCs w:val="36"/>
          <w:highlight w:val="none"/>
          <w:lang w:eastAsia="zh-CN"/>
          <w14:textFill>
            <w14:solidFill>
              <w14:schemeClr w14:val="tx1"/>
            </w14:solidFill>
          </w14:textFill>
        </w:rPr>
      </w:pPr>
    </w:p>
    <w:p w14:paraId="11CB5950">
      <w:pPr>
        <w:widowControl w:val="0"/>
        <w:kinsoku/>
        <w:spacing w:line="288" w:lineRule="auto"/>
        <w:ind w:firstLine="1040"/>
        <w:jc w:val="both"/>
        <w:rPr>
          <w:rFonts w:ascii="Times New Roman" w:hAnsi="Times New Roman" w:eastAsia="仿宋_GB2312" w:cs="Times New Roman"/>
          <w:color w:val="000000" w:themeColor="text1"/>
          <w:sz w:val="36"/>
          <w:szCs w:val="36"/>
          <w:highlight w:val="none"/>
          <w:lang w:eastAsia="zh-CN"/>
          <w14:textFill>
            <w14:solidFill>
              <w14:schemeClr w14:val="tx1"/>
            </w14:solidFill>
          </w14:textFill>
        </w:rPr>
      </w:pPr>
    </w:p>
    <w:p w14:paraId="412E1E7D">
      <w:pPr>
        <w:widowControl w:val="0"/>
        <w:kinsoku/>
        <w:spacing w:line="288" w:lineRule="auto"/>
        <w:jc w:val="center"/>
        <w:rPr>
          <w:rFonts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eastAsia="楷体_GB2312" w:cs="Times New Roman"/>
          <w:color w:val="000000" w:themeColor="text1"/>
          <w:sz w:val="36"/>
          <w:szCs w:val="36"/>
          <w:highlight w:val="none"/>
          <w:lang w:eastAsia="zh-CN"/>
          <w14:textFill>
            <w14:solidFill>
              <w14:schemeClr w14:val="tx1"/>
            </w14:solidFill>
          </w14:textFill>
        </w:rPr>
        <w:t>中华人民共和国生态环境部制</w:t>
      </w:r>
    </w:p>
    <w:p w14:paraId="215485BE">
      <w:pPr>
        <w:kinsoku/>
        <w:spacing w:before="100" w:line="224" w:lineRule="auto"/>
        <w:jc w:val="both"/>
        <w:outlineLvl w:val="0"/>
        <w:rPr>
          <w:rFonts w:ascii="Times New Roman" w:hAnsi="Times New Roman" w:eastAsia="宋体" w:cs="Times New Roman"/>
          <w:b/>
          <w:bCs/>
          <w:color w:val="000000" w:themeColor="text1"/>
          <w:spacing w:val="6"/>
          <w:sz w:val="30"/>
          <w:szCs w:val="30"/>
          <w:highlight w:val="none"/>
          <w:lang w:eastAsia="zh-CN"/>
          <w14:textFill>
            <w14:solidFill>
              <w14:schemeClr w14:val="tx1"/>
            </w14:solidFill>
          </w14:textFill>
        </w:rPr>
        <w:sectPr>
          <w:headerReference r:id="rId3" w:type="default"/>
          <w:footerReference r:id="rId4" w:type="default"/>
          <w:pgSz w:w="11906" w:h="16840"/>
          <w:pgMar w:top="1440" w:right="1803" w:bottom="1440" w:left="1803" w:header="850" w:footer="992" w:gutter="0"/>
          <w:pgBorders>
            <w:top w:val="none" w:sz="0" w:space="0"/>
            <w:left w:val="none" w:sz="0" w:space="0"/>
            <w:bottom w:val="none" w:sz="0" w:space="0"/>
            <w:right w:val="none" w:sz="0" w:space="0"/>
          </w:pgBorders>
          <w:cols w:space="720" w:num="1"/>
        </w:sectPr>
      </w:pPr>
    </w:p>
    <w:p w14:paraId="429B85D1">
      <w:pPr>
        <w:numPr>
          <w:ilvl w:val="0"/>
          <w:numId w:val="2"/>
        </w:numPr>
        <w:kinsoku/>
        <w:spacing w:before="100" w:line="360" w:lineRule="auto"/>
        <w:jc w:val="center"/>
        <w:outlineLvl w:val="0"/>
        <w:rPr>
          <w:rFonts w:ascii="Times New Roman" w:hAnsi="Times New Roman" w:eastAsia="宋体" w:cs="Times New Roman"/>
          <w:b/>
          <w:bCs/>
          <w:color w:val="000000" w:themeColor="text1"/>
          <w:spacing w:val="6"/>
          <w:sz w:val="30"/>
          <w:szCs w:val="30"/>
          <w:highlight w:val="none"/>
          <w14:textFill>
            <w14:solidFill>
              <w14:schemeClr w14:val="tx1"/>
            </w14:solidFill>
          </w14:textFill>
        </w:rPr>
      </w:pPr>
      <w:r>
        <w:rPr>
          <w:rFonts w:ascii="Times New Roman" w:hAnsi="Times New Roman" w:eastAsia="宋体" w:cs="Times New Roman"/>
          <w:b/>
          <w:bCs/>
          <w:color w:val="000000" w:themeColor="text1"/>
          <w:spacing w:val="6"/>
          <w:sz w:val="30"/>
          <w:szCs w:val="30"/>
          <w:highlight w:val="none"/>
          <w14:textFill>
            <w14:solidFill>
              <w14:schemeClr w14:val="tx1"/>
            </w14:solidFill>
          </w14:textFill>
        </w:rPr>
        <w:t>建设项目基本情况</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2895"/>
        <w:gridCol w:w="1318"/>
        <w:gridCol w:w="2982"/>
      </w:tblGrid>
      <w:tr w14:paraId="7BD9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63697AD1">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7231" w:type="dxa"/>
            <w:gridSpan w:val="3"/>
            <w:vAlign w:val="center"/>
          </w:tcPr>
          <w:p w14:paraId="6099803C">
            <w:pPr>
              <w:widowControl w:val="0"/>
              <w:kinsoku/>
              <w:spacing w:line="400" w:lineRule="exact"/>
              <w:jc w:val="center"/>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准噶尔盆地吉康油田吉阜103H井、吉阜1001H井钻试工程项目</w:t>
            </w:r>
          </w:p>
        </w:tc>
      </w:tr>
      <w:tr w14:paraId="147F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6081A628">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项目代码</w:t>
            </w:r>
          </w:p>
        </w:tc>
        <w:tc>
          <w:tcPr>
            <w:tcW w:w="7231" w:type="dxa"/>
            <w:gridSpan w:val="3"/>
            <w:vAlign w:val="center"/>
          </w:tcPr>
          <w:p w14:paraId="68D02744">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无</w:t>
            </w:r>
          </w:p>
        </w:tc>
      </w:tr>
      <w:tr w14:paraId="6FA7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74C4C726">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pacing w:val="-11"/>
                <w:sz w:val="24"/>
                <w:szCs w:val="24"/>
                <w:highlight w:val="none"/>
                <w14:textFill>
                  <w14:solidFill>
                    <w14:schemeClr w14:val="tx1"/>
                  </w14:solidFill>
                </w14:textFill>
              </w:rPr>
              <w:t>建设单位联系人</w:t>
            </w:r>
          </w:p>
        </w:tc>
        <w:tc>
          <w:tcPr>
            <w:tcW w:w="2931" w:type="dxa"/>
            <w:vAlign w:val="center"/>
          </w:tcPr>
          <w:p w14:paraId="3C18F5E4">
            <w:pPr>
              <w:pStyle w:val="22"/>
              <w:widowControl w:val="0"/>
              <w:kinsoku/>
              <w:spacing w:before="84" w:line="228" w:lineRule="auto"/>
              <w:ind w:left="785"/>
              <w:jc w:val="both"/>
              <w:rPr>
                <w:rFonts w:ascii="Times New Roman" w:hAnsi="Times New Roman" w:cs="Times New Roman"/>
                <w:color w:val="000000" w:themeColor="text1"/>
                <w:spacing w:val="-11"/>
                <w:sz w:val="24"/>
                <w:szCs w:val="24"/>
                <w:highlight w:val="none"/>
                <w14:textFill>
                  <w14:solidFill>
                    <w14:schemeClr w14:val="tx1"/>
                  </w14:solidFill>
                </w14:textFill>
              </w:rPr>
            </w:pPr>
            <w:r>
              <w:rPr>
                <w:rFonts w:ascii="Times New Roman" w:hAnsi="Times New Roman" w:cs="Times New Roman"/>
                <w:color w:val="000000" w:themeColor="text1"/>
                <w:spacing w:val="6"/>
                <w:sz w:val="24"/>
                <w:szCs w:val="24"/>
                <w:highlight w:val="none"/>
                <w14:textFill>
                  <w14:solidFill>
                    <w14:schemeClr w14:val="tx1"/>
                  </w14:solidFill>
                </w14:textFill>
              </w:rPr>
              <w:t>王建伟</w:t>
            </w:r>
          </w:p>
        </w:tc>
        <w:tc>
          <w:tcPr>
            <w:tcW w:w="1318" w:type="dxa"/>
            <w:vAlign w:val="center"/>
          </w:tcPr>
          <w:p w14:paraId="249DF3B0">
            <w:pPr>
              <w:pStyle w:val="22"/>
              <w:widowControl w:val="0"/>
              <w:kinsoku/>
              <w:spacing w:before="84" w:line="229" w:lineRule="auto"/>
              <w:jc w:val="center"/>
              <w:rPr>
                <w:rFonts w:ascii="Times New Roman" w:hAnsi="Times New Roman" w:cs="Times New Roman"/>
                <w:color w:val="000000" w:themeColor="text1"/>
                <w:spacing w:val="-11"/>
                <w:sz w:val="24"/>
                <w:szCs w:val="24"/>
                <w:highlight w:val="none"/>
                <w14:textFill>
                  <w14:solidFill>
                    <w14:schemeClr w14:val="tx1"/>
                  </w14:solidFill>
                </w14:textFill>
              </w:rPr>
            </w:pPr>
            <w:r>
              <w:rPr>
                <w:rFonts w:ascii="Times New Roman" w:hAnsi="Times New Roman" w:cs="Times New Roman"/>
                <w:color w:val="000000" w:themeColor="text1"/>
                <w:spacing w:val="17"/>
                <w:sz w:val="24"/>
                <w:szCs w:val="24"/>
                <w:highlight w:val="none"/>
                <w14:textFill>
                  <w14:solidFill>
                    <w14:schemeClr w14:val="tx1"/>
                  </w14:solidFill>
                </w14:textFill>
              </w:rPr>
              <w:t>联系方式</w:t>
            </w:r>
          </w:p>
        </w:tc>
        <w:tc>
          <w:tcPr>
            <w:tcW w:w="2982" w:type="dxa"/>
            <w:vAlign w:val="center"/>
          </w:tcPr>
          <w:p w14:paraId="5A9A61D4">
            <w:pPr>
              <w:widowControl w:val="0"/>
              <w:kinsoku/>
              <w:spacing w:before="120" w:line="195" w:lineRule="auto"/>
              <w:jc w:val="center"/>
              <w:rPr>
                <w:rFonts w:ascii="Times New Roman" w:hAnsi="Times New Roman" w:eastAsia="宋体" w:cs="Times New Roman"/>
                <w:color w:val="000000" w:themeColor="text1"/>
                <w:spacing w:val="-11"/>
                <w:sz w:val="24"/>
                <w:szCs w:val="24"/>
                <w:highlight w:val="none"/>
                <w14:textFill>
                  <w14:solidFill>
                    <w14:schemeClr w14:val="tx1"/>
                  </w14:solidFill>
                </w14:textFill>
              </w:rPr>
            </w:pPr>
            <w:r>
              <w:rPr>
                <w:rFonts w:ascii="Times New Roman" w:hAnsi="Times New Roman" w:eastAsia="宋体" w:cs="Times New Roman"/>
                <w:color w:val="000000" w:themeColor="text1"/>
                <w:spacing w:val="2"/>
                <w:sz w:val="24"/>
                <w:szCs w:val="24"/>
                <w:highlight w:val="none"/>
                <w14:textFill>
                  <w14:solidFill>
                    <w14:schemeClr w14:val="tx1"/>
                  </w14:solidFill>
                </w14:textFill>
              </w:rPr>
              <w:t>13899311159</w:t>
            </w:r>
          </w:p>
        </w:tc>
      </w:tr>
      <w:tr w14:paraId="352C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1A16BF47">
            <w:pPr>
              <w:pStyle w:val="22"/>
              <w:widowControl w:val="0"/>
              <w:kinsoku/>
              <w:spacing w:before="84" w:line="228" w:lineRule="auto"/>
              <w:jc w:val="center"/>
              <w:rPr>
                <w:rFonts w:ascii="Times New Roman" w:hAnsi="Times New Roman" w:cs="Times New Roman"/>
                <w:color w:val="000000" w:themeColor="text1"/>
                <w:spacing w:val="6"/>
                <w:sz w:val="24"/>
                <w:szCs w:val="24"/>
                <w:highlight w:val="none"/>
                <w14:textFill>
                  <w14:solidFill>
                    <w14:schemeClr w14:val="tx1"/>
                  </w14:solidFill>
                </w14:textFill>
              </w:rPr>
            </w:pPr>
            <w:r>
              <w:rPr>
                <w:rFonts w:ascii="Times New Roman" w:hAnsi="Times New Roman" w:cs="Times New Roman"/>
                <w:color w:val="000000" w:themeColor="text1"/>
                <w:spacing w:val="6"/>
                <w:sz w:val="24"/>
                <w:szCs w:val="24"/>
                <w:highlight w:val="none"/>
                <w14:textFill>
                  <w14:solidFill>
                    <w14:schemeClr w14:val="tx1"/>
                  </w14:solidFill>
                </w14:textFill>
              </w:rPr>
              <w:t>建设地点</w:t>
            </w:r>
          </w:p>
        </w:tc>
        <w:tc>
          <w:tcPr>
            <w:tcW w:w="7231" w:type="dxa"/>
            <w:gridSpan w:val="3"/>
            <w:vAlign w:val="center"/>
          </w:tcPr>
          <w:p w14:paraId="75B4D3BE">
            <w:pPr>
              <w:pStyle w:val="22"/>
              <w:widowControl w:val="0"/>
              <w:kinsoku/>
              <w:spacing w:before="84" w:line="228" w:lineRule="auto"/>
              <w:jc w:val="center"/>
              <w:rPr>
                <w:rFonts w:hint="default" w:ascii="Times New Roman" w:hAnsi="Times New Roman" w:cs="Times New Roman"/>
                <w:color w:val="000000" w:themeColor="text1"/>
                <w:spacing w:val="6"/>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新疆维吾尔自治区昌吉回族自治州吉木萨尔县</w:t>
            </w:r>
            <w:r>
              <w:rPr>
                <w:rFonts w:hint="eastAsia" w:ascii="Times New Roman" w:hAnsi="Times New Roman" w:cs="Times New Roman"/>
                <w:color w:val="000000" w:themeColor="text1"/>
                <w:spacing w:val="6"/>
                <w:sz w:val="24"/>
                <w:szCs w:val="24"/>
                <w:highlight w:val="none"/>
                <w:lang w:val="en-US" w:eastAsia="zh-CN"/>
                <w14:textFill>
                  <w14:solidFill>
                    <w14:schemeClr w14:val="tx1"/>
                  </w14:solidFill>
                </w14:textFill>
              </w:rPr>
              <w:t>三台镇羌塔寺村（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吉阜103H井</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位于村东北侧方位、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吉阜1001H井</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位于村东侧方位</w:t>
            </w:r>
            <w:r>
              <w:rPr>
                <w:rFonts w:hint="eastAsia" w:ascii="Times New Roman" w:hAnsi="Times New Roman" w:cs="Times New Roman"/>
                <w:color w:val="000000" w:themeColor="text1"/>
                <w:spacing w:val="6"/>
                <w:sz w:val="24"/>
                <w:szCs w:val="24"/>
                <w:highlight w:val="none"/>
                <w:lang w:val="en-US" w:eastAsia="zh-CN"/>
                <w14:textFill>
                  <w14:solidFill>
                    <w14:schemeClr w14:val="tx1"/>
                  </w14:solidFill>
                </w14:textFill>
              </w:rPr>
              <w:t>）</w:t>
            </w:r>
          </w:p>
        </w:tc>
      </w:tr>
      <w:tr w14:paraId="5CCC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763F6106">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地理坐标</w:t>
            </w:r>
          </w:p>
        </w:tc>
        <w:tc>
          <w:tcPr>
            <w:tcW w:w="7231" w:type="dxa"/>
            <w:gridSpan w:val="3"/>
            <w:vAlign w:val="center"/>
          </w:tcPr>
          <w:p w14:paraId="3D0F3E51">
            <w:pPr>
              <w:widowControl w:val="0"/>
              <w:kinsoku/>
              <w:spacing w:line="400" w:lineRule="exact"/>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吉阜103H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井：E8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56.100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29.740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14CB335">
            <w:pPr>
              <w:widowControl w:val="0"/>
              <w:kinsoku/>
              <w:spacing w:line="400" w:lineRule="exact"/>
              <w:jc w:val="center"/>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吉阜1001H</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井：E8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17.580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″，N4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20.870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1A59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250ADFF7">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w:t>
            </w:r>
          </w:p>
          <w:p w14:paraId="2D3ED9E7">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行业类别</w:t>
            </w:r>
          </w:p>
        </w:tc>
        <w:tc>
          <w:tcPr>
            <w:tcW w:w="2931" w:type="dxa"/>
            <w:vAlign w:val="center"/>
          </w:tcPr>
          <w:p w14:paraId="5F3A3E38">
            <w:pPr>
              <w:widowControl w:val="0"/>
              <w:kinsoku/>
              <w:spacing w:line="400" w:lineRule="exact"/>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四十六、专业技术服务业99陆地矿产资源地质勘查（含油气资源勘探）</w:t>
            </w:r>
          </w:p>
        </w:tc>
        <w:tc>
          <w:tcPr>
            <w:tcW w:w="1318" w:type="dxa"/>
            <w:vAlign w:val="center"/>
          </w:tcPr>
          <w:p w14:paraId="5871D93D">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用地面积（m</w:t>
            </w:r>
            <w:r>
              <w:rPr>
                <w:rFonts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w:t>
            </w:r>
          </w:p>
        </w:tc>
        <w:tc>
          <w:tcPr>
            <w:tcW w:w="2982" w:type="dxa"/>
            <w:vAlign w:val="center"/>
          </w:tcPr>
          <w:p w14:paraId="22A7CC68">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50328</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2</w:t>
            </w:r>
            <w:r>
              <w:rPr>
                <w:rFonts w:ascii="Times New Roman" w:hAnsi="Times New Roman" w:eastAsia="宋体" w:cs="Times New Roman"/>
                <w:color w:val="000000" w:themeColor="text1"/>
                <w:sz w:val="24"/>
                <w:szCs w:val="24"/>
                <w:highlight w:val="none"/>
                <w14:textFill>
                  <w14:solidFill>
                    <w14:schemeClr w14:val="tx1"/>
                  </w14:solidFill>
                </w14:textFill>
              </w:rPr>
              <w:t>（临时用地）</w:t>
            </w:r>
          </w:p>
        </w:tc>
      </w:tr>
      <w:tr w14:paraId="7BC9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772BD17E">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建设性质</w:t>
            </w:r>
          </w:p>
        </w:tc>
        <w:tc>
          <w:tcPr>
            <w:tcW w:w="2931" w:type="dxa"/>
            <w:vAlign w:val="center"/>
          </w:tcPr>
          <w:p w14:paraId="6710C8C1">
            <w:pPr>
              <w:widowControl w:val="0"/>
              <w:kinsoku/>
              <w:autoSpaceDE/>
              <w:autoSpaceDN/>
              <w:spacing w:line="400" w:lineRule="exact"/>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sym w:font="Wingdings 2" w:char="0052"/>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新建（迁建）</w:t>
            </w:r>
          </w:p>
          <w:p w14:paraId="09F2893B">
            <w:pPr>
              <w:widowControl w:val="0"/>
              <w:kinsoku/>
              <w:autoSpaceDE/>
              <w:autoSpaceDN/>
              <w:spacing w:line="400" w:lineRule="exact"/>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改建</w:t>
            </w:r>
          </w:p>
          <w:p w14:paraId="38874C3D">
            <w:pPr>
              <w:widowControl w:val="0"/>
              <w:kinsoku/>
              <w:autoSpaceDE/>
              <w:autoSpaceDN/>
              <w:spacing w:line="400" w:lineRule="exact"/>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扩建</w:t>
            </w:r>
          </w:p>
          <w:p w14:paraId="398495A7">
            <w:pPr>
              <w:widowControl w:val="0"/>
              <w:kinsoku/>
              <w:autoSpaceDE/>
              <w:autoSpaceDN/>
              <w:spacing w:line="400" w:lineRule="exact"/>
              <w:jc w:val="both"/>
              <w:textAlignment w:val="auto"/>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技术改造</w:t>
            </w:r>
          </w:p>
        </w:tc>
        <w:tc>
          <w:tcPr>
            <w:tcW w:w="1318" w:type="dxa"/>
            <w:vAlign w:val="center"/>
          </w:tcPr>
          <w:p w14:paraId="2E6E0B2D">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建设项目</w:t>
            </w:r>
          </w:p>
          <w:p w14:paraId="4EAF7937">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申报情形</w:t>
            </w:r>
          </w:p>
        </w:tc>
        <w:tc>
          <w:tcPr>
            <w:tcW w:w="2982" w:type="dxa"/>
            <w:vAlign w:val="center"/>
          </w:tcPr>
          <w:p w14:paraId="3CCA11D7">
            <w:pPr>
              <w:widowControl w:val="0"/>
              <w:kinsoku/>
              <w:spacing w:line="400" w:lineRule="exact"/>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11"/>
                <w:sz w:val="24"/>
                <w:szCs w:val="24"/>
                <w:highlight w:val="none"/>
                <w14:textFill>
                  <w14:solidFill>
                    <w14:schemeClr w14:val="tx1"/>
                  </w14:solidFill>
                </w14:textFill>
              </w:rPr>
              <w:sym w:font="Wingdings 2" w:char="0052"/>
            </w:r>
            <w:r>
              <w:rPr>
                <w:rFonts w:ascii="Times New Roman" w:hAnsi="Times New Roman" w:eastAsia="宋体" w:cs="Times New Roman"/>
                <w:color w:val="000000" w:themeColor="text1"/>
                <w:sz w:val="24"/>
                <w:szCs w:val="24"/>
                <w:highlight w:val="none"/>
                <w:lang w:eastAsia="zh-CN"/>
                <w14:textFill>
                  <w14:solidFill>
                    <w14:schemeClr w14:val="tx1"/>
                  </w14:solidFill>
                </w14:textFill>
              </w:rPr>
              <w:t>首次申报项目</w:t>
            </w:r>
          </w:p>
          <w:p w14:paraId="2F1B3D4C">
            <w:pPr>
              <w:widowControl w:val="0"/>
              <w:kinsoku/>
              <w:autoSpaceDE/>
              <w:autoSpaceDN/>
              <w:spacing w:line="400" w:lineRule="exact"/>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不予批准后再次申报项目</w:t>
            </w:r>
          </w:p>
          <w:p w14:paraId="430B5E6E">
            <w:pPr>
              <w:widowControl w:val="0"/>
              <w:kinsoku/>
              <w:autoSpaceDE/>
              <w:autoSpaceDN/>
              <w:spacing w:line="400" w:lineRule="exact"/>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超五年重新审核项目</w:t>
            </w:r>
          </w:p>
          <w:p w14:paraId="2632894A">
            <w:pPr>
              <w:widowControl w:val="0"/>
              <w:kinsoku/>
              <w:autoSpaceDE/>
              <w:autoSpaceDN/>
              <w:spacing w:line="400" w:lineRule="exact"/>
              <w:jc w:val="both"/>
              <w:textAlignment w:val="auto"/>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重大变动重新报批项目</w:t>
            </w:r>
          </w:p>
        </w:tc>
      </w:tr>
      <w:tr w14:paraId="2876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01538E28">
            <w:pPr>
              <w:widowControl w:val="0"/>
              <w:kinsoku/>
              <w:spacing w:line="400" w:lineRule="exact"/>
              <w:jc w:val="center"/>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项目审批（核准/备案）部门</w:t>
            </w:r>
          </w:p>
        </w:tc>
        <w:tc>
          <w:tcPr>
            <w:tcW w:w="2931" w:type="dxa"/>
            <w:vAlign w:val="center"/>
          </w:tcPr>
          <w:p w14:paraId="7D81332C">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无</w:t>
            </w:r>
          </w:p>
        </w:tc>
        <w:tc>
          <w:tcPr>
            <w:tcW w:w="1318" w:type="dxa"/>
            <w:vAlign w:val="center"/>
          </w:tcPr>
          <w:p w14:paraId="60952A5A">
            <w:pPr>
              <w:widowControl w:val="0"/>
              <w:kinsoku/>
              <w:spacing w:line="400" w:lineRule="exact"/>
              <w:jc w:val="center"/>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项目审批（核准/备案）文号</w:t>
            </w:r>
          </w:p>
        </w:tc>
        <w:tc>
          <w:tcPr>
            <w:tcW w:w="2982" w:type="dxa"/>
            <w:vAlign w:val="center"/>
          </w:tcPr>
          <w:p w14:paraId="55869E61">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无</w:t>
            </w:r>
          </w:p>
        </w:tc>
      </w:tr>
      <w:tr w14:paraId="6094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6FCAB8E9">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总投资</w:t>
            </w:r>
          </w:p>
          <w:p w14:paraId="4F24AE17">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（万元）</w:t>
            </w:r>
          </w:p>
        </w:tc>
        <w:tc>
          <w:tcPr>
            <w:tcW w:w="2931" w:type="dxa"/>
            <w:vAlign w:val="center"/>
          </w:tcPr>
          <w:p w14:paraId="4D37947A">
            <w:pPr>
              <w:widowControl w:val="0"/>
              <w:kinsoku/>
              <w:spacing w:line="400" w:lineRule="exact"/>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38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65.5</w:t>
            </w:r>
          </w:p>
        </w:tc>
        <w:tc>
          <w:tcPr>
            <w:tcW w:w="1318" w:type="dxa"/>
            <w:vAlign w:val="center"/>
          </w:tcPr>
          <w:p w14:paraId="6847EA47">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环保投资</w:t>
            </w:r>
          </w:p>
          <w:p w14:paraId="29F39D75">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（万元）</w:t>
            </w:r>
          </w:p>
        </w:tc>
        <w:tc>
          <w:tcPr>
            <w:tcW w:w="2982" w:type="dxa"/>
            <w:vAlign w:val="center"/>
          </w:tcPr>
          <w:p w14:paraId="01EC480E">
            <w:pPr>
              <w:widowControl w:val="0"/>
              <w:kinsoku/>
              <w:spacing w:line="400" w:lineRule="exact"/>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245</w:t>
            </w:r>
          </w:p>
        </w:tc>
      </w:tr>
      <w:tr w14:paraId="592F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4ECFFA78">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环保投资占比（%）</w:t>
            </w:r>
          </w:p>
        </w:tc>
        <w:tc>
          <w:tcPr>
            <w:tcW w:w="2931" w:type="dxa"/>
            <w:vAlign w:val="center"/>
          </w:tcPr>
          <w:p w14:paraId="1BC89BD2">
            <w:pPr>
              <w:widowControl w:val="0"/>
              <w:kinsoku/>
              <w:spacing w:line="400" w:lineRule="exact"/>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6.34</w:t>
            </w:r>
          </w:p>
        </w:tc>
        <w:tc>
          <w:tcPr>
            <w:tcW w:w="1318" w:type="dxa"/>
            <w:vAlign w:val="center"/>
          </w:tcPr>
          <w:p w14:paraId="7A0E930A">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施工工期</w:t>
            </w:r>
          </w:p>
        </w:tc>
        <w:tc>
          <w:tcPr>
            <w:tcW w:w="2982" w:type="dxa"/>
            <w:vAlign w:val="center"/>
          </w:tcPr>
          <w:p w14:paraId="1C2BD8FA">
            <w:pPr>
              <w:widowControl w:val="0"/>
              <w:kinsoku/>
              <w:spacing w:line="400" w:lineRule="exact"/>
              <w:jc w:val="center"/>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吉阜103H</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井钻井期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0天</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吉阜1001H</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井钻井期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0天；单井试油期为300天</w:t>
            </w:r>
          </w:p>
        </w:tc>
      </w:tr>
      <w:tr w14:paraId="26552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148602DE">
            <w:pPr>
              <w:widowControl w:val="0"/>
              <w:kinsoku/>
              <w:autoSpaceDE/>
              <w:autoSpaceDN/>
              <w:spacing w:line="400" w:lineRule="exact"/>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是否开工建设</w:t>
            </w:r>
          </w:p>
        </w:tc>
        <w:tc>
          <w:tcPr>
            <w:tcW w:w="7231" w:type="dxa"/>
            <w:gridSpan w:val="3"/>
            <w:vAlign w:val="center"/>
          </w:tcPr>
          <w:p w14:paraId="7428CC0C">
            <w:pPr>
              <w:widowControl w:val="0"/>
              <w:kinsoku/>
              <w:autoSpaceDE/>
              <w:autoSpaceDN/>
              <w:spacing w:line="400" w:lineRule="exact"/>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sym w:font="Wingdings 2" w:char="0052"/>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否</w:t>
            </w:r>
          </w:p>
          <w:p w14:paraId="5C28DA8C">
            <w:pPr>
              <w:widowControl w:val="0"/>
              <w:kinsoku/>
              <w:autoSpaceDE/>
              <w:autoSpaceDN/>
              <w:spacing w:line="400" w:lineRule="exact"/>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是：</w:t>
            </w:r>
          </w:p>
        </w:tc>
      </w:tr>
      <w:tr w14:paraId="79322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2BA61C62">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专项评价</w:t>
            </w:r>
          </w:p>
          <w:p w14:paraId="1E9BB07F">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设置情况</w:t>
            </w:r>
          </w:p>
        </w:tc>
        <w:tc>
          <w:tcPr>
            <w:tcW w:w="7231" w:type="dxa"/>
            <w:gridSpan w:val="3"/>
            <w:vAlign w:val="center"/>
          </w:tcPr>
          <w:p w14:paraId="55CECA42">
            <w:pPr>
              <w:widowControl w:val="0"/>
              <w:kinsoku/>
              <w:spacing w:line="4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无</w:t>
            </w:r>
          </w:p>
        </w:tc>
      </w:tr>
      <w:tr w14:paraId="12AE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136E616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规划情况</w:t>
            </w:r>
          </w:p>
        </w:tc>
        <w:tc>
          <w:tcPr>
            <w:tcW w:w="7231" w:type="dxa"/>
            <w:gridSpan w:val="3"/>
            <w:vAlign w:val="center"/>
          </w:tcPr>
          <w:p w14:paraId="0C9C60C0">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1.规划名称：《新疆维吾尔自治区矿产资源总体规划（2021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2025年）》；</w:t>
            </w:r>
          </w:p>
          <w:p w14:paraId="66386A88">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审批机关：自然资源部；</w:t>
            </w:r>
          </w:p>
          <w:p w14:paraId="1D5BD9DF">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审批文号：自然资函〔2022〕1092号。</w:t>
            </w:r>
          </w:p>
          <w:p w14:paraId="67C1FA27">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2.规划名称：《新疆维吾尔自治区昌吉回族自治州矿产资源总体规划（2021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2025年）》；</w:t>
            </w:r>
          </w:p>
          <w:p w14:paraId="17A6A893">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规划编制单位：昌吉回族自治州人民政府。</w:t>
            </w:r>
          </w:p>
          <w:p w14:paraId="6F9DD34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right="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3.规划名称：《吐哈油田公司勘探与生产业务“十四五”发展规划》；</w:t>
            </w:r>
          </w:p>
          <w:p w14:paraId="14BF8717">
            <w:pPr>
              <w:pStyle w:val="4"/>
              <w:keepNext w:val="0"/>
              <w:keepLines w:val="0"/>
              <w:pageBreakBefore w:val="0"/>
              <w:widowControl w:val="0"/>
              <w:kinsoku/>
              <w:wordWrap/>
              <w:overflowPunct/>
              <w:topLinePunct w:val="0"/>
              <w:autoSpaceDE w:val="0"/>
              <w:autoSpaceDN w:val="0"/>
              <w:bidi w:val="0"/>
              <w:adjustRightInd w:val="0"/>
              <w:snapToGrid w:val="0"/>
              <w:spacing w:line="360" w:lineRule="auto"/>
              <w:ind w:right="0" w:firstLine="0" w:firstLineChars="0"/>
              <w:jc w:val="both"/>
              <w:textAlignment w:val="baseline"/>
              <w:rPr>
                <w:rFonts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规划编制单位：中国石油天然气股份有限公司吐哈油田分公司。</w:t>
            </w:r>
          </w:p>
        </w:tc>
      </w:tr>
      <w:tr w14:paraId="1235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42404E45">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规划环境影响评价情况</w:t>
            </w:r>
          </w:p>
        </w:tc>
        <w:tc>
          <w:tcPr>
            <w:tcW w:w="7231" w:type="dxa"/>
            <w:gridSpan w:val="3"/>
            <w:vAlign w:val="center"/>
          </w:tcPr>
          <w:p w14:paraId="38079717">
            <w:pPr>
              <w:keepNext w:val="0"/>
              <w:keepLines w:val="0"/>
              <w:pageBreakBefore w:val="0"/>
              <w:widowControl w:val="0"/>
              <w:kinsoku/>
              <w:wordWrap/>
              <w:overflowPunct/>
              <w:topLinePunct w:val="0"/>
              <w:autoSpaceDE w:val="0"/>
              <w:autoSpaceDN w:val="0"/>
              <w:bidi w:val="0"/>
              <w:adjustRightInd w:val="0"/>
              <w:snapToGrid w:val="0"/>
              <w:spacing w:line="360" w:lineRule="auto"/>
              <w:ind w:firstLine="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1.环评文件名称：《新疆维吾尔自治区矿产资源总体规划（2021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2025年）环境影响报告书》；</w:t>
            </w:r>
          </w:p>
          <w:p w14:paraId="163C2806">
            <w:pPr>
              <w:keepNext w:val="0"/>
              <w:keepLines w:val="0"/>
              <w:pageBreakBefore w:val="0"/>
              <w:widowControl w:val="0"/>
              <w:kinsoku/>
              <w:wordWrap/>
              <w:overflowPunct/>
              <w:topLinePunct w:val="0"/>
              <w:autoSpaceDE w:val="0"/>
              <w:autoSpaceDN w:val="0"/>
              <w:bidi w:val="0"/>
              <w:adjustRightInd w:val="0"/>
              <w:snapToGrid w:val="0"/>
              <w:spacing w:line="360" w:lineRule="auto"/>
              <w:ind w:firstLine="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审查机关：生态环境部；</w:t>
            </w:r>
          </w:p>
          <w:p w14:paraId="1CD8196A">
            <w:pPr>
              <w:keepNext w:val="0"/>
              <w:keepLines w:val="0"/>
              <w:pageBreakBefore w:val="0"/>
              <w:widowControl w:val="0"/>
              <w:kinsoku/>
              <w:wordWrap/>
              <w:overflowPunct/>
              <w:topLinePunct w:val="0"/>
              <w:autoSpaceDE w:val="0"/>
              <w:autoSpaceDN w:val="0"/>
              <w:bidi w:val="0"/>
              <w:adjustRightInd w:val="0"/>
              <w:snapToGrid w:val="0"/>
              <w:spacing w:line="360" w:lineRule="auto"/>
              <w:ind w:firstLine="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审查文件名称及文号：关于《新疆维吾尔自治区矿产资源总体规划（2021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2025年）环境影响报告书》的审查意见（环审〔2022〕124号）。</w:t>
            </w:r>
          </w:p>
          <w:p w14:paraId="2953C9EE">
            <w:pPr>
              <w:keepNext w:val="0"/>
              <w:keepLines w:val="0"/>
              <w:pageBreakBefore w:val="0"/>
              <w:widowControl w:val="0"/>
              <w:kinsoku/>
              <w:wordWrap/>
              <w:overflowPunct/>
              <w:topLinePunct w:val="0"/>
              <w:autoSpaceDE w:val="0"/>
              <w:autoSpaceDN w:val="0"/>
              <w:bidi w:val="0"/>
              <w:adjustRightInd w:val="0"/>
              <w:snapToGrid w:val="0"/>
              <w:spacing w:line="360" w:lineRule="auto"/>
              <w:ind w:firstLine="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环评文件名称：《新疆维吾尔自治区昌吉回族自治州矿产资源总体规划（2021—2025年）环境影响报告书》；</w:t>
            </w:r>
          </w:p>
          <w:p w14:paraId="0E7681CF">
            <w:pPr>
              <w:keepNext w:val="0"/>
              <w:keepLines w:val="0"/>
              <w:pageBreakBefore w:val="0"/>
              <w:widowControl w:val="0"/>
              <w:kinsoku/>
              <w:wordWrap/>
              <w:overflowPunct/>
              <w:topLinePunct w:val="0"/>
              <w:autoSpaceDE w:val="0"/>
              <w:autoSpaceDN w:val="0"/>
              <w:bidi w:val="0"/>
              <w:adjustRightInd w:val="0"/>
              <w:snapToGrid w:val="0"/>
              <w:spacing w:line="360" w:lineRule="auto"/>
              <w:ind w:firstLine="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审查机关：昌吉回族自治州生态环境局；</w:t>
            </w:r>
          </w:p>
          <w:p w14:paraId="735EAD93">
            <w:pPr>
              <w:keepNext w:val="0"/>
              <w:keepLines w:val="0"/>
              <w:pageBreakBefore w:val="0"/>
              <w:widowControl w:val="0"/>
              <w:kinsoku/>
              <w:wordWrap/>
              <w:overflowPunct/>
              <w:topLinePunct w:val="0"/>
              <w:autoSpaceDE w:val="0"/>
              <w:autoSpaceDN w:val="0"/>
              <w:bidi w:val="0"/>
              <w:adjustRightInd w:val="0"/>
              <w:snapToGrid w:val="0"/>
              <w:spacing w:line="360" w:lineRule="auto"/>
              <w:ind w:firstLine="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审查文件名称及文号：关于《新疆维吾尔自治区昌吉回族自治州矿产资源总体规划（2021—2025年）环境影响报告书》的审查意见（昌州环函〔2023〕40号）。</w:t>
            </w:r>
          </w:p>
        </w:tc>
      </w:tr>
      <w:tr w14:paraId="7E50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3669BDE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规划及规划环境影响评价符合性分析</w:t>
            </w:r>
          </w:p>
        </w:tc>
        <w:tc>
          <w:tcPr>
            <w:tcW w:w="7231" w:type="dxa"/>
            <w:gridSpan w:val="3"/>
            <w:vAlign w:val="center"/>
          </w:tcPr>
          <w:p w14:paraId="11A72089">
            <w:pPr>
              <w:pStyle w:val="26"/>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1.与《新疆维吾尔自治区矿产资源总体规划（2021—2025年）》及规划环评的符合性分析</w:t>
            </w:r>
          </w:p>
          <w:p w14:paraId="5397E489">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新疆矿产资源丰富，是我国重要的能源资源开发区。规划将石油、天然气列为重点勘查开采矿种，鼓励勘探和开发；并且依据矿产资源分布特点及勘查开发利用现状，按照“深化北疆东疆，加快南疆勘查开发”的总体思路，划分了环准噶尔、环塔里木、阿尔泰、东准噶尔、西准噶尔、东天山、西天山、西南天山、西昆仑、东昆仑—阿尔金等“两环八带”十个勘查开发区。规划环评要求对产生的污染物采取相应的治理措施，对实施过程中产生的生态影响采取有效的减缓措施。</w:t>
            </w:r>
          </w:p>
          <w:p w14:paraId="05274187">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本项目拟部署的2口勘探井占地位于“两环八带”十个勘查开发区”中的环准噶尔能源矿产勘查开发区，且属于陆地矿产资源地质勘查（含油气资源勘探），符合规划要求；</w:t>
            </w:r>
          </w:p>
          <w:p w14:paraId="4E097EC8">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同时，本项目严格按照《新疆维吾尔自治区矿产资源总体规划（2021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2025年）环境影响报告书》要求对施工期产生的“三废”、噪声及生态影响均提出了相应的治理或减缓措施，符合规划环评相关要求。</w:t>
            </w:r>
          </w:p>
          <w:p w14:paraId="5D5194F9">
            <w:pPr>
              <w:pStyle w:val="26"/>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2.与《新疆维吾尔自治区昌吉回族自治州矿产资源总体规划（2021—2025年）》及规划环评的符合性分析</w:t>
            </w:r>
          </w:p>
          <w:p w14:paraId="1DCCF7E4">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规划》将石油、天然气列为鼓励勘察开采的矿种。以油气、煤、地热、硅质原料、饰面石材等矿产资源勘查开发为主，重点加强准噶尔南缘、准东冲断带等地区石油、天然气、页岩气等常规能源勘查，有序开发准东、准南等地区煤炭、煤层气资源，延伸煤炭产业链，推进煤电煤化工一体化等综合资源开发，助力天山北坡城市群经济高质量发展。拟部署勘探井位于准噶尔盆地吉南油田萨探区块，属于陆地石油勘探，符合规划相关要求。</w:t>
            </w:r>
          </w:p>
          <w:p w14:paraId="5B4E9ABA">
            <w:pPr>
              <w:pStyle w:val="26"/>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hint="eastAsia" w:eastAsia="宋体" w:cs="宋体"/>
                <w:color w:val="000000" w:themeColor="text1"/>
                <w:sz w:val="24"/>
                <w:szCs w:val="24"/>
                <w:highlight w:val="none"/>
                <w:lang w:eastAsia="zh-CN"/>
                <w14:textFill>
                  <w14:solidFill>
                    <w14:schemeClr w14:val="tx1"/>
                  </w14:solidFill>
                </w14:textFill>
              </w:rPr>
              <w:t>施工期将采取严格的生态保护和恢复措施，严格控制施工区扰动范围，废水、废气、固体废物均按照国家标准进行分类收集、集中处理，尽可能减少生态扰动和环境污染。</w:t>
            </w:r>
          </w:p>
          <w:p w14:paraId="7192B48C">
            <w:pPr>
              <w:pStyle w:val="26"/>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hint="eastAsia" w:eastAsia="宋体" w:cs="宋体"/>
                <w:color w:val="000000" w:themeColor="text1"/>
                <w:sz w:val="24"/>
                <w:szCs w:val="24"/>
                <w:highlight w:val="none"/>
                <w:lang w:eastAsia="zh-CN"/>
                <w14:textFill>
                  <w14:solidFill>
                    <w14:schemeClr w14:val="tx1"/>
                  </w14:solidFill>
                </w14:textFill>
              </w:rPr>
              <w:t>因此，本项目在选址、建设内容、生态保护措施等方面与《新疆维吾尔自治区昌吉回族自治州矿产资源总体规划（</w:t>
            </w:r>
            <w:r>
              <w:rPr>
                <w:rFonts w:ascii="Times New Roman" w:hAnsi="Times New Roman" w:cs="Times New Roman"/>
                <w:color w:val="000000" w:themeColor="text1"/>
                <w:sz w:val="24"/>
                <w:szCs w:val="24"/>
                <w:highlight w:val="none"/>
                <w:lang w:eastAsia="zh-CN"/>
                <w14:textFill>
                  <w14:solidFill>
                    <w14:schemeClr w14:val="tx1"/>
                  </w14:solidFill>
                </w14:textFill>
              </w:rPr>
              <w:t>2021—2025</w:t>
            </w:r>
            <w:r>
              <w:rPr>
                <w:rFonts w:hint="eastAsia" w:eastAsia="宋体" w:cs="宋体"/>
                <w:color w:val="000000" w:themeColor="text1"/>
                <w:sz w:val="24"/>
                <w:szCs w:val="24"/>
                <w:highlight w:val="none"/>
                <w:lang w:eastAsia="zh-CN"/>
                <w14:textFill>
                  <w14:solidFill>
                    <w14:schemeClr w14:val="tx1"/>
                  </w14:solidFill>
                </w14:textFill>
              </w:rPr>
              <w:t>年）》及其环境影响报告书的相关要求保持一致，符合规划及其规划环评的相关导向与管理要求。</w:t>
            </w:r>
          </w:p>
          <w:p w14:paraId="24255D0A">
            <w:pPr>
              <w:pStyle w:val="26"/>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3.与《吐哈油田公司勘探与生产业务“十四五”发展规划》的符合性分析</w:t>
            </w:r>
          </w:p>
          <w:p w14:paraId="486F1DFA">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根据《吐哈油田公司勘探与生产业务“十四五”发展规划》中“</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“十四五”规划</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方案”中“规划部署内容”：（一）坚持资源战略，大打勘探发现进攻仗，筑牢高质量发展的根基。始终将勘探作为各项工作“龙头”，打好勘探发现进攻仗，发现并落实2～3个5000万吨级整装规模储量区，确保探明储量替换率石油&gt;1.5、天然气&gt;2.5。加大四新领域风险勘探和甩开预探，进一步解放思想，强化基础研究与整体研究，优选突破方向，落实有利勘探领域及区带6～8个，每年采纳风险井位3-5口，力争实现具有战略意义的重大突破。瞄准吐哈盆地中下侏罗系岩性油气藏、胜北致密气、石钱滩天然气、准东和三塘湖页岩油、阜康断裂带东部等领域和区带，加大集中勘探力度，努力将当前发现的好苗头转化为效益建产的规模储量，力争“十四五”新增探明石油储量1.35亿吨、天然气储量900亿方，为新区上产奠定坚实的资源基础。</w:t>
            </w:r>
          </w:p>
          <w:p w14:paraId="69DDD56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本项目位于准噶尔盆地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吉阜</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1块，</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属于《吐哈油田公司勘探与生产业务</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十四五</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发</w:t>
            </w:r>
            <w:r>
              <w:rPr>
                <w:rFonts w:hint="eastAsia" w:ascii="宋体" w:hAnsi="宋体" w:eastAsia="宋体" w:cs="宋体"/>
                <w:color w:val="000000" w:themeColor="text1"/>
                <w:sz w:val="24"/>
                <w:szCs w:val="24"/>
                <w:highlight w:val="none"/>
                <w:lang w:eastAsia="zh-CN"/>
                <w14:textFill>
                  <w14:solidFill>
                    <w14:schemeClr w14:val="tx1"/>
                  </w14:solidFill>
                </w14:textFill>
              </w:rPr>
              <w:t>展规划》重点开发区块</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，符合此规划要求。</w:t>
            </w:r>
          </w:p>
        </w:tc>
      </w:tr>
      <w:tr w14:paraId="260A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59" w:type="dxa"/>
            <w:vAlign w:val="center"/>
          </w:tcPr>
          <w:p w14:paraId="631FA3C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其他符合性分析</w:t>
            </w:r>
          </w:p>
        </w:tc>
        <w:tc>
          <w:tcPr>
            <w:tcW w:w="7231" w:type="dxa"/>
            <w:gridSpan w:val="3"/>
            <w:vAlign w:val="center"/>
          </w:tcPr>
          <w:p w14:paraId="4FDBA858">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1.产业政策符合性分析</w:t>
            </w:r>
          </w:p>
          <w:p w14:paraId="38D60CA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根据国家发展和改革委员会发布的《产业结构调整指导目录（2024年本）》，本项目为勘探井项目，属于第一类“鼓励类”中的第七条“石油天然气”中第1项“常规石油、天然气勘探与开采”类项目，为国家鼓励发展的产业。因此，本项目符合国家产业政策。</w:t>
            </w:r>
          </w:p>
          <w:p w14:paraId="06AFACCC">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2.生态环境分区管控符合性分析</w:t>
            </w:r>
          </w:p>
          <w:p w14:paraId="1C84D0F3">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（1）与《新疆维吾尔自治区生态环境分区管控动态更新成果》（新环环评发〔2024〕157号）的符合性分析</w:t>
            </w:r>
          </w:p>
          <w:p w14:paraId="2E50AEA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项目与《新疆维吾尔自治区生态环境分区管控动态更新成果》（新环环评发〔2024〕157号）的符合性分析具体见表1-1。</w:t>
            </w:r>
          </w:p>
          <w:p w14:paraId="6849153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 xml:space="preserve">表1-1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highlight w:val="none"/>
                <w:lang w:eastAsia="zh-CN"/>
                <w14:textFill>
                  <w14:solidFill>
                    <w14:schemeClr w14:val="tx1"/>
                  </w14:solidFill>
                </w14:textFill>
              </w:rPr>
              <w:t>本项目与《新疆维吾尔自治区生态环境分区管控动态更新成果》（新环环评发〔2024〕157号）的符合性分析</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426"/>
              <w:gridCol w:w="426"/>
              <w:gridCol w:w="2712"/>
              <w:gridCol w:w="2129"/>
              <w:gridCol w:w="570"/>
            </w:tblGrid>
            <w:tr w14:paraId="151E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Align w:val="center"/>
                </w:tcPr>
                <w:p w14:paraId="56C06D19">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6"/>
                      <w:sz w:val="21"/>
                      <w:szCs w:val="21"/>
                      <w:highlight w:val="none"/>
                      <w14:textFill>
                        <w14:solidFill>
                          <w14:schemeClr w14:val="tx1"/>
                        </w14:solidFill>
                      </w14:textFill>
                    </w:rPr>
                    <w:t>文件名称</w:t>
                  </w:r>
                </w:p>
              </w:tc>
              <w:tc>
                <w:tcPr>
                  <w:tcW w:w="2549" w:type="pct"/>
                  <w:gridSpan w:val="3"/>
                  <w:vAlign w:val="center"/>
                </w:tcPr>
                <w:p w14:paraId="2F262ACE">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8"/>
                      <w:sz w:val="21"/>
                      <w:szCs w:val="21"/>
                      <w:highlight w:val="none"/>
                      <w:lang w:eastAsia="zh-CN"/>
                      <w14:textFill>
                        <w14:solidFill>
                          <w14:schemeClr w14:val="tx1"/>
                        </w14:solidFill>
                      </w14:textFill>
                    </w:rPr>
                    <w:t>环境管理政策有关要求</w:t>
                  </w:r>
                </w:p>
              </w:tc>
              <w:tc>
                <w:tcPr>
                  <w:tcW w:w="1530" w:type="pct"/>
                  <w:vAlign w:val="center"/>
                </w:tcPr>
                <w:p w14:paraId="6644E8B1">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6"/>
                      <w:sz w:val="21"/>
                      <w:szCs w:val="21"/>
                      <w:highlight w:val="none"/>
                      <w:lang w:eastAsia="zh-CN"/>
                      <w14:textFill>
                        <w14:solidFill>
                          <w14:schemeClr w14:val="tx1"/>
                        </w14:solidFill>
                      </w14:textFill>
                    </w:rPr>
                    <w:t>本项目情况</w:t>
                  </w:r>
                </w:p>
              </w:tc>
              <w:tc>
                <w:tcPr>
                  <w:tcW w:w="412" w:type="pct"/>
                  <w:vAlign w:val="center"/>
                </w:tcPr>
                <w:p w14:paraId="7C9FAF8E">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6"/>
                      <w:sz w:val="21"/>
                      <w:szCs w:val="21"/>
                      <w:highlight w:val="none"/>
                      <w:lang w:eastAsia="zh-CN"/>
                      <w14:textFill>
                        <w14:solidFill>
                          <w14:schemeClr w14:val="tx1"/>
                        </w14:solidFill>
                      </w14:textFill>
                    </w:rPr>
                    <w:t>符合性</w:t>
                  </w:r>
                </w:p>
              </w:tc>
            </w:tr>
            <w:tr w14:paraId="43CA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restart"/>
                  <w:vAlign w:val="center"/>
                </w:tcPr>
                <w:p w14:paraId="5A6918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关于印发《新疆维吾尔自治区生态环境分区管控动态更新成果》的通知</w:t>
                  </w:r>
                </w:p>
              </w:tc>
              <w:tc>
                <w:tcPr>
                  <w:tcW w:w="292" w:type="pct"/>
                  <w:vMerge w:val="restart"/>
                  <w:vAlign w:val="center"/>
                </w:tcPr>
                <w:p w14:paraId="0CD988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自治区总体管控</w:t>
                  </w:r>
                </w:p>
              </w:tc>
              <w:tc>
                <w:tcPr>
                  <w:tcW w:w="307" w:type="pct"/>
                  <w:vMerge w:val="restart"/>
                  <w:vAlign w:val="center"/>
                </w:tcPr>
                <w:p w14:paraId="104CC3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空间布局约束</w:t>
                  </w:r>
                </w:p>
                <w:p w14:paraId="6BF53E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1949" w:type="pct"/>
                  <w:vAlign w:val="center"/>
                </w:tcPr>
                <w:p w14:paraId="3A62DA6C">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〔A1.1-1〕禁止新建、扩建《产业结构调整指导目录</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2024年本</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》中淘汰类项目。禁止引入《市场准入负面清单</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2022年版</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》禁止准入类事项。</w:t>
                  </w:r>
                </w:p>
              </w:tc>
              <w:tc>
                <w:tcPr>
                  <w:tcW w:w="1530" w:type="pct"/>
                  <w:vAlign w:val="center"/>
                </w:tcPr>
                <w:p w14:paraId="7D6236B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本项目不属于《产业结构调整指导目录（2024年本）》中淘汰类项目，也不属于《市场准入负面清单</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2025年版</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》，禁止准入类事项。</w:t>
                  </w:r>
                </w:p>
              </w:tc>
              <w:tc>
                <w:tcPr>
                  <w:tcW w:w="412" w:type="pct"/>
                  <w:vAlign w:val="center"/>
                </w:tcPr>
                <w:p w14:paraId="3BDA61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2D6D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vAlign w:val="center"/>
                </w:tcPr>
                <w:p w14:paraId="5C9E0F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292" w:type="pct"/>
                  <w:vMerge w:val="continue"/>
                  <w:vAlign w:val="center"/>
                </w:tcPr>
                <w:p w14:paraId="36BA62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307" w:type="pct"/>
                  <w:vMerge w:val="continue"/>
                  <w:vAlign w:val="center"/>
                </w:tcPr>
                <w:p w14:paraId="276D71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1949" w:type="pct"/>
                  <w:vAlign w:val="center"/>
                </w:tcPr>
                <w:p w14:paraId="2C95B42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530" w:type="pct"/>
                  <w:vAlign w:val="center"/>
                </w:tcPr>
                <w:p w14:paraId="062CB56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本项目建设活动符合《新疆维吾尔自治区矿产资源总体规划（2021</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2025年）》规划要求，符合生态环境功能区划、国民经济发展规划、产业发展规划、国土空间规划等相关规划及重点生态功能区负面清单要求。</w:t>
                  </w:r>
                </w:p>
              </w:tc>
              <w:tc>
                <w:tcPr>
                  <w:tcW w:w="412" w:type="pct"/>
                  <w:vAlign w:val="center"/>
                </w:tcPr>
                <w:p w14:paraId="7C38E31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4F10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vAlign w:val="center"/>
                </w:tcPr>
                <w:p w14:paraId="4EA664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292" w:type="pct"/>
                  <w:vMerge w:val="continue"/>
                  <w:vAlign w:val="center"/>
                </w:tcPr>
                <w:p w14:paraId="6061A9B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307" w:type="pct"/>
                  <w:vMerge w:val="continue"/>
                  <w:vAlign w:val="center"/>
                </w:tcPr>
                <w:p w14:paraId="1DB7EA7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1949" w:type="pct"/>
                  <w:vAlign w:val="center"/>
                </w:tcPr>
                <w:p w14:paraId="33AA475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530" w:type="pct"/>
                  <w:vAlign w:val="center"/>
                </w:tcPr>
                <w:p w14:paraId="267FE7B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本项目不占用基本农田和耕地，占用灌木林地，环评提出按照国家、自治区相关补偿要求进行补偿。</w:t>
                  </w:r>
                </w:p>
              </w:tc>
              <w:tc>
                <w:tcPr>
                  <w:tcW w:w="412" w:type="pct"/>
                  <w:vAlign w:val="center"/>
                </w:tcPr>
                <w:p w14:paraId="13E83A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0B04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vAlign w:val="center"/>
                </w:tcPr>
                <w:p w14:paraId="4EAA0EB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292" w:type="pct"/>
                  <w:vMerge w:val="continue"/>
                  <w:vAlign w:val="center"/>
                </w:tcPr>
                <w:p w14:paraId="6D0455A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307" w:type="pct"/>
                  <w:vMerge w:val="restart"/>
                  <w:vAlign w:val="center"/>
                </w:tcPr>
                <w:p w14:paraId="5A57D9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污染物排放管理</w:t>
                  </w:r>
                </w:p>
              </w:tc>
              <w:tc>
                <w:tcPr>
                  <w:tcW w:w="1949" w:type="pct"/>
                  <w:vAlign w:val="center"/>
                </w:tcPr>
                <w:p w14:paraId="772F278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〔A2.1-1〕新、改、扩建重点行业建设项目应符合“三线一单”、产业政策、区域环评、规划环评和行业环境准入管控要求。</w:t>
                  </w:r>
                </w:p>
              </w:tc>
              <w:tc>
                <w:tcPr>
                  <w:tcW w:w="1530" w:type="pct"/>
                  <w:vAlign w:val="center"/>
                </w:tcPr>
                <w:p w14:paraId="670C7BB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本项目的建设符合生态环境分区管控要求，符合《产业结构调整指导目录（2024年本）》，符合《新疆维吾尔自治区矿产资源总体规划（2021</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2025年）环境影响报告书》及审查意见。</w:t>
                  </w:r>
                </w:p>
              </w:tc>
              <w:tc>
                <w:tcPr>
                  <w:tcW w:w="412" w:type="pct"/>
                  <w:vAlign w:val="center"/>
                </w:tcPr>
                <w:p w14:paraId="64F44B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196BA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vAlign w:val="center"/>
                </w:tcPr>
                <w:p w14:paraId="525430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292" w:type="pct"/>
                  <w:vMerge w:val="continue"/>
                  <w:vAlign w:val="center"/>
                </w:tcPr>
                <w:p w14:paraId="02E1347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307" w:type="pct"/>
                  <w:vMerge w:val="continue"/>
                  <w:vAlign w:val="center"/>
                </w:tcPr>
                <w:p w14:paraId="14A592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1949" w:type="pct"/>
                  <w:vAlign w:val="center"/>
                </w:tcPr>
                <w:p w14:paraId="2EE7268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〔A2.2-8〕严控土壤重金属污染，加强油</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气</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田开发土壤污染防治，以历史遗留工业企业污染场地为重点，开展土壤污染风险管控与修复工程。</w:t>
                  </w:r>
                </w:p>
              </w:tc>
              <w:tc>
                <w:tcPr>
                  <w:tcW w:w="1530" w:type="pct"/>
                  <w:vAlign w:val="center"/>
                </w:tcPr>
                <w:p w14:paraId="74BE75D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本项目属于陆地矿产资源地质勘查，落地油100%回收，废防渗材料、废润滑油、废润滑油桶集中收集后暂存于危废贮存点，定期委托有资质的单位处理。固废均得到了合理处置，不会对土壤环境造成严重的污染。</w:t>
                  </w:r>
                </w:p>
              </w:tc>
              <w:tc>
                <w:tcPr>
                  <w:tcW w:w="412" w:type="pct"/>
                  <w:vAlign w:val="center"/>
                </w:tcPr>
                <w:p w14:paraId="49BAAC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2283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vAlign w:val="center"/>
                </w:tcPr>
                <w:p w14:paraId="52FE778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292" w:type="pct"/>
                  <w:vMerge w:val="continue"/>
                  <w:vAlign w:val="center"/>
                </w:tcPr>
                <w:p w14:paraId="073BA3B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307" w:type="pct"/>
                  <w:vAlign w:val="center"/>
                </w:tcPr>
                <w:p w14:paraId="1603CBF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环境风险防控</w:t>
                  </w:r>
                </w:p>
              </w:tc>
              <w:tc>
                <w:tcPr>
                  <w:tcW w:w="1949" w:type="pct"/>
                  <w:vAlign w:val="center"/>
                </w:tcPr>
                <w:p w14:paraId="2AB4969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1530" w:type="pct"/>
                  <w:vAlign w:val="center"/>
                </w:tcPr>
                <w:p w14:paraId="6D01690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本环评对项目可能产生的环境风险进行了分析，并提出了相应的风险防范措施和应急措施。</w:t>
                  </w:r>
                </w:p>
              </w:tc>
              <w:tc>
                <w:tcPr>
                  <w:tcW w:w="412" w:type="pct"/>
                  <w:vAlign w:val="center"/>
                </w:tcPr>
                <w:p w14:paraId="6A282E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3109F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7" w:type="pct"/>
                  <w:vMerge w:val="continue"/>
                  <w:vAlign w:val="center"/>
                </w:tcPr>
                <w:p w14:paraId="21C672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292" w:type="pct"/>
                  <w:vMerge w:val="continue"/>
                  <w:vAlign w:val="center"/>
                </w:tcPr>
                <w:p w14:paraId="5519A18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307" w:type="pct"/>
                  <w:vAlign w:val="center"/>
                </w:tcPr>
                <w:p w14:paraId="5357365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资源利用效率</w:t>
                  </w:r>
                </w:p>
              </w:tc>
              <w:tc>
                <w:tcPr>
                  <w:tcW w:w="1949" w:type="pct"/>
                  <w:vAlign w:val="center"/>
                </w:tcPr>
                <w:p w14:paraId="53CCE0E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市</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生活垃圾处理设施，到2025年，全疆城市生活垃圾无害化处理率达到99%以上。</w:t>
                  </w:r>
                </w:p>
              </w:tc>
              <w:tc>
                <w:tcPr>
                  <w:tcW w:w="1530" w:type="pct"/>
                  <w:vAlign w:val="center"/>
                </w:tcPr>
                <w:p w14:paraId="75DCDF52">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本项目属于陆地矿产资源地质勘查，含油污泥、沾油废防渗材料、废润滑油、废润滑油桶均为危废。集中收集后暂存于危废贮存点，定期委托有资质的单位处理。落地油100%回收。固废均得到了合理处置。</w:t>
                  </w:r>
                </w:p>
              </w:tc>
              <w:tc>
                <w:tcPr>
                  <w:tcW w:w="412" w:type="pct"/>
                  <w:vAlign w:val="center"/>
                </w:tcPr>
                <w:p w14:paraId="3570521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bl>
          <w:p w14:paraId="661186BD">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2" w:firstLineChars="20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（2）与《关于发布昌吉回族自治州生态环境分区管控动态更新成果的公告》的符合性分析</w:t>
            </w:r>
          </w:p>
          <w:p w14:paraId="496AE43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Cambria Math" w:hAnsi="Cambria Math" w:eastAsia="宋体" w:cs="Cambria Math"/>
                <w:color w:val="000000" w:themeColor="text1"/>
                <w:sz w:val="24"/>
                <w:szCs w:val="24"/>
                <w:highlight w:val="none"/>
                <w:lang w:eastAsia="zh-CN"/>
                <w14:textFill>
                  <w14:solidFill>
                    <w14:schemeClr w14:val="tx1"/>
                  </w14:solidFill>
                </w14:textFill>
              </w:rPr>
              <w:t>①</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生态保护红线</w:t>
            </w:r>
          </w:p>
          <w:p w14:paraId="24C2E15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项目用地周围无国家公园、自然保护区、森林公园的生态保育区和核心景观区、地质公园的地质遗迹保护区、世界自然遗产的核心区和缓冲区、湿地公园的湿地保育区和恢复重建区、饮用水水源地一级保护区、水产种质资源保护区的核心区以及其他类型禁止开发区的核心保护区域。项目建设不会占用生态保护红线。</w:t>
            </w:r>
          </w:p>
          <w:p w14:paraId="634C612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Cambria Math" w:hAnsi="Cambria Math" w:eastAsia="宋体" w:cs="Cambria Math"/>
                <w:color w:val="000000" w:themeColor="text1"/>
                <w:sz w:val="24"/>
                <w:szCs w:val="24"/>
                <w:highlight w:val="none"/>
                <w:lang w:eastAsia="zh-CN"/>
                <w14:textFill>
                  <w14:solidFill>
                    <w14:schemeClr w14:val="tx1"/>
                  </w14:solidFill>
                </w14:textFill>
              </w:rPr>
              <w:t>②</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环境质量底线</w:t>
            </w:r>
          </w:p>
          <w:p w14:paraId="04383A7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本项目为陆地石油勘探项目，无运营期；钻试期产生的污染影响随施工结束而停止，对区域环境质量影响小，不会突破区域环境质量底线。本工程建设不会改变环境功能区，能够严守环境质量底线。</w:t>
            </w:r>
          </w:p>
          <w:p w14:paraId="7C278F2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Cambria Math" w:hAnsi="Cambria Math" w:eastAsia="宋体" w:cs="Cambria Math"/>
                <w:color w:val="000000" w:themeColor="text1"/>
                <w:sz w:val="24"/>
                <w:szCs w:val="24"/>
                <w:highlight w:val="none"/>
                <w:lang w:eastAsia="zh-CN"/>
                <w14:textFill>
                  <w14:solidFill>
                    <w14:schemeClr w14:val="tx1"/>
                  </w14:solidFill>
                </w14:textFill>
              </w:rPr>
              <w:t>③</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资源利用上线</w:t>
            </w:r>
          </w:p>
          <w:p w14:paraId="14AC375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本工程为陆地矿产资源勘查项目，无运营期。本工程占地包括井场、临时道路及其生活营地等，均为临时占地，项目建设占用土地资源相对区域资源利用较少；符合资源利用上限的要求。</w:t>
            </w:r>
          </w:p>
          <w:p w14:paraId="2DD3F2D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Cambria Math" w:hAnsi="Cambria Math" w:eastAsia="宋体" w:cs="Cambria Math"/>
                <w:color w:val="000000" w:themeColor="text1"/>
                <w:sz w:val="24"/>
                <w:szCs w:val="24"/>
                <w:highlight w:val="none"/>
                <w:lang w:eastAsia="zh-CN"/>
                <w14:textFill>
                  <w14:solidFill>
                    <w14:schemeClr w14:val="tx1"/>
                  </w14:solidFill>
                </w14:textFill>
              </w:rPr>
              <w:t>④</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生态环境准入清单</w:t>
            </w:r>
          </w:p>
          <w:p w14:paraId="371769E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根据《关于发布昌吉回族自治州生态环境分区管控动态更新成果的公告》，自治州共划定193个环境管控单元，分为优先保护单元94个、重点管控单元92个和一般管控单元7个，实施分类管控。昌吉州生态环境分区管控单元图见附图1。</w:t>
            </w:r>
          </w:p>
          <w:p w14:paraId="1846E0A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吉阜103H</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吉阜1001</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H钻试场均位于昌吉回族自治州环境管控单元生态环境准入清单动态更新成果（重点管控单元</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ZH65232720005－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吉木萨尔县</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限采区），其具体分析见表1-2。</w:t>
            </w:r>
          </w:p>
          <w:p w14:paraId="7224DA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 xml:space="preserve">表1-2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highlight w:val="none"/>
                <w:lang w:eastAsia="zh-CN"/>
                <w14:textFill>
                  <w14:solidFill>
                    <w14:schemeClr w14:val="tx1"/>
                  </w14:solidFill>
                </w14:textFill>
              </w:rPr>
              <w:t>项目与《昌吉回族自治州生态环境分区管控方案》符合性分析一览表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659"/>
              <w:gridCol w:w="1925"/>
              <w:gridCol w:w="1950"/>
              <w:gridCol w:w="641"/>
            </w:tblGrid>
            <w:tr w14:paraId="1DC5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pct"/>
                  <w:vAlign w:val="center"/>
                </w:tcPr>
                <w:p w14:paraId="0AF19C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管控单元名称</w:t>
                  </w:r>
                </w:p>
              </w:tc>
              <w:tc>
                <w:tcPr>
                  <w:tcW w:w="473" w:type="pct"/>
                  <w:vAlign w:val="center"/>
                </w:tcPr>
                <w:p w14:paraId="71FFB32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环境管控</w:t>
                  </w:r>
                </w:p>
              </w:tc>
              <w:tc>
                <w:tcPr>
                  <w:tcW w:w="1381" w:type="pct"/>
                  <w:vAlign w:val="center"/>
                </w:tcPr>
                <w:p w14:paraId="79896B4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管控要求</w:t>
                  </w:r>
                </w:p>
              </w:tc>
              <w:tc>
                <w:tcPr>
                  <w:tcW w:w="1399" w:type="pct"/>
                  <w:vAlign w:val="center"/>
                </w:tcPr>
                <w:p w14:paraId="27E4BFE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项目情况</w:t>
                  </w:r>
                </w:p>
              </w:tc>
              <w:tc>
                <w:tcPr>
                  <w:tcW w:w="460" w:type="pct"/>
                  <w:vAlign w:val="center"/>
                </w:tcPr>
                <w:p w14:paraId="0DA213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相符性</w:t>
                  </w:r>
                </w:p>
              </w:tc>
            </w:tr>
            <w:tr w14:paraId="11AE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pct"/>
                  <w:vMerge w:val="restart"/>
                  <w:vAlign w:val="center"/>
                </w:tcPr>
                <w:p w14:paraId="3A339C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昌吉回族自治州重点管控单元</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ZH65232720005－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吉木萨尔县</w:t>
                  </w:r>
                  <w:r>
                    <w:rPr>
                      <w:rFonts w:ascii="Times New Roman" w:hAnsi="Times New Roman" w:eastAsia="宋体" w:cs="Times New Roman"/>
                      <w:color w:val="000000" w:themeColor="text1"/>
                      <w:sz w:val="21"/>
                      <w:szCs w:val="21"/>
                      <w:highlight w:val="none"/>
                      <w:lang w:eastAsia="zh-CN"/>
                      <w14:textFill>
                        <w14:solidFill>
                          <w14:schemeClr w14:val="tx1"/>
                        </w14:solidFill>
                      </w14:textFill>
                    </w:rPr>
                    <w:t>限采区</w:t>
                  </w:r>
                </w:p>
              </w:tc>
              <w:tc>
                <w:tcPr>
                  <w:tcW w:w="473" w:type="pct"/>
                  <w:vAlign w:val="center"/>
                </w:tcPr>
                <w:p w14:paraId="690675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空间布局约束</w:t>
                  </w:r>
                </w:p>
              </w:tc>
              <w:tc>
                <w:tcPr>
                  <w:tcW w:w="1381" w:type="pct"/>
                  <w:vAlign w:val="center"/>
                </w:tcPr>
                <w:p w14:paraId="37CBC61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1.</w:t>
                  </w:r>
                  <w:r>
                    <w:rPr>
                      <w:rFonts w:ascii="Times New Roman" w:hAnsi="Times New Roman" w:eastAsia="宋体" w:cs="Times New Roman"/>
                      <w:color w:val="000000" w:themeColor="text1"/>
                      <w:highlight w:val="none"/>
                      <w:lang w:eastAsia="zh-CN"/>
                      <w14:textFill>
                        <w14:solidFill>
                          <w14:schemeClr w14:val="tx1"/>
                        </w14:solidFill>
                      </w14:textFill>
                    </w:rPr>
                    <w:t>严格控制缺水地区、水污染严重区域和敏感区域高耗水、高污染行业发展。</w:t>
                  </w:r>
                </w:p>
              </w:tc>
              <w:tc>
                <w:tcPr>
                  <w:tcW w:w="1399" w:type="pct"/>
                  <w:vAlign w:val="center"/>
                </w:tcPr>
                <w:p w14:paraId="1F7AB3D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工程属于油气勘探项目，属于国家产业政策中鼓励类项目，符合《产业结构调整指导目录（2024年本）》《市场准入负面清单（2025年版）》；施工期严格实行区域用水总量和强度控制，加强用水定额管理；施工期严格控制污染物排放，确保各污染物达标排放。</w:t>
                  </w:r>
                </w:p>
              </w:tc>
              <w:tc>
                <w:tcPr>
                  <w:tcW w:w="460" w:type="pct"/>
                  <w:vAlign w:val="center"/>
                </w:tcPr>
                <w:p w14:paraId="415269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60F9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pct"/>
                  <w:vMerge w:val="continue"/>
                  <w:vAlign w:val="center"/>
                </w:tcPr>
                <w:p w14:paraId="6EC4B3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473" w:type="pct"/>
                  <w:vAlign w:val="center"/>
                </w:tcPr>
                <w:p w14:paraId="0B1482E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污染物排放管控</w:t>
                  </w:r>
                </w:p>
              </w:tc>
              <w:tc>
                <w:tcPr>
                  <w:tcW w:w="1381" w:type="pct"/>
                </w:tcPr>
                <w:p w14:paraId="2CEEF232">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1.</w:t>
                  </w:r>
                  <w:r>
                    <w:rPr>
                      <w:rFonts w:ascii="Times New Roman" w:hAnsi="Times New Roman" w:eastAsia="宋体" w:cs="Times New Roman"/>
                      <w:color w:val="000000" w:themeColor="text1"/>
                      <w:highlight w:val="none"/>
                      <w:lang w:eastAsia="zh-CN"/>
                      <w14:textFill>
                        <w14:solidFill>
                          <w14:schemeClr w14:val="tx1"/>
                        </w14:solidFill>
                      </w14:textFill>
                    </w:rPr>
                    <w:t>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支持企业积极实施节水技术改造，加强工业园区污水集中处理设施运行管理，加快再生水回用设施建设，提升园区水资源循环利用水平。</w:t>
                  </w:r>
                </w:p>
              </w:tc>
              <w:tc>
                <w:tcPr>
                  <w:tcW w:w="1399" w:type="pct"/>
                  <w:vAlign w:val="center"/>
                </w:tcPr>
                <w:p w14:paraId="65CE41E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本项目生活污水经防渗收集池收集后定期由施工队拉运至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ascii="Times New Roman" w:hAnsi="Times New Roman" w:eastAsia="宋体" w:cs="Times New Roman"/>
                      <w:color w:val="000000" w:themeColor="text1"/>
                      <w:highlight w:val="none"/>
                      <w:lang w:eastAsia="zh-CN"/>
                      <w14:textFill>
                        <w14:solidFill>
                          <w14:schemeClr w14:val="tx1"/>
                        </w14:solidFill>
                      </w14:textFill>
                    </w:rPr>
                    <w:t>市政污水处理厂处理；项目井下作业废水拉运至</w:t>
                  </w:r>
                  <w:r>
                    <w:rPr>
                      <w:rFonts w:hint="eastAsia" w:ascii="Times New Roman" w:hAnsi="Times New Roman" w:eastAsia="宋体" w:cs="Times New Roman"/>
                      <w:color w:val="000000" w:themeColor="text1"/>
                      <w:highlight w:val="none"/>
                      <w:lang w:eastAsia="zh-CN"/>
                      <w14:textFill>
                        <w14:solidFill>
                          <w14:schemeClr w14:val="tx1"/>
                        </w14:solidFill>
                      </w14:textFill>
                    </w:rPr>
                    <w:t>吉康</w:t>
                  </w:r>
                  <w:r>
                    <w:rPr>
                      <w:rFonts w:ascii="Times New Roman" w:hAnsi="Times New Roman" w:eastAsia="宋体" w:cs="Times New Roman"/>
                      <w:color w:val="000000" w:themeColor="text1"/>
                      <w:highlight w:val="none"/>
                      <w:lang w:eastAsia="zh-CN"/>
                      <w14:textFill>
                        <w14:solidFill>
                          <w14:schemeClr w14:val="tx1"/>
                        </w14:solidFill>
                      </w14:textFill>
                    </w:rPr>
                    <w:t>脱水站并处理达标后，全部回注油藏，不外排。生活垃圾集中收集后委托第三方拉运至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ascii="Times New Roman" w:hAnsi="Times New Roman" w:eastAsia="宋体" w:cs="Times New Roman"/>
                      <w:color w:val="000000" w:themeColor="text1"/>
                      <w:highlight w:val="none"/>
                      <w:lang w:eastAsia="zh-CN"/>
                      <w14:textFill>
                        <w14:solidFill>
                          <w14:schemeClr w14:val="tx1"/>
                        </w14:solidFill>
                      </w14:textFill>
                    </w:rPr>
                    <w:t>垃圾场处理。项目建立环境风险监管制度、环境风险预警制度、突发环境事件应急预案、环境风险应急保障制度等环境风险防控体系。组织人员进行应急演练。</w:t>
                  </w:r>
                  <w:r>
                    <w:rPr>
                      <w:rFonts w:ascii="Times New Roman" w:hAnsi="Times New Roman" w:eastAsia="宋体" w:cs="Times New Roman"/>
                      <w:color w:val="000000" w:themeColor="text1"/>
                      <w:highlight w:val="none"/>
                      <w:lang w:eastAsia="zh-CN" w:bidi="ar"/>
                      <w14:textFill>
                        <w14:solidFill>
                          <w14:schemeClr w14:val="tx1"/>
                        </w14:solidFill>
                      </w14:textFill>
                    </w:rPr>
                    <w:t>项目推行清洁生产、降低生产水耗，从源头上控制污染物的产生。</w:t>
                  </w:r>
                </w:p>
              </w:tc>
              <w:tc>
                <w:tcPr>
                  <w:tcW w:w="460" w:type="pct"/>
                  <w:vAlign w:val="center"/>
                </w:tcPr>
                <w:p w14:paraId="34C412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756F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pct"/>
                  <w:vMerge w:val="continue"/>
                  <w:vAlign w:val="center"/>
                </w:tcPr>
                <w:p w14:paraId="664BFD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473" w:type="pct"/>
                  <w:vAlign w:val="center"/>
                </w:tcPr>
                <w:p w14:paraId="0C45C1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环境风险防控</w:t>
                  </w:r>
                </w:p>
              </w:tc>
              <w:tc>
                <w:tcPr>
                  <w:tcW w:w="1381" w:type="pct"/>
                  <w:vAlign w:val="center"/>
                </w:tcPr>
                <w:p w14:paraId="6B0F89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1.</w:t>
                  </w:r>
                  <w:r>
                    <w:rPr>
                      <w:rFonts w:ascii="Times New Roman" w:hAnsi="Times New Roman" w:eastAsia="宋体" w:cs="Times New Roman"/>
                      <w:color w:val="000000" w:themeColor="text1"/>
                      <w:highlight w:val="none"/>
                      <w:lang w:eastAsia="zh-CN"/>
                      <w14:textFill>
                        <w14:solidFill>
                          <w14:schemeClr w14:val="tx1"/>
                        </w14:solidFill>
                      </w14:textFill>
                    </w:rPr>
                    <w:t>强化重点区域地下水环境风险管控。对化学品生产企业、工业集聚区、尾矿库、矿山开采区、危险废物处置场、垃圾填埋场等地下水污染源及周边区域，逐步开展地下水环境状况调查评估，加强风险管控。</w:t>
                  </w:r>
                </w:p>
              </w:tc>
              <w:tc>
                <w:tcPr>
                  <w:tcW w:w="1399" w:type="pct"/>
                  <w:vAlign w:val="center"/>
                </w:tcPr>
                <w:p w14:paraId="4E088A3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本工程属于油气勘探项目，项目建立环境风险监管制度、环境风险预警制度、突发环境事件应急预案、环境风险应急保障制度等环境风险防控体系。</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本次项目2口钻井均为</w:t>
                  </w:r>
                  <w:r>
                    <w:rPr>
                      <w:rFonts w:ascii="Times New Roman" w:hAnsi="Times New Roman" w:eastAsia="宋体" w:cs="Times New Roman"/>
                      <w:color w:val="000000" w:themeColor="text1"/>
                      <w:highlight w:val="none"/>
                      <w:lang w:eastAsia="zh-CN"/>
                      <w14:textFill>
                        <w14:solidFill>
                          <w14:schemeClr w14:val="tx1"/>
                        </w14:solidFill>
                      </w14:textFill>
                    </w:rPr>
                    <w:t>一开采用水基钻井液，</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二开、</w:t>
                  </w:r>
                  <w:r>
                    <w:rPr>
                      <w:rFonts w:ascii="Times New Roman" w:hAnsi="Times New Roman" w:eastAsia="宋体" w:cs="Times New Roman"/>
                      <w:color w:val="000000" w:themeColor="text1"/>
                      <w:highlight w:val="none"/>
                      <w:lang w:eastAsia="zh-CN"/>
                      <w14:textFill>
                        <w14:solidFill>
                          <w14:schemeClr w14:val="tx1"/>
                        </w14:solidFill>
                      </w14:textFill>
                    </w:rPr>
                    <w:t>三开采用油基钻井液，水基泥浆由钻井公司委托第三方运走进行固液分离，分离后固相处理达标后综合利用，液相由第三方合规处置，油基泥浆</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油基岩屑、含油污泥委托有危废处置资质的单位进行处置。项目产生的生活垃圾集中收集后委托第三方拉运至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ascii="Times New Roman" w:hAnsi="Times New Roman" w:eastAsia="宋体" w:cs="Times New Roman"/>
                      <w:color w:val="000000" w:themeColor="text1"/>
                      <w:highlight w:val="none"/>
                      <w:lang w:eastAsia="zh-CN"/>
                      <w14:textFill>
                        <w14:solidFill>
                          <w14:schemeClr w14:val="tx1"/>
                        </w14:solidFill>
                      </w14:textFill>
                    </w:rPr>
                    <w:t>垃圾场处理。</w:t>
                  </w:r>
                </w:p>
              </w:tc>
              <w:tc>
                <w:tcPr>
                  <w:tcW w:w="460" w:type="pct"/>
                  <w:vAlign w:val="center"/>
                </w:tcPr>
                <w:p w14:paraId="38AA399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230A6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pct"/>
                  <w:vMerge w:val="continue"/>
                  <w:vAlign w:val="center"/>
                </w:tcPr>
                <w:p w14:paraId="46F45A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473" w:type="pct"/>
                  <w:vAlign w:val="center"/>
                </w:tcPr>
                <w:p w14:paraId="2747F7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资源开发效率要求</w:t>
                  </w:r>
                </w:p>
              </w:tc>
              <w:tc>
                <w:tcPr>
                  <w:tcW w:w="1381" w:type="pct"/>
                  <w:vAlign w:val="center"/>
                </w:tcPr>
                <w:p w14:paraId="0EE7AF0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1.</w:t>
                  </w:r>
                  <w:r>
                    <w:rPr>
                      <w:rFonts w:ascii="Times New Roman" w:hAnsi="Times New Roman" w:eastAsia="宋体" w:cs="Times New Roman"/>
                      <w:color w:val="000000" w:themeColor="text1"/>
                      <w:highlight w:val="none"/>
                      <w:lang w:eastAsia="zh-CN"/>
                      <w14:textFill>
                        <w14:solidFill>
                          <w14:schemeClr w14:val="tx1"/>
                        </w14:solidFill>
                      </w14:textFill>
                    </w:rPr>
                    <w:t>县级以上人民政府水行政主管部门应当合理配置地表水、地下水，从严控制地下水取水总量。</w:t>
                  </w:r>
                  <w:r>
                    <w:rPr>
                      <w:rFonts w:ascii="Times New Roman" w:hAnsi="Times New Roman" w:eastAsia="宋体" w:cs="Times New Roman"/>
                      <w:color w:val="000000" w:themeColor="text1"/>
                      <w:highlight w:val="none"/>
                      <w:lang w:eastAsia="zh-CN"/>
                      <w14:textFill>
                        <w14:solidFill>
                          <w14:schemeClr w14:val="tx1"/>
                        </w14:solidFill>
                      </w14:textFill>
                    </w:rPr>
                    <w:br w:type="textWrapping"/>
                  </w:r>
                  <w:r>
                    <w:rPr>
                      <w:rFonts w:ascii="Times New Roman" w:hAnsi="Times New Roman" w:eastAsia="宋体" w:cs="Times New Roman"/>
                      <w:color w:val="000000" w:themeColor="text1"/>
                      <w:highlight w:val="none"/>
                      <w:lang w:eastAsia="zh-CN"/>
                      <w14:textFill>
                        <w14:solidFill>
                          <w14:schemeClr w14:val="tx1"/>
                        </w14:solidFill>
                      </w14:textFill>
                    </w:rPr>
                    <w:t>2、严守水资源开发利用控制、用水效率控制和水功能区限制纳污“三条红线”，严格实行区域用水总量和强度控制，强化用水定额管理。</w:t>
                  </w:r>
                  <w:r>
                    <w:rPr>
                      <w:rFonts w:ascii="Times New Roman" w:hAnsi="Times New Roman" w:eastAsia="宋体" w:cs="Times New Roman"/>
                      <w:color w:val="000000" w:themeColor="text1"/>
                      <w:highlight w:val="none"/>
                      <w14:textFill>
                        <w14:solidFill>
                          <w14:schemeClr w14:val="tx1"/>
                        </w14:solidFill>
                      </w14:textFill>
                    </w:rPr>
                    <w:t>推进地下水超采综合治理。</w:t>
                  </w:r>
                </w:p>
              </w:tc>
              <w:tc>
                <w:tcPr>
                  <w:tcW w:w="1399" w:type="pct"/>
                  <w:vAlign w:val="center"/>
                </w:tcPr>
                <w:p w14:paraId="69334A4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本项目施工期严格实行区域用水总量和强度控制，加强用水定额管理；用水通过罐车拉运，用水量较少；项目实行节水制度，降低生产水耗，从源头上控制污染物的产生。本项目不涉及地下水开采。</w:t>
                  </w:r>
                </w:p>
              </w:tc>
              <w:tc>
                <w:tcPr>
                  <w:tcW w:w="460" w:type="pct"/>
                  <w:vAlign w:val="center"/>
                </w:tcPr>
                <w:p w14:paraId="6FB58DB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bl>
          <w:p w14:paraId="61DD9FE6">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b/>
                <w:bCs/>
                <w:color w:val="000000" w:themeColor="text1"/>
                <w:kern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bidi="ar"/>
                <w14:textFill>
                  <w14:solidFill>
                    <w14:schemeClr w14:val="tx1"/>
                  </w14:solidFill>
                </w14:textFill>
              </w:rPr>
              <w:t>综上，本项目建设符合生态环境分区管控要求。</w:t>
            </w:r>
          </w:p>
          <w:p w14:paraId="0E4C3657">
            <w:pPr>
              <w:pStyle w:val="22"/>
              <w:keepNext w:val="0"/>
              <w:keepLines w:val="0"/>
              <w:pageBreakBefore w:val="0"/>
              <w:widowControl w:val="0"/>
              <w:numPr>
                <w:ilvl w:val="0"/>
                <w:numId w:val="3"/>
              </w:numPr>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kern w:val="2"/>
                <w:sz w:val="24"/>
                <w:szCs w:val="24"/>
                <w:highlight w:val="none"/>
                <w:lang w:eastAsia="zh-CN"/>
                <w14:textFill>
                  <w14:solidFill>
                    <w14:schemeClr w14:val="tx1"/>
                  </w14:solidFill>
                </w14:textFill>
              </w:rPr>
            </w:pPr>
            <w:r>
              <w:rPr>
                <w:rFonts w:ascii="Times New Roman" w:hAnsi="Times New Roman" w:cs="Times New Roman"/>
                <w:b/>
                <w:bCs/>
                <w:color w:val="000000" w:themeColor="text1"/>
                <w:kern w:val="2"/>
                <w:sz w:val="24"/>
                <w:szCs w:val="24"/>
                <w:highlight w:val="none"/>
                <w:lang w:eastAsia="zh-CN"/>
                <w14:textFill>
                  <w14:solidFill>
                    <w14:schemeClr w14:val="tx1"/>
                  </w14:solidFill>
                </w14:textFill>
              </w:rPr>
              <w:t>与《石油天然气开采业污染防治技术政策》的符合性</w:t>
            </w:r>
          </w:p>
          <w:p w14:paraId="1CCD5DC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kern w:val="2"/>
                <w:sz w:val="24"/>
                <w:szCs w:val="24"/>
                <w:highlight w:val="none"/>
                <w:lang w:eastAsia="zh-CN"/>
                <w14:textFill>
                  <w14:solidFill>
                    <w14:schemeClr w14:val="tx1"/>
                  </w14:solidFill>
                </w14:textFill>
              </w:rPr>
            </w:pPr>
            <w:r>
              <w:rPr>
                <w:rFonts w:ascii="Times New Roman" w:hAnsi="Times New Roman" w:cs="Times New Roman"/>
                <w:color w:val="000000" w:themeColor="text1"/>
                <w:kern w:val="2"/>
                <w:sz w:val="24"/>
                <w:szCs w:val="24"/>
                <w:highlight w:val="none"/>
                <w:lang w:eastAsia="zh-CN"/>
                <w14:textFill>
                  <w14:solidFill>
                    <w14:schemeClr w14:val="tx1"/>
                  </w14:solidFill>
                </w14:textFill>
              </w:rPr>
              <w:t>项目与《石油天然气开采业污染防治技术政策》的符合性分析见表1-3。</w:t>
            </w:r>
          </w:p>
          <w:p w14:paraId="6EE1756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 xml:space="preserve">表1-3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highlight w:val="none"/>
                <w:lang w:eastAsia="zh-CN"/>
                <w14:textFill>
                  <w14:solidFill>
                    <w14:schemeClr w14:val="tx1"/>
                  </w14:solidFill>
                </w14:textFill>
              </w:rPr>
              <w:t>项目与《石油天然气开采业污染防治技术政策》</w:t>
            </w:r>
            <w:r>
              <w:rPr>
                <w:rFonts w:ascii="Times New Roman" w:hAnsi="Times New Roman" w:eastAsia="宋体" w:cs="Times New Roman"/>
                <w:b/>
                <w:bCs/>
                <w:color w:val="000000" w:themeColor="text1"/>
                <w:highlight w:val="none"/>
                <w14:textFill>
                  <w14:solidFill>
                    <w14:schemeClr w14:val="tx1"/>
                  </w14:solidFill>
                </w14:textFill>
              </w:rPr>
              <w:t>符合性分析一览表</w:t>
            </w:r>
          </w:p>
          <w:tbl>
            <w:tblPr>
              <w:tblStyle w:val="21"/>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447"/>
              <w:gridCol w:w="2879"/>
              <w:gridCol w:w="645"/>
            </w:tblGrid>
            <w:tr w14:paraId="32B60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2472" w:type="pct"/>
                  <w:vAlign w:val="center"/>
                </w:tcPr>
                <w:p w14:paraId="5A62B24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《石油天然气开采业污染防治技术政策》</w:t>
                  </w:r>
                </w:p>
              </w:tc>
              <w:tc>
                <w:tcPr>
                  <w:tcW w:w="2065" w:type="pct"/>
                  <w:vAlign w:val="center"/>
                </w:tcPr>
                <w:p w14:paraId="175F672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本项目</w:t>
                  </w:r>
                </w:p>
              </w:tc>
              <w:tc>
                <w:tcPr>
                  <w:tcW w:w="462" w:type="pct"/>
                  <w:vAlign w:val="center"/>
                </w:tcPr>
                <w:p w14:paraId="42041C1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符合性</w:t>
                  </w:r>
                </w:p>
              </w:tc>
            </w:tr>
            <w:tr w14:paraId="35031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4" w:hRule="atLeast"/>
                <w:jc w:val="center"/>
              </w:trPr>
              <w:tc>
                <w:tcPr>
                  <w:tcW w:w="2472" w:type="pct"/>
                  <w:vAlign w:val="center"/>
                </w:tcPr>
                <w:p w14:paraId="0B98725D">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2065" w:type="pct"/>
                  <w:vAlign w:val="center"/>
                </w:tcPr>
                <w:p w14:paraId="7268155A">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本项目试油期井下作业废水拉运至</w:t>
                  </w:r>
                  <w:r>
                    <w:rPr>
                      <w:rFonts w:hint="eastAsia" w:ascii="Times New Roman" w:hAnsi="Times New Roman" w:eastAsia="宋体" w:cs="Times New Roman"/>
                      <w:color w:val="000000" w:themeColor="text1"/>
                      <w:highlight w:val="none"/>
                      <w:lang w:eastAsia="zh-CN"/>
                      <w14:textFill>
                        <w14:solidFill>
                          <w14:schemeClr w14:val="tx1"/>
                        </w14:solidFill>
                      </w14:textFill>
                    </w:rPr>
                    <w:t>吉康</w:t>
                  </w:r>
                  <w:r>
                    <w:rPr>
                      <w:rFonts w:ascii="Times New Roman" w:hAnsi="Times New Roman" w:eastAsia="宋体" w:cs="Times New Roman"/>
                      <w:color w:val="000000" w:themeColor="text1"/>
                      <w:highlight w:val="none"/>
                      <w:lang w:eastAsia="zh-CN"/>
                      <w14:textFill>
                        <w14:solidFill>
                          <w14:schemeClr w14:val="tx1"/>
                        </w14:solidFill>
                      </w14:textFill>
                    </w:rPr>
                    <w:t>脱水站并处理达标后，全部回注油藏，工业废水回用率大于90%；本环评对项目可能产生的环境风险进行了分析，并提出了相应的风险防范措施和应急预案。</w:t>
                  </w:r>
                </w:p>
              </w:tc>
              <w:tc>
                <w:tcPr>
                  <w:tcW w:w="462" w:type="pct"/>
                  <w:vAlign w:val="center"/>
                </w:tcPr>
                <w:p w14:paraId="1E08070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24948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jc w:val="center"/>
              </w:trPr>
              <w:tc>
                <w:tcPr>
                  <w:tcW w:w="2472" w:type="pct"/>
                  <w:vAlign w:val="center"/>
                </w:tcPr>
                <w:p w14:paraId="53026B8C">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油气田开发不得使用含有国际公约禁用化学物质的油气田化学剂，逐步淘汰微毒及以上油气田化学剂，鼓励使用无毒油气田化学剂。</w:t>
                  </w:r>
                </w:p>
              </w:tc>
              <w:tc>
                <w:tcPr>
                  <w:tcW w:w="2065" w:type="pct"/>
                  <w:vAlign w:val="center"/>
                </w:tcPr>
                <w:p w14:paraId="1EE4C708">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本项目不涉及禁用的化学物质。</w:t>
                  </w:r>
                </w:p>
              </w:tc>
              <w:tc>
                <w:tcPr>
                  <w:tcW w:w="462" w:type="pct"/>
                  <w:vAlign w:val="center"/>
                </w:tcPr>
                <w:p w14:paraId="49B44A5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0D15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6" w:hRule="atLeast"/>
                <w:jc w:val="center"/>
              </w:trPr>
              <w:tc>
                <w:tcPr>
                  <w:tcW w:w="2472" w:type="pct"/>
                  <w:vAlign w:val="center"/>
                </w:tcPr>
                <w:p w14:paraId="707A6A68">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落地原油。其中井下作业过程中应配备泄油器、刮油器等。落地原油应及时回收，落地原油回收率应达到100%。</w:t>
                  </w:r>
                </w:p>
              </w:tc>
              <w:tc>
                <w:tcPr>
                  <w:tcW w:w="2065" w:type="pct"/>
                  <w:vAlign w:val="center"/>
                </w:tcPr>
                <w:p w14:paraId="2351160A">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井下作业时带罐，井口敷设防渗膜，防止产生落地油。产生的落地油，及时回收，做到100%回收。</w:t>
                  </w:r>
                </w:p>
              </w:tc>
              <w:tc>
                <w:tcPr>
                  <w:tcW w:w="462" w:type="pct"/>
                  <w:vAlign w:val="center"/>
                </w:tcPr>
                <w:p w14:paraId="78C733A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1071D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jc w:val="center"/>
              </w:trPr>
              <w:tc>
                <w:tcPr>
                  <w:tcW w:w="2472" w:type="pct"/>
                  <w:vAlign w:val="center"/>
                </w:tcPr>
                <w:p w14:paraId="0EB9D825">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在钻井过程中，鼓励采用环境友好的钻井液体系。</w:t>
                  </w:r>
                </w:p>
              </w:tc>
              <w:tc>
                <w:tcPr>
                  <w:tcW w:w="2065" w:type="pct"/>
                  <w:vAlign w:val="center"/>
                </w:tcPr>
                <w:p w14:paraId="0AA5B80B">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本项目使用的钻井液为环境友好钻井液体系，</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钻井泥浆外运处置</w:t>
                  </w:r>
                  <w:r>
                    <w:rPr>
                      <w:rFonts w:ascii="Times New Roman" w:hAnsi="Times New Roman" w:eastAsia="宋体" w:cs="Times New Roman"/>
                      <w:color w:val="000000" w:themeColor="text1"/>
                      <w:highlight w:val="none"/>
                      <w:lang w:eastAsia="zh-CN"/>
                      <w14:textFill>
                        <w14:solidFill>
                          <w14:schemeClr w14:val="tx1"/>
                        </w14:solidFill>
                      </w14:textFill>
                    </w:rPr>
                    <w:t>。</w:t>
                  </w:r>
                </w:p>
              </w:tc>
              <w:tc>
                <w:tcPr>
                  <w:tcW w:w="462" w:type="pct"/>
                  <w:vAlign w:val="center"/>
                </w:tcPr>
                <w:p w14:paraId="1292451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5CF4D7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8" w:hRule="atLeast"/>
                <w:jc w:val="center"/>
              </w:trPr>
              <w:tc>
                <w:tcPr>
                  <w:tcW w:w="2472" w:type="pct"/>
                  <w:vAlign w:val="center"/>
                </w:tcPr>
                <w:p w14:paraId="7B7B193A">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在井下作业过程中，酸化液和压裂液宜集中配制，酸化残液、压裂残液和返排液应回收利用或进行无害化处置，压裂放喷返排入罐率应达到100%。</w:t>
                  </w:r>
                </w:p>
              </w:tc>
              <w:tc>
                <w:tcPr>
                  <w:tcW w:w="2065" w:type="pct"/>
                  <w:vAlign w:val="center"/>
                </w:tcPr>
                <w:p w14:paraId="3C83D017">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本项目井下作业过程中，严格按照环境保护规定的要求，带罐作业，100%回收。井下作业废水不外排，作业单位自带回收罐回收作业废水，运至</w:t>
                  </w:r>
                  <w:r>
                    <w:rPr>
                      <w:rFonts w:hint="eastAsia" w:ascii="Times New Roman" w:hAnsi="Times New Roman" w:eastAsia="宋体" w:cs="Times New Roman"/>
                      <w:color w:val="000000" w:themeColor="text1"/>
                      <w:highlight w:val="none"/>
                      <w:lang w:eastAsia="zh-CN"/>
                      <w14:textFill>
                        <w14:solidFill>
                          <w14:schemeClr w14:val="tx1"/>
                        </w14:solidFill>
                      </w14:textFill>
                    </w:rPr>
                    <w:t>吉康</w:t>
                  </w:r>
                  <w:r>
                    <w:rPr>
                      <w:rFonts w:ascii="Times New Roman" w:hAnsi="Times New Roman" w:eastAsia="宋体" w:cs="Times New Roman"/>
                      <w:color w:val="000000" w:themeColor="text1"/>
                      <w:highlight w:val="none"/>
                      <w:lang w:eastAsia="zh-CN"/>
                      <w14:textFill>
                        <w14:solidFill>
                          <w14:schemeClr w14:val="tx1"/>
                        </w14:solidFill>
                      </w14:textFill>
                    </w:rPr>
                    <w:t>脱水站处理达标后回注。</w:t>
                  </w:r>
                </w:p>
              </w:tc>
              <w:tc>
                <w:tcPr>
                  <w:tcW w:w="462" w:type="pct"/>
                  <w:vAlign w:val="center"/>
                </w:tcPr>
                <w:p w14:paraId="27D2CC5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7C931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jc w:val="center"/>
              </w:trPr>
              <w:tc>
                <w:tcPr>
                  <w:tcW w:w="2472" w:type="pct"/>
                  <w:vAlign w:val="center"/>
                </w:tcPr>
                <w:p w14:paraId="37F2A950">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在钻井和井下作业过程中，鼓励污油、污水进入生产流程循环利用。</w:t>
                  </w:r>
                </w:p>
              </w:tc>
              <w:tc>
                <w:tcPr>
                  <w:tcW w:w="2065" w:type="pct"/>
                  <w:vAlign w:val="center"/>
                </w:tcPr>
                <w:p w14:paraId="73562D96">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本项目井下作业废水</w:t>
                  </w:r>
                  <w:r>
                    <w:rPr>
                      <w:rFonts w:hint="eastAsia" w:ascii="Times New Roman" w:hAnsi="Times New Roman" w:eastAsia="宋体" w:cs="Times New Roman"/>
                      <w:color w:val="000000" w:themeColor="text1"/>
                      <w:highlight w:val="none"/>
                      <w:lang w:eastAsia="zh-CN"/>
                      <w14:textFill>
                        <w14:solidFill>
                          <w14:schemeClr w14:val="tx1"/>
                        </w14:solidFill>
                      </w14:textFill>
                    </w:rPr>
                    <w:t>拉运至吉康脱水站</w:t>
                  </w:r>
                  <w:r>
                    <w:rPr>
                      <w:rFonts w:ascii="Times New Roman" w:hAnsi="Times New Roman" w:eastAsia="宋体" w:cs="Times New Roman"/>
                      <w:color w:val="000000" w:themeColor="text1"/>
                      <w:highlight w:val="none"/>
                      <w:lang w:eastAsia="zh-CN"/>
                      <w14:textFill>
                        <w14:solidFill>
                          <w14:schemeClr w14:val="tx1"/>
                        </w14:solidFill>
                      </w14:textFill>
                    </w:rPr>
                    <w:t>并处理达标后，全部回注油藏；落地油100%回收。</w:t>
                  </w:r>
                </w:p>
              </w:tc>
              <w:tc>
                <w:tcPr>
                  <w:tcW w:w="462" w:type="pct"/>
                  <w:vAlign w:val="center"/>
                </w:tcPr>
                <w:p w14:paraId="4C1FD74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419FD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6" w:hRule="atLeast"/>
                <w:jc w:val="center"/>
              </w:trPr>
              <w:tc>
                <w:tcPr>
                  <w:tcW w:w="2472" w:type="pct"/>
                  <w:vAlign w:val="center"/>
                </w:tcPr>
                <w:p w14:paraId="3320E841">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065" w:type="pct"/>
                  <w:vAlign w:val="center"/>
                </w:tcPr>
                <w:p w14:paraId="107AE1DA">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井下作业必须带罐（车）操作，将落地油100%进行回收。</w:t>
                  </w:r>
                </w:p>
              </w:tc>
              <w:tc>
                <w:tcPr>
                  <w:tcW w:w="462" w:type="pct"/>
                  <w:vAlign w:val="center"/>
                </w:tcPr>
                <w:p w14:paraId="553732A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073D1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jc w:val="center"/>
              </w:trPr>
              <w:tc>
                <w:tcPr>
                  <w:tcW w:w="2472" w:type="pct"/>
                  <w:tcBorders>
                    <w:bottom w:val="single" w:color="000000" w:sz="6" w:space="0"/>
                  </w:tcBorders>
                  <w:vAlign w:val="center"/>
                </w:tcPr>
                <w:p w14:paraId="2D4C3F5B">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加强油气田建设、勘探开发过程的环境监督管理。</w:t>
                  </w:r>
                </w:p>
              </w:tc>
              <w:tc>
                <w:tcPr>
                  <w:tcW w:w="2065" w:type="pct"/>
                  <w:tcBorders>
                    <w:bottom w:val="single" w:color="000000" w:sz="6" w:space="0"/>
                  </w:tcBorders>
                  <w:vAlign w:val="center"/>
                </w:tcPr>
                <w:p w14:paraId="61275435">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建设单位成立了专职环保部门对钻井、试油过程中的环境影响及减缓措施进行监督管理。</w:t>
                  </w:r>
                </w:p>
              </w:tc>
              <w:tc>
                <w:tcPr>
                  <w:tcW w:w="462" w:type="pct"/>
                  <w:tcBorders>
                    <w:bottom w:val="single" w:color="000000" w:sz="6" w:space="0"/>
                  </w:tcBorders>
                  <w:vAlign w:val="center"/>
                </w:tcPr>
                <w:p w14:paraId="3CD6606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bl>
          <w:p w14:paraId="4EEEEB76">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left="0"/>
              <w:jc w:val="both"/>
              <w:textAlignment w:val="baseline"/>
              <w:rPr>
                <w:rFonts w:ascii="Times New Roman" w:hAnsi="Times New Roman" w:cs="Times New Roman"/>
                <w:b/>
                <w:bCs/>
                <w:color w:val="000000" w:themeColor="text1"/>
                <w:kern w:val="2"/>
                <w:sz w:val="24"/>
                <w:szCs w:val="24"/>
                <w:highlight w:val="none"/>
                <w:lang w:eastAsia="zh-CN"/>
                <w14:textFill>
                  <w14:solidFill>
                    <w14:schemeClr w14:val="tx1"/>
                  </w14:solidFill>
                </w14:textFill>
              </w:rPr>
            </w:pPr>
            <w:r>
              <w:rPr>
                <w:rFonts w:ascii="Times New Roman" w:hAnsi="Times New Roman" w:cs="Times New Roman"/>
                <w:b/>
                <w:bCs/>
                <w:color w:val="000000" w:themeColor="text1"/>
                <w:kern w:val="2"/>
                <w:sz w:val="24"/>
                <w:szCs w:val="24"/>
                <w:highlight w:val="none"/>
                <w:lang w:eastAsia="zh-CN"/>
                <w14:textFill>
                  <w14:solidFill>
                    <w14:schemeClr w14:val="tx1"/>
                  </w14:solidFill>
                </w14:textFill>
              </w:rPr>
              <w:t>4.与《关于进一步加强石油天然气行业环境影响评价管理的通知》（环办环评函〔2019〕910号）符合性分析</w:t>
            </w:r>
          </w:p>
          <w:p w14:paraId="3ECBE5E9">
            <w:pPr>
              <w:pStyle w:val="22"/>
              <w:keepNext w:val="0"/>
              <w:keepLines w:val="0"/>
              <w:pageBreakBefore w:val="0"/>
              <w:widowControl w:val="0"/>
              <w:tabs>
                <w:tab w:val="left" w:pos="121"/>
              </w:tabs>
              <w:kinsoku/>
              <w:wordWrap/>
              <w:overflowPunct/>
              <w:topLinePunct w:val="0"/>
              <w:autoSpaceDE w:val="0"/>
              <w:autoSpaceDN w:val="0"/>
              <w:bidi w:val="0"/>
              <w:adjustRightInd w:val="0"/>
              <w:snapToGrid w:val="0"/>
              <w:spacing w:line="360" w:lineRule="auto"/>
              <w:ind w:left="0" w:firstLine="420"/>
              <w:jc w:val="both"/>
              <w:textAlignment w:val="baseline"/>
              <w:rPr>
                <w:rFonts w:ascii="Times New Roman" w:hAnsi="Times New Roman" w:cs="Times New Roman"/>
                <w:color w:val="000000" w:themeColor="text1"/>
                <w:spacing w:val="5"/>
                <w:sz w:val="24"/>
                <w:szCs w:val="24"/>
                <w:highlight w:val="none"/>
                <w:lang w:eastAsia="zh-CN"/>
                <w14:textFill>
                  <w14:solidFill>
                    <w14:schemeClr w14:val="tx1"/>
                  </w14:solidFill>
                </w14:textFill>
              </w:rPr>
            </w:pPr>
            <w:r>
              <w:rPr>
                <w:rFonts w:ascii="Times New Roman" w:hAnsi="Times New Roman" w:cs="Times New Roman"/>
                <w:color w:val="000000" w:themeColor="text1"/>
                <w:spacing w:val="5"/>
                <w:sz w:val="24"/>
                <w:szCs w:val="24"/>
                <w:highlight w:val="none"/>
                <w:lang w:eastAsia="zh-CN"/>
                <w14:textFill>
                  <w14:solidFill>
                    <w14:schemeClr w14:val="tx1"/>
                  </w14:solidFill>
                </w14:textFill>
              </w:rPr>
              <w:t>该文件中要求：未确定产能建设规模的陆地油气开采新区块，</w:t>
            </w:r>
            <w:r>
              <w:rPr>
                <w:rFonts w:ascii="Times New Roman" w:hAnsi="Times New Roman" w:cs="Times New Roman"/>
                <w:color w:val="000000" w:themeColor="text1"/>
                <w:spacing w:val="4"/>
                <w:sz w:val="24"/>
                <w:szCs w:val="24"/>
                <w:highlight w:val="none"/>
                <w:lang w:eastAsia="zh-CN"/>
                <w14:textFill>
                  <w14:solidFill>
                    <w14:schemeClr w14:val="tx1"/>
                  </w14:solidFill>
                </w14:textFill>
              </w:rPr>
              <w:t>建设评价井</w:t>
            </w:r>
            <w:r>
              <w:rPr>
                <w:rFonts w:ascii="Times New Roman" w:hAnsi="Times New Roman" w:cs="Times New Roman"/>
                <w:color w:val="000000" w:themeColor="text1"/>
                <w:spacing w:val="5"/>
                <w:sz w:val="24"/>
                <w:szCs w:val="24"/>
                <w:highlight w:val="none"/>
                <w:lang w:eastAsia="zh-CN"/>
                <w14:textFill>
                  <w14:solidFill>
                    <w14:schemeClr w14:val="tx1"/>
                  </w14:solidFill>
                </w14:textFill>
              </w:rPr>
              <w:t>应当编制环境影响报告表。项目为油气勘探项目，经编制环境影响报告表后报主管部门作为项目环境保护管理的依据，可以满足该文件的要求。</w:t>
            </w:r>
          </w:p>
          <w:p w14:paraId="2F3FDF88">
            <w:pPr>
              <w:pStyle w:val="22"/>
              <w:keepNext w:val="0"/>
              <w:keepLines w:val="0"/>
              <w:pageBreakBefore w:val="0"/>
              <w:widowControl w:val="0"/>
              <w:tabs>
                <w:tab w:val="left" w:pos="121"/>
              </w:tabs>
              <w:kinsoku/>
              <w:wordWrap/>
              <w:overflowPunct/>
              <w:topLinePunct w:val="0"/>
              <w:autoSpaceDE w:val="0"/>
              <w:autoSpaceDN w:val="0"/>
              <w:bidi w:val="0"/>
              <w:adjustRightInd w:val="0"/>
              <w:snapToGrid w:val="0"/>
              <w:spacing w:line="360" w:lineRule="auto"/>
              <w:ind w:left="0" w:firstLine="42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5"/>
                <w:sz w:val="24"/>
                <w:szCs w:val="24"/>
                <w:highlight w:val="none"/>
                <w:lang w:eastAsia="zh-CN"/>
                <w14:textFill>
                  <w14:solidFill>
                    <w14:schemeClr w14:val="tx1"/>
                  </w14:solidFill>
                </w14:textFill>
              </w:rPr>
              <w:t>本项目与《关</w:t>
            </w:r>
            <w:r>
              <w:rPr>
                <w:rFonts w:ascii="Times New Roman" w:hAnsi="Times New Roman" w:cs="Times New Roman"/>
                <w:color w:val="000000" w:themeColor="text1"/>
                <w:spacing w:val="1"/>
                <w:sz w:val="24"/>
                <w:szCs w:val="24"/>
                <w:highlight w:val="none"/>
                <w:lang w:eastAsia="zh-CN"/>
                <w14:textFill>
                  <w14:solidFill>
                    <w14:schemeClr w14:val="tx1"/>
                  </w14:solidFill>
                </w14:textFill>
              </w:rPr>
              <w:t>于进一步加强石油天然气行业环境影响评价管理的通知》</w:t>
            </w:r>
            <w:r>
              <w:rPr>
                <w:rFonts w:ascii="Times New Roman" w:hAnsi="Times New Roman" w:cs="Times New Roman"/>
                <w:color w:val="000000" w:themeColor="text1"/>
                <w:sz w:val="24"/>
                <w:szCs w:val="24"/>
                <w:highlight w:val="none"/>
                <w:lang w:eastAsia="zh-CN"/>
                <w14:textFill>
                  <w14:solidFill>
                    <w14:schemeClr w14:val="tx1"/>
                  </w14:solidFill>
                </w14:textFill>
              </w:rPr>
              <w:t>相符性见表1-4。</w:t>
            </w:r>
          </w:p>
          <w:p w14:paraId="406F2D9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 xml:space="preserve">表1-4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highlight w:val="none"/>
                <w:lang w:eastAsia="zh-CN"/>
                <w14:textFill>
                  <w14:solidFill>
                    <w14:schemeClr w14:val="tx1"/>
                  </w14:solidFill>
                </w14:textFill>
              </w:rPr>
              <w:t>项目与《关于进一步加强石油天然气行业环境影响评价管理的通知》符合性分析一览表</w:t>
            </w:r>
          </w:p>
          <w:tbl>
            <w:tblPr>
              <w:tblStyle w:val="2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98"/>
              <w:gridCol w:w="3286"/>
              <w:gridCol w:w="2339"/>
              <w:gridCol w:w="647"/>
            </w:tblGrid>
            <w:tr w14:paraId="3B32D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jc w:val="center"/>
              </w:trPr>
              <w:tc>
                <w:tcPr>
                  <w:tcW w:w="501" w:type="pct"/>
                  <w:vAlign w:val="center"/>
                </w:tcPr>
                <w:p w14:paraId="0435A54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序号</w:t>
                  </w:r>
                </w:p>
              </w:tc>
              <w:tc>
                <w:tcPr>
                  <w:tcW w:w="2356" w:type="pct"/>
                  <w:vAlign w:val="center"/>
                </w:tcPr>
                <w:p w14:paraId="19121B9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《关于进一步加强石油天然气行业环境影响评价管理的通知》</w:t>
                  </w:r>
                </w:p>
              </w:tc>
              <w:tc>
                <w:tcPr>
                  <w:tcW w:w="1677" w:type="pct"/>
                  <w:vAlign w:val="center"/>
                </w:tcPr>
                <w:p w14:paraId="66BA1DD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本项目</w:t>
                  </w:r>
                </w:p>
              </w:tc>
              <w:tc>
                <w:tcPr>
                  <w:tcW w:w="464" w:type="pct"/>
                  <w:vAlign w:val="center"/>
                </w:tcPr>
                <w:p w14:paraId="0D16B53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符合性</w:t>
                  </w:r>
                </w:p>
              </w:tc>
            </w:tr>
            <w:tr w14:paraId="623A7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1" w:hRule="atLeast"/>
                <w:jc w:val="center"/>
              </w:trPr>
              <w:tc>
                <w:tcPr>
                  <w:tcW w:w="501" w:type="pct"/>
                  <w:vAlign w:val="center"/>
                </w:tcPr>
                <w:p w14:paraId="27FFAA1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1</w:t>
                  </w:r>
                </w:p>
              </w:tc>
              <w:tc>
                <w:tcPr>
                  <w:tcW w:w="2356" w:type="pct"/>
                  <w:vAlign w:val="center"/>
                </w:tcPr>
                <w:p w14:paraId="162DC4A6">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确定产能建设规模后，原则上不得以勘探名义继续开展单井环评。</w:t>
                  </w:r>
                </w:p>
              </w:tc>
              <w:tc>
                <w:tcPr>
                  <w:tcW w:w="1677" w:type="pct"/>
                  <w:vAlign w:val="center"/>
                </w:tcPr>
                <w:p w14:paraId="74DDCAED">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本项目共计划勘探2口井，目前均未勘探，正在环评报告编制阶段</w:t>
                  </w:r>
                </w:p>
              </w:tc>
              <w:tc>
                <w:tcPr>
                  <w:tcW w:w="464" w:type="pct"/>
                  <w:vAlign w:val="center"/>
                </w:tcPr>
                <w:p w14:paraId="7BBECFE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008B3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jc w:val="center"/>
              </w:trPr>
              <w:tc>
                <w:tcPr>
                  <w:tcW w:w="501" w:type="pct"/>
                  <w:vAlign w:val="center"/>
                </w:tcPr>
                <w:p w14:paraId="76F38B1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2</w:t>
                  </w:r>
                </w:p>
              </w:tc>
              <w:tc>
                <w:tcPr>
                  <w:tcW w:w="2356" w:type="pct"/>
                  <w:vAlign w:val="center"/>
                </w:tcPr>
                <w:p w14:paraId="782C1658">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项目环评应当深入评价项目建设、运营带来的环境影响和环境风险，提出有效的生态环境保护和环境风险防范措施。</w:t>
                  </w:r>
                </w:p>
              </w:tc>
              <w:tc>
                <w:tcPr>
                  <w:tcW w:w="1677" w:type="pct"/>
                  <w:vAlign w:val="center"/>
                </w:tcPr>
                <w:p w14:paraId="4E622D45">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本次环评深入评价项目建设、带来的环境影响和环境风险，提出有效的生态环境保护和环境风险防范措施。</w:t>
                  </w:r>
                </w:p>
              </w:tc>
              <w:tc>
                <w:tcPr>
                  <w:tcW w:w="464" w:type="pct"/>
                  <w:vAlign w:val="center"/>
                </w:tcPr>
                <w:p w14:paraId="276FA14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02F1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jc w:val="center"/>
              </w:trPr>
              <w:tc>
                <w:tcPr>
                  <w:tcW w:w="501" w:type="pct"/>
                  <w:vAlign w:val="center"/>
                </w:tcPr>
                <w:p w14:paraId="772129E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3</w:t>
                  </w:r>
                </w:p>
              </w:tc>
              <w:tc>
                <w:tcPr>
                  <w:tcW w:w="2356" w:type="pct"/>
                  <w:vAlign w:val="center"/>
                </w:tcPr>
                <w:p w14:paraId="4E51EC65">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依托其他防治设施的或者委托第三方处置的，应当论证其可行性和有效性。</w:t>
                  </w:r>
                </w:p>
              </w:tc>
              <w:tc>
                <w:tcPr>
                  <w:tcW w:w="1677" w:type="pct"/>
                  <w:vAlign w:val="center"/>
                </w:tcPr>
                <w:p w14:paraId="37E6C3C5">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本项目依托工程及其可行性分析详见“第二章：依托工程”。</w:t>
                  </w:r>
                </w:p>
              </w:tc>
              <w:tc>
                <w:tcPr>
                  <w:tcW w:w="464" w:type="pct"/>
                  <w:vAlign w:val="center"/>
                </w:tcPr>
                <w:p w14:paraId="2AF137A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686F9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2" w:hRule="atLeast"/>
                <w:jc w:val="center"/>
              </w:trPr>
              <w:tc>
                <w:tcPr>
                  <w:tcW w:w="501" w:type="pct"/>
                  <w:vAlign w:val="center"/>
                </w:tcPr>
                <w:p w14:paraId="14A814A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4</w:t>
                  </w:r>
                </w:p>
              </w:tc>
              <w:tc>
                <w:tcPr>
                  <w:tcW w:w="2356" w:type="pct"/>
                  <w:vAlign w:val="center"/>
                </w:tcPr>
                <w:p w14:paraId="0F2DDF16">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涉及废水回注的，应当论证回注的环境可行性，采取切实可行的地下水污染防治和监控措施，不得回注与油气开采无关的废水，严禁造成地下水污染。</w:t>
                  </w:r>
                </w:p>
              </w:tc>
              <w:tc>
                <w:tcPr>
                  <w:tcW w:w="1677" w:type="pct"/>
                  <w:vAlign w:val="center"/>
                </w:tcPr>
                <w:p w14:paraId="6DD3F5E1">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本项目井下作业废水</w:t>
                  </w:r>
                  <w:r>
                    <w:rPr>
                      <w:rFonts w:hint="eastAsia" w:ascii="Times New Roman" w:hAnsi="Times New Roman" w:eastAsia="宋体" w:cs="Times New Roman"/>
                      <w:color w:val="000000" w:themeColor="text1"/>
                      <w:highlight w:val="none"/>
                      <w:lang w:eastAsia="zh-CN"/>
                      <w14:textFill>
                        <w14:solidFill>
                          <w14:schemeClr w14:val="tx1"/>
                        </w14:solidFill>
                      </w14:textFill>
                    </w:rPr>
                    <w:t>拉运至吉康脱水站</w:t>
                  </w:r>
                  <w:r>
                    <w:rPr>
                      <w:rFonts w:ascii="Times New Roman" w:hAnsi="Times New Roman" w:eastAsia="宋体" w:cs="Times New Roman"/>
                      <w:color w:val="000000" w:themeColor="text1"/>
                      <w:highlight w:val="none"/>
                      <w:lang w:eastAsia="zh-CN"/>
                      <w14:textFill>
                        <w14:solidFill>
                          <w14:schemeClr w14:val="tx1"/>
                        </w14:solidFill>
                      </w14:textFill>
                    </w:rPr>
                    <w:t>并处理达标后，全部回注油藏，依托工程及其可行性分析详见“第二章：依托工程”。本项目采取了地下水污染防治和监控措施，防止造成地下水污染，详见报告环保措施章节。</w:t>
                  </w:r>
                </w:p>
              </w:tc>
              <w:tc>
                <w:tcPr>
                  <w:tcW w:w="464" w:type="pct"/>
                  <w:vAlign w:val="center"/>
                </w:tcPr>
                <w:p w14:paraId="778C9CF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123B4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jc w:val="center"/>
              </w:trPr>
              <w:tc>
                <w:tcPr>
                  <w:tcW w:w="501" w:type="pct"/>
                  <w:vAlign w:val="center"/>
                </w:tcPr>
                <w:p w14:paraId="1C1825B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5</w:t>
                  </w:r>
                </w:p>
              </w:tc>
              <w:tc>
                <w:tcPr>
                  <w:tcW w:w="2356" w:type="pct"/>
                  <w:vAlign w:val="center"/>
                </w:tcPr>
                <w:p w14:paraId="656AF853">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油气开采产生的废弃油基泥浆、含油钻屑及其他固体废物，应当遵循减量化、资源化、无害化原则，按照国家和地方有关固体废物的管理规定进行处置。</w:t>
                  </w:r>
                </w:p>
              </w:tc>
              <w:tc>
                <w:tcPr>
                  <w:tcW w:w="1677" w:type="pct"/>
                  <w:vAlign w:val="center"/>
                </w:tcPr>
                <w:p w14:paraId="53C5801D">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本项目产生的含油污泥、落地油泥、废防渗材料、废润滑油、废润滑油桶贮存于危废贮存点后定期交由有资质的单位处置。</w:t>
                  </w:r>
                </w:p>
              </w:tc>
              <w:tc>
                <w:tcPr>
                  <w:tcW w:w="464" w:type="pct"/>
                  <w:vAlign w:val="center"/>
                </w:tcPr>
                <w:p w14:paraId="5AD0AAF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2DFC2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6" w:hRule="atLeast"/>
                <w:jc w:val="center"/>
              </w:trPr>
              <w:tc>
                <w:tcPr>
                  <w:tcW w:w="501" w:type="pct"/>
                  <w:tcBorders>
                    <w:bottom w:val="single" w:color="000000" w:sz="6" w:space="0"/>
                  </w:tcBorders>
                  <w:vAlign w:val="center"/>
                </w:tcPr>
                <w:p w14:paraId="07C6871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6</w:t>
                  </w:r>
                </w:p>
              </w:tc>
              <w:tc>
                <w:tcPr>
                  <w:tcW w:w="2356" w:type="pct"/>
                  <w:tcBorders>
                    <w:bottom w:val="single" w:color="000000" w:sz="6" w:space="0"/>
                  </w:tcBorders>
                  <w:vAlign w:val="center"/>
                </w:tcPr>
                <w:p w14:paraId="6638B366">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施工期应当尽量减少施工占地、缩短施工时间、选择合理施工方式、落实环境敏感区管控要求以及其他生态环境保护措施，降低生态环境影响。</w:t>
                  </w:r>
                </w:p>
              </w:tc>
              <w:tc>
                <w:tcPr>
                  <w:tcW w:w="1677" w:type="pct"/>
                  <w:tcBorders>
                    <w:bottom w:val="single" w:color="000000" w:sz="6" w:space="0"/>
                  </w:tcBorders>
                  <w:vAlign w:val="center"/>
                </w:tcPr>
                <w:p w14:paraId="2847458B">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施工期严格控制占地面积，施工单位在占地范围内施工，严格控制和管理运输车辆及重型机械施工作业范围。</w:t>
                  </w:r>
                </w:p>
              </w:tc>
              <w:tc>
                <w:tcPr>
                  <w:tcW w:w="464" w:type="pct"/>
                  <w:tcBorders>
                    <w:bottom w:val="single" w:color="000000" w:sz="6" w:space="0"/>
                  </w:tcBorders>
                  <w:vAlign w:val="center"/>
                </w:tcPr>
                <w:p w14:paraId="5143B82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bl>
          <w:p w14:paraId="3D0A8FE5">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ascii="Times New Roman" w:hAnsi="Times New Roman" w:cs="Times New Roman"/>
                <w:b/>
                <w:bCs/>
                <w:color w:val="000000" w:themeColor="text1"/>
                <w:kern w:val="2"/>
                <w:sz w:val="24"/>
                <w:szCs w:val="24"/>
                <w:highlight w:val="none"/>
                <w:lang w:eastAsia="zh-CN"/>
                <w14:textFill>
                  <w14:solidFill>
                    <w14:schemeClr w14:val="tx1"/>
                  </w14:solidFill>
                </w14:textFill>
              </w:rPr>
            </w:pPr>
            <w:r>
              <w:rPr>
                <w:rFonts w:ascii="Times New Roman" w:hAnsi="Times New Roman" w:cs="Times New Roman"/>
                <w:b/>
                <w:bCs/>
                <w:color w:val="000000" w:themeColor="text1"/>
                <w:kern w:val="2"/>
                <w:sz w:val="24"/>
                <w:szCs w:val="24"/>
                <w:highlight w:val="none"/>
                <w:lang w:eastAsia="zh-CN"/>
                <w14:textFill>
                  <w14:solidFill>
                    <w14:schemeClr w14:val="tx1"/>
                  </w14:solidFill>
                </w14:textFill>
              </w:rPr>
              <w:t>5.与《陆上石油天然气开采业绿色矿山建设规范》（DZ/T0317-2018）符合性分析</w:t>
            </w:r>
          </w:p>
          <w:p w14:paraId="593F14D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kern w:val="2"/>
                <w:sz w:val="24"/>
                <w:szCs w:val="24"/>
                <w:highlight w:val="none"/>
                <w:lang w:eastAsia="zh-CN"/>
                <w14:textFill>
                  <w14:solidFill>
                    <w14:schemeClr w14:val="tx1"/>
                  </w14:solidFill>
                </w14:textFill>
              </w:rPr>
            </w:pPr>
            <w:r>
              <w:rPr>
                <w:rFonts w:ascii="Times New Roman" w:hAnsi="Times New Roman" w:cs="Times New Roman"/>
                <w:color w:val="000000" w:themeColor="text1"/>
                <w:kern w:val="2"/>
                <w:sz w:val="24"/>
                <w:szCs w:val="24"/>
                <w:highlight w:val="none"/>
                <w:lang w:eastAsia="zh-CN"/>
                <w14:textFill>
                  <w14:solidFill>
                    <w14:schemeClr w14:val="tx1"/>
                  </w14:solidFill>
                </w14:textFill>
              </w:rPr>
              <w:t>项目与《陆上石油天然气开采业绿色矿山建设规范》（DZ/T0317-2018）符合性分析见表1-5。</w:t>
            </w:r>
          </w:p>
          <w:p w14:paraId="58FFA119">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6"/>
                <w:sz w:val="21"/>
                <w:szCs w:val="21"/>
                <w:highlight w:val="none"/>
                <w:lang w:eastAsia="zh-CN"/>
                <w14:textFill>
                  <w14:solidFill>
                    <w14:schemeClr w14:val="tx1"/>
                  </w14:solidFill>
                </w14:textFill>
              </w:rPr>
              <w:t xml:space="preserve">表1-5 </w:t>
            </w:r>
            <w:r>
              <w:rPr>
                <w:rFonts w:hint="eastAsia" w:ascii="Times New Roman" w:hAnsi="Times New Roman" w:cs="Times New Roman"/>
                <w:b/>
                <w:bCs/>
                <w:color w:val="000000" w:themeColor="text1"/>
                <w:spacing w:val="6"/>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6"/>
                <w:sz w:val="21"/>
                <w:szCs w:val="21"/>
                <w:highlight w:val="none"/>
                <w:lang w:eastAsia="zh-CN"/>
                <w14:textFill>
                  <w14:solidFill>
                    <w14:schemeClr w14:val="tx1"/>
                  </w14:solidFill>
                </w14:textFill>
              </w:rPr>
              <w:t>项目与《陆上石油天然气开采业绿色矿山建设规范》</w:t>
            </w:r>
          </w:p>
          <w:p w14:paraId="15B2289B">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7"/>
                <w:sz w:val="21"/>
                <w:szCs w:val="21"/>
                <w:highlight w:val="none"/>
                <w14:textFill>
                  <w14:solidFill>
                    <w14:schemeClr w14:val="tx1"/>
                  </w14:solidFill>
                </w14:textFill>
              </w:rPr>
              <w:t>符合性分析一览表</w:t>
            </w:r>
          </w:p>
          <w:tbl>
            <w:tblPr>
              <w:tblStyle w:val="21"/>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253"/>
              <w:gridCol w:w="3122"/>
              <w:gridCol w:w="596"/>
            </w:tblGrid>
            <w:tr w14:paraId="02932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jc w:val="center"/>
              </w:trPr>
              <w:tc>
                <w:tcPr>
                  <w:tcW w:w="2333" w:type="pct"/>
                  <w:vAlign w:val="center"/>
                </w:tcPr>
                <w:p w14:paraId="6ECC88D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《陆上石油天然气开采业绿色矿山建设规范》</w:t>
                  </w:r>
                </w:p>
              </w:tc>
              <w:tc>
                <w:tcPr>
                  <w:tcW w:w="2239" w:type="pct"/>
                  <w:vAlign w:val="center"/>
                </w:tcPr>
                <w:p w14:paraId="37A990D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本项目</w:t>
                  </w:r>
                </w:p>
              </w:tc>
              <w:tc>
                <w:tcPr>
                  <w:tcW w:w="427" w:type="pct"/>
                  <w:vAlign w:val="center"/>
                </w:tcPr>
                <w:p w14:paraId="7F267CE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符合性</w:t>
                  </w:r>
                </w:p>
              </w:tc>
            </w:tr>
            <w:tr w14:paraId="22278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jc w:val="center"/>
              </w:trPr>
              <w:tc>
                <w:tcPr>
                  <w:tcW w:w="2333" w:type="pct"/>
                  <w:vAlign w:val="center"/>
                </w:tcPr>
                <w:p w14:paraId="61DA06AB">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应实施绿色钻井技术体系，科学选择钻井方式、环境友好型钻井液及井控措施配备完善的固控系统，及时妥善处置钻井泥浆。</w:t>
                  </w:r>
                </w:p>
              </w:tc>
              <w:tc>
                <w:tcPr>
                  <w:tcW w:w="2239" w:type="pct"/>
                  <w:vAlign w:val="center"/>
                </w:tcPr>
                <w:p w14:paraId="043EBE12">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本项目采用环境友好钻井液及井控措施。</w:t>
                  </w:r>
                </w:p>
              </w:tc>
              <w:tc>
                <w:tcPr>
                  <w:tcW w:w="427" w:type="pct"/>
                  <w:vAlign w:val="center"/>
                </w:tcPr>
                <w:p w14:paraId="760E6AE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740F49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jc w:val="center"/>
              </w:trPr>
              <w:tc>
                <w:tcPr>
                  <w:tcW w:w="2333" w:type="pct"/>
                  <w:vAlign w:val="center"/>
                </w:tcPr>
                <w:p w14:paraId="61C21BBA">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应按照矿山地质环境保护与土地复垦方案进行地质环境治理和土地复垦。</w:t>
                  </w:r>
                </w:p>
              </w:tc>
              <w:tc>
                <w:tcPr>
                  <w:tcW w:w="2239" w:type="pct"/>
                  <w:vAlign w:val="center"/>
                </w:tcPr>
                <w:p w14:paraId="6EAEA481">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本次环评要求工程结束后恢复至原貌。</w:t>
                  </w:r>
                </w:p>
              </w:tc>
              <w:tc>
                <w:tcPr>
                  <w:tcW w:w="427" w:type="pct"/>
                  <w:vAlign w:val="center"/>
                </w:tcPr>
                <w:p w14:paraId="3CE9E55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2646F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jc w:val="center"/>
              </w:trPr>
              <w:tc>
                <w:tcPr>
                  <w:tcW w:w="2333" w:type="pct"/>
                  <w:vAlign w:val="center"/>
                </w:tcPr>
                <w:p w14:paraId="097F4990">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油气开采过程中产生的含油污泥。采取技术措施进行原油回收处理和利用，处理后固体物含油率</w:t>
                  </w:r>
                  <w:r>
                    <w:rPr>
                      <w:rFonts w:hint="eastAsia" w:ascii="Times New Roman" w:hAnsi="Times New Roman" w:eastAsia="宋体" w:cs="Times New Roman"/>
                      <w:color w:val="000000" w:themeColor="text1"/>
                      <w:highlight w:val="none"/>
                      <w:lang w:eastAsia="zh-CN"/>
                      <w14:textFill>
                        <w14:solidFill>
                          <w14:schemeClr w14:val="tx1"/>
                        </w14:solidFill>
                      </w14:textFill>
                    </w:rPr>
                    <w:t>低于</w:t>
                  </w:r>
                  <w:r>
                    <w:rPr>
                      <w:rFonts w:ascii="Times New Roman" w:hAnsi="Times New Roman" w:eastAsia="宋体" w:cs="Times New Roman"/>
                      <w:color w:val="000000" w:themeColor="text1"/>
                      <w:highlight w:val="none"/>
                      <w:lang w:eastAsia="zh-CN"/>
                      <w14:textFill>
                        <w14:solidFill>
                          <w14:schemeClr w14:val="tx1"/>
                        </w14:solidFill>
                      </w14:textFill>
                    </w:rPr>
                    <w:t>2%。</w:t>
                  </w:r>
                </w:p>
              </w:tc>
              <w:tc>
                <w:tcPr>
                  <w:tcW w:w="2239" w:type="pct"/>
                  <w:vAlign w:val="center"/>
                </w:tcPr>
                <w:p w14:paraId="7335D0AF">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本工程落地油要求100%回收。</w:t>
                  </w:r>
                </w:p>
              </w:tc>
              <w:tc>
                <w:tcPr>
                  <w:tcW w:w="427" w:type="pct"/>
                  <w:vAlign w:val="center"/>
                </w:tcPr>
                <w:p w14:paraId="7293AC5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102F2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0" w:hRule="atLeast"/>
                <w:jc w:val="center"/>
              </w:trPr>
              <w:tc>
                <w:tcPr>
                  <w:tcW w:w="2333" w:type="pct"/>
                  <w:vAlign w:val="center"/>
                </w:tcPr>
                <w:p w14:paraId="0C3C15E9">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油气生产过程中产生的废液、废气、固体废物应建档分类管理，并清洁化、无害化处置，处置率应达到100%。</w:t>
                  </w:r>
                </w:p>
              </w:tc>
              <w:tc>
                <w:tcPr>
                  <w:tcW w:w="2239" w:type="pct"/>
                  <w:vAlign w:val="center"/>
                </w:tcPr>
                <w:p w14:paraId="78213873">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本项目试油压裂过程中产生的废水、压裂返排液、钻井岩屑、废防渗材料、落地油泥、废润滑油、废润滑油桶均能妥善处置。</w:t>
                  </w:r>
                </w:p>
              </w:tc>
              <w:tc>
                <w:tcPr>
                  <w:tcW w:w="427" w:type="pct"/>
                  <w:vAlign w:val="center"/>
                </w:tcPr>
                <w:p w14:paraId="2D7F857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bl>
          <w:p w14:paraId="7D2BAD07">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ascii="Times New Roman" w:hAnsi="Times New Roman" w:cs="Times New Roman"/>
                <w:b/>
                <w:bCs/>
                <w:color w:val="000000" w:themeColor="text1"/>
                <w:kern w:val="2"/>
                <w:sz w:val="24"/>
                <w:szCs w:val="24"/>
                <w:highlight w:val="none"/>
                <w:lang w:eastAsia="zh-CN"/>
                <w14:textFill>
                  <w14:solidFill>
                    <w14:schemeClr w14:val="tx1"/>
                  </w14:solidFill>
                </w14:textFill>
              </w:rPr>
            </w:pPr>
            <w:r>
              <w:rPr>
                <w:rFonts w:ascii="Times New Roman" w:hAnsi="Times New Roman" w:cs="Times New Roman"/>
                <w:b/>
                <w:bCs/>
                <w:color w:val="000000" w:themeColor="text1"/>
                <w:kern w:val="2"/>
                <w:sz w:val="24"/>
                <w:szCs w:val="24"/>
                <w:highlight w:val="none"/>
                <w:lang w:eastAsia="zh-CN"/>
                <w14:textFill>
                  <w14:solidFill>
                    <w14:schemeClr w14:val="tx1"/>
                  </w14:solidFill>
                </w14:textFill>
              </w:rPr>
              <w:t>6.与《新疆生态环境保护“十四五”规划》符合性分析</w:t>
            </w:r>
          </w:p>
          <w:p w14:paraId="0F99DA0F">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kern w:val="2"/>
                <w:sz w:val="24"/>
                <w:szCs w:val="24"/>
                <w:highlight w:val="none"/>
                <w:lang w:eastAsia="zh-CN"/>
                <w14:textFill>
                  <w14:solidFill>
                    <w14:schemeClr w14:val="tx1"/>
                  </w14:solidFill>
                </w14:textFill>
              </w:rPr>
            </w:pPr>
            <w:r>
              <w:rPr>
                <w:rFonts w:ascii="Times New Roman" w:hAnsi="Times New Roman" w:cs="Times New Roman"/>
                <w:color w:val="000000" w:themeColor="text1"/>
                <w:kern w:val="2"/>
                <w:sz w:val="24"/>
                <w:szCs w:val="24"/>
                <w:highlight w:val="none"/>
                <w:lang w:eastAsia="zh-CN"/>
                <w14:textFill>
                  <w14:solidFill>
                    <w14:schemeClr w14:val="tx1"/>
                  </w14:solidFill>
                </w14:textFill>
              </w:rPr>
              <w:t>项目与《新疆生态环境保护“十四五”规划》符合性分析见表1-6。</w:t>
            </w:r>
          </w:p>
          <w:p w14:paraId="1BDE7A9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ascii="Times New Roman" w:hAnsi="Times New Roman" w:eastAsia="宋体" w:cs="Times New Roman"/>
                <w:b/>
                <w:bCs/>
                <w:color w:val="000000" w:themeColor="text1"/>
                <w:spacing w:val="6"/>
                <w:highlight w:val="none"/>
                <w:lang w:eastAsia="zh-CN"/>
                <w14:textFill>
                  <w14:solidFill>
                    <w14:schemeClr w14:val="tx1"/>
                  </w14:solidFill>
                </w14:textFill>
              </w:rPr>
            </w:pPr>
            <w:r>
              <w:rPr>
                <w:rFonts w:ascii="Times New Roman" w:hAnsi="Times New Roman" w:eastAsia="宋体" w:cs="Times New Roman"/>
                <w:b/>
                <w:bCs/>
                <w:color w:val="000000" w:themeColor="text1"/>
                <w:spacing w:val="7"/>
                <w:highlight w:val="none"/>
                <w:lang w:eastAsia="zh-CN"/>
                <w14:textFill>
                  <w14:solidFill>
                    <w14:schemeClr w14:val="tx1"/>
                  </w14:solidFill>
                </w14:textFill>
              </w:rPr>
              <w:t xml:space="preserve">表1-6 </w:t>
            </w:r>
            <w:r>
              <w:rPr>
                <w:rFonts w:hint="eastAsia" w:ascii="Times New Roman" w:hAnsi="Times New Roman" w:eastAsia="宋体" w:cs="Times New Roman"/>
                <w:b/>
                <w:bCs/>
                <w:color w:val="000000" w:themeColor="text1"/>
                <w:spacing w:val="7"/>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spacing w:val="7"/>
                <w:highlight w:val="none"/>
                <w:lang w:eastAsia="zh-CN"/>
                <w14:textFill>
                  <w14:solidFill>
                    <w14:schemeClr w14:val="tx1"/>
                  </w14:solidFill>
                </w14:textFill>
              </w:rPr>
              <w:t>项目与《新疆生态环境保护“十四五”规划》符合性分析</w:t>
            </w:r>
            <w:r>
              <w:rPr>
                <w:rFonts w:ascii="Times New Roman" w:hAnsi="Times New Roman" w:eastAsia="宋体" w:cs="Times New Roman"/>
                <w:b/>
                <w:bCs/>
                <w:color w:val="000000" w:themeColor="text1"/>
                <w:spacing w:val="6"/>
                <w:highlight w:val="none"/>
                <w:lang w:eastAsia="zh-CN"/>
                <w14:textFill>
                  <w14:solidFill>
                    <w14:schemeClr w14:val="tx1"/>
                  </w14:solidFill>
                </w14:textFill>
              </w:rPr>
              <w:t>一览表</w:t>
            </w:r>
          </w:p>
          <w:tbl>
            <w:tblPr>
              <w:tblStyle w:val="21"/>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992"/>
              <w:gridCol w:w="3457"/>
              <w:gridCol w:w="522"/>
            </w:tblGrid>
            <w:tr w14:paraId="537D5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09" w:hRule="atLeast"/>
                <w:jc w:val="center"/>
              </w:trPr>
              <w:tc>
                <w:tcPr>
                  <w:tcW w:w="2146" w:type="pct"/>
                  <w:vAlign w:val="center"/>
                </w:tcPr>
                <w:p w14:paraId="4111CB4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《新疆生态环境保护“十四五”规划》</w:t>
                  </w:r>
                </w:p>
              </w:tc>
              <w:tc>
                <w:tcPr>
                  <w:tcW w:w="2479" w:type="pct"/>
                  <w:vAlign w:val="center"/>
                </w:tcPr>
                <w:p w14:paraId="62AFFCC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本项目</w:t>
                  </w:r>
                </w:p>
              </w:tc>
              <w:tc>
                <w:tcPr>
                  <w:tcW w:w="374" w:type="pct"/>
                  <w:vAlign w:val="center"/>
                </w:tcPr>
                <w:p w14:paraId="1481D2B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符合性</w:t>
                  </w:r>
                </w:p>
              </w:tc>
            </w:tr>
            <w:tr w14:paraId="47EFA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3" w:hRule="atLeast"/>
                <w:jc w:val="center"/>
              </w:trPr>
              <w:tc>
                <w:tcPr>
                  <w:tcW w:w="2146" w:type="pct"/>
                  <w:vAlign w:val="center"/>
                </w:tcPr>
                <w:p w14:paraId="208E3693">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强化危险废物全过程环境监管。督促各类危险废物产生单位和经营单位依法申报危险废物产生处置情况，报备管理计划，做好信息公开工作，规范运行危险废物转移联单。</w:t>
                  </w:r>
                </w:p>
              </w:tc>
              <w:tc>
                <w:tcPr>
                  <w:tcW w:w="2479" w:type="pct"/>
                  <w:vAlign w:val="center"/>
                </w:tcPr>
                <w:p w14:paraId="0AD062B2">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为油气资源勘探项目，不属于“高污染、高环境风险产品”项目；位于重点管控单元，不涉及生态保护红线；废气、噪声均可实现达标排放，废水和固体废物均得到妥善处置，不会突破区域环境质量底线；施工过程中会消耗少量的电能和水，工程资源消耗量相对区域资源利用总量较少，符合资源上限要求；符合区域生态环境分区管控要求。本环评要求定期更新和申报危险废物管理计划，对危险废物贮存、转移和处置进行全过程管理，建立危险废物管理台账，本次可充分依托中国石油天然气股份有限公司吐哈油田分公司准东采油管理区已有管理制度。</w:t>
                  </w:r>
                </w:p>
              </w:tc>
              <w:tc>
                <w:tcPr>
                  <w:tcW w:w="374" w:type="pct"/>
                  <w:vAlign w:val="center"/>
                </w:tcPr>
                <w:p w14:paraId="7767107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76E5D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2" w:hRule="atLeast"/>
                <w:jc w:val="center"/>
              </w:trPr>
              <w:tc>
                <w:tcPr>
                  <w:tcW w:w="2146" w:type="pct"/>
                  <w:tcBorders>
                    <w:bottom w:val="single" w:color="000000" w:sz="6" w:space="0"/>
                  </w:tcBorders>
                  <w:vAlign w:val="center"/>
                </w:tcPr>
                <w:p w14:paraId="4F2ECA8E">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加强应急监测装备配置，定期开展应急演练，增强实战能力。</w:t>
                  </w:r>
                </w:p>
              </w:tc>
              <w:tc>
                <w:tcPr>
                  <w:tcW w:w="2479" w:type="pct"/>
                  <w:tcBorders>
                    <w:bottom w:val="single" w:color="000000" w:sz="6" w:space="0"/>
                  </w:tcBorders>
                  <w:vAlign w:val="center"/>
                </w:tcPr>
                <w:p w14:paraId="511D9ABA">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本项目拟设置应急监测设备，并定期进行应急演练工作。</w:t>
                  </w:r>
                </w:p>
              </w:tc>
              <w:tc>
                <w:tcPr>
                  <w:tcW w:w="374" w:type="pct"/>
                  <w:tcBorders>
                    <w:bottom w:val="single" w:color="000000" w:sz="6" w:space="0"/>
                  </w:tcBorders>
                  <w:vAlign w:val="center"/>
                </w:tcPr>
                <w:p w14:paraId="77C5B60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bl>
          <w:p w14:paraId="6AFA63CA">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kern w:val="2"/>
                <w:sz w:val="24"/>
                <w:szCs w:val="24"/>
                <w:highlight w:val="none"/>
                <w:lang w:eastAsia="zh-CN"/>
                <w14:textFill>
                  <w14:solidFill>
                    <w14:schemeClr w14:val="tx1"/>
                  </w14:solidFill>
                </w14:textFill>
              </w:rPr>
            </w:pPr>
            <w:r>
              <w:rPr>
                <w:rFonts w:ascii="Times New Roman" w:hAnsi="Times New Roman" w:cs="Times New Roman"/>
                <w:b/>
                <w:bCs/>
                <w:color w:val="000000" w:themeColor="text1"/>
                <w:kern w:val="2"/>
                <w:sz w:val="24"/>
                <w:szCs w:val="24"/>
                <w:highlight w:val="none"/>
                <w:lang w:eastAsia="zh-CN"/>
                <w14:textFill>
                  <w14:solidFill>
                    <w14:schemeClr w14:val="tx1"/>
                  </w14:solidFill>
                </w14:textFill>
              </w:rPr>
              <w:t>7.与《昌吉回族自治州生态环境保护与建设“十四五”规划》符合性分析</w:t>
            </w:r>
          </w:p>
          <w:p w14:paraId="22D3198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kern w:val="2"/>
                <w:sz w:val="24"/>
                <w:szCs w:val="24"/>
                <w:highlight w:val="none"/>
                <w:lang w:eastAsia="zh-CN"/>
                <w14:textFill>
                  <w14:solidFill>
                    <w14:schemeClr w14:val="tx1"/>
                  </w14:solidFill>
                </w14:textFill>
              </w:rPr>
            </w:pPr>
            <w:r>
              <w:rPr>
                <w:rFonts w:ascii="Times New Roman" w:hAnsi="Times New Roman" w:cs="Times New Roman"/>
                <w:color w:val="000000" w:themeColor="text1"/>
                <w:kern w:val="2"/>
                <w:sz w:val="24"/>
                <w:szCs w:val="24"/>
                <w:highlight w:val="none"/>
                <w:lang w:eastAsia="zh-CN"/>
                <w14:textFill>
                  <w14:solidFill>
                    <w14:schemeClr w14:val="tx1"/>
                  </w14:solidFill>
                </w14:textFill>
              </w:rPr>
              <w:t>项目与《昌吉回族自治州生态环境保护与建设“十四五”规划》符合性分析见表1-7。</w:t>
            </w:r>
          </w:p>
          <w:p w14:paraId="1786D4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spacing w:val="7"/>
                <w:highlight w:val="none"/>
                <w:lang w:eastAsia="zh-CN"/>
                <w14:textFill>
                  <w14:solidFill>
                    <w14:schemeClr w14:val="tx1"/>
                  </w14:solidFill>
                </w14:textFill>
              </w:rPr>
            </w:pPr>
            <w:r>
              <w:rPr>
                <w:rFonts w:ascii="Times New Roman" w:hAnsi="Times New Roman" w:eastAsia="宋体" w:cs="Times New Roman"/>
                <w:b/>
                <w:bCs/>
                <w:color w:val="000000" w:themeColor="text1"/>
                <w:spacing w:val="7"/>
                <w:highlight w:val="none"/>
                <w:lang w:eastAsia="zh-CN"/>
                <w14:textFill>
                  <w14:solidFill>
                    <w14:schemeClr w14:val="tx1"/>
                  </w14:solidFill>
                </w14:textFill>
              </w:rPr>
              <w:t xml:space="preserve">表1-7 </w:t>
            </w:r>
            <w:r>
              <w:rPr>
                <w:rFonts w:hint="eastAsia" w:ascii="Times New Roman" w:hAnsi="Times New Roman" w:eastAsia="宋体" w:cs="Times New Roman"/>
                <w:b/>
                <w:bCs/>
                <w:color w:val="000000" w:themeColor="text1"/>
                <w:spacing w:val="7"/>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spacing w:val="7"/>
                <w:highlight w:val="none"/>
                <w:lang w:eastAsia="zh-CN"/>
                <w14:textFill>
                  <w14:solidFill>
                    <w14:schemeClr w14:val="tx1"/>
                  </w14:solidFill>
                </w14:textFill>
              </w:rPr>
              <w:t>与《昌吉回族自治州生态环境保护与建设“十四五”规划》符合性分析一览表</w:t>
            </w:r>
          </w:p>
          <w:tbl>
            <w:tblPr>
              <w:tblStyle w:val="21"/>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411"/>
              <w:gridCol w:w="2842"/>
              <w:gridCol w:w="720"/>
            </w:tblGrid>
            <w:tr w14:paraId="2B0BB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jc w:val="center"/>
              </w:trPr>
              <w:tc>
                <w:tcPr>
                  <w:tcW w:w="2445" w:type="pct"/>
                </w:tcPr>
                <w:p w14:paraId="2A9D27B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《昌吉回族自治州生态环境保护与建设“十四五”规划》</w:t>
                  </w:r>
                </w:p>
              </w:tc>
              <w:tc>
                <w:tcPr>
                  <w:tcW w:w="2037" w:type="pct"/>
                  <w:vAlign w:val="center"/>
                </w:tcPr>
                <w:p w14:paraId="6A08658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本项目</w:t>
                  </w:r>
                </w:p>
              </w:tc>
              <w:tc>
                <w:tcPr>
                  <w:tcW w:w="516" w:type="pct"/>
                  <w:vAlign w:val="center"/>
                </w:tcPr>
                <w:p w14:paraId="5F2BB6A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符合性</w:t>
                  </w:r>
                </w:p>
              </w:tc>
            </w:tr>
            <w:tr w14:paraId="16BBF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jc w:val="center"/>
              </w:trPr>
              <w:tc>
                <w:tcPr>
                  <w:tcW w:w="2445" w:type="pct"/>
                  <w:vAlign w:val="center"/>
                </w:tcPr>
                <w:p w14:paraId="7C12CD83">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将生态保护红线、环境质量底线、资源利用上线的硬约束落实到环境管控单元，建立差别化的生态环境准入清单，加强“三线一单”成果在政策制定、环境准入、执法监管等方面的应用。</w:t>
                  </w:r>
                </w:p>
              </w:tc>
              <w:tc>
                <w:tcPr>
                  <w:tcW w:w="2037" w:type="pct"/>
                  <w:vAlign w:val="center"/>
                </w:tcPr>
                <w:p w14:paraId="78630FD9">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本项目不涉及生态保护红线，不会突破区域环境质量底线，不会突破区域资源利用上线。</w:t>
                  </w:r>
                </w:p>
              </w:tc>
              <w:tc>
                <w:tcPr>
                  <w:tcW w:w="516" w:type="pct"/>
                  <w:vAlign w:val="center"/>
                </w:tcPr>
                <w:p w14:paraId="0B64026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3FEE1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jc w:val="center"/>
              </w:trPr>
              <w:tc>
                <w:tcPr>
                  <w:tcW w:w="2445" w:type="pct"/>
                  <w:vAlign w:val="center"/>
                </w:tcPr>
                <w:p w14:paraId="431FE5B9">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强化水资源刚性约束，深入推进最严格水资源管理制度，严守水资源开发利用控制、用水效率控制和水功能区限制纳污“三条红线”，严格实行区域用水总量和强度控制，强化节水约束性指标管理。</w:t>
                  </w:r>
                </w:p>
              </w:tc>
              <w:tc>
                <w:tcPr>
                  <w:tcW w:w="2037" w:type="pct"/>
                  <w:vAlign w:val="center"/>
                </w:tcPr>
                <w:p w14:paraId="39BCC1A6">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拟部署井钻试期仅消耗少量新鲜水，用量在区域可承受范围内，不会突破区域资源利用上限。</w:t>
                  </w:r>
                </w:p>
              </w:tc>
              <w:tc>
                <w:tcPr>
                  <w:tcW w:w="516" w:type="pct"/>
                  <w:vAlign w:val="center"/>
                </w:tcPr>
                <w:p w14:paraId="195DD62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362FE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8" w:hRule="atLeast"/>
                <w:jc w:val="center"/>
              </w:trPr>
              <w:tc>
                <w:tcPr>
                  <w:tcW w:w="2445" w:type="pct"/>
                  <w:vAlign w:val="center"/>
                </w:tcPr>
                <w:p w14:paraId="2C606959">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推进地表水与地下水协同防治。统筹区域地表水、地下水生态环境监管。</w:t>
                  </w:r>
                </w:p>
              </w:tc>
              <w:tc>
                <w:tcPr>
                  <w:tcW w:w="2037" w:type="pct"/>
                  <w:vAlign w:val="center"/>
                </w:tcPr>
                <w:p w14:paraId="09B644B1">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钻井过程无废水产生，试油过程产生的井下作业废水</w:t>
                  </w:r>
                  <w:r>
                    <w:rPr>
                      <w:rFonts w:hint="eastAsia" w:ascii="Times New Roman" w:hAnsi="Times New Roman" w:eastAsia="宋体" w:cs="Times New Roman"/>
                      <w:color w:val="000000" w:themeColor="text1"/>
                      <w:highlight w:val="none"/>
                      <w:lang w:eastAsia="zh-CN"/>
                      <w14:textFill>
                        <w14:solidFill>
                          <w14:schemeClr w14:val="tx1"/>
                        </w14:solidFill>
                      </w14:textFill>
                    </w:rPr>
                    <w:t>拉运至吉康脱水站</w:t>
                  </w:r>
                  <w:r>
                    <w:rPr>
                      <w:rFonts w:ascii="Times New Roman" w:hAnsi="Times New Roman" w:eastAsia="宋体" w:cs="Times New Roman"/>
                      <w:color w:val="000000" w:themeColor="text1"/>
                      <w:highlight w:val="none"/>
                      <w:lang w:eastAsia="zh-CN"/>
                      <w14:textFill>
                        <w14:solidFill>
                          <w14:schemeClr w14:val="tx1"/>
                        </w14:solidFill>
                      </w14:textFill>
                    </w:rPr>
                    <w:t>并处理达标后，全部回注油藏；钻井过程中使用水泥固井，有效地将含水层与井筒分隔开保护地下水不受污染。</w:t>
                  </w:r>
                </w:p>
              </w:tc>
              <w:tc>
                <w:tcPr>
                  <w:tcW w:w="516" w:type="pct"/>
                  <w:vAlign w:val="center"/>
                </w:tcPr>
                <w:p w14:paraId="3075E71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4DDBF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jc w:val="center"/>
              </w:trPr>
              <w:tc>
                <w:tcPr>
                  <w:tcW w:w="2445" w:type="pct"/>
                  <w:vAlign w:val="center"/>
                </w:tcPr>
                <w:p w14:paraId="66F658D9">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以北部沙漠防风固沙生态维护区、中部平原农田防护人居环境维护区和南部山地水源涵养生态维护区3个水土保持分区为基础，划分重点预防范围和重点治理范围。</w:t>
                  </w:r>
                </w:p>
              </w:tc>
              <w:tc>
                <w:tcPr>
                  <w:tcW w:w="2037" w:type="pct"/>
                  <w:vAlign w:val="center"/>
                </w:tcPr>
                <w:p w14:paraId="13BB7672">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本环评已提出了相应的水土保持措施，可将项目引起的水土流失的程度降低到最小限度。</w:t>
                  </w:r>
                </w:p>
              </w:tc>
              <w:tc>
                <w:tcPr>
                  <w:tcW w:w="516" w:type="pct"/>
                  <w:vAlign w:val="center"/>
                </w:tcPr>
                <w:p w14:paraId="19BB9F5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41448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 w:hRule="atLeast"/>
                <w:jc w:val="center"/>
              </w:trPr>
              <w:tc>
                <w:tcPr>
                  <w:tcW w:w="2445" w:type="pct"/>
                  <w:tcBorders>
                    <w:bottom w:val="single" w:color="000000" w:sz="6" w:space="0"/>
                  </w:tcBorders>
                  <w:vAlign w:val="center"/>
                </w:tcPr>
                <w:p w14:paraId="0AB522F0">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加强生态环境应急管理。实施企业环境应急预案电子化备案，完成昌吉市政府突发环境事件应急预案修编。</w:t>
                  </w:r>
                </w:p>
              </w:tc>
              <w:tc>
                <w:tcPr>
                  <w:tcW w:w="2037" w:type="pct"/>
                  <w:tcBorders>
                    <w:bottom w:val="single" w:color="000000" w:sz="6" w:space="0"/>
                  </w:tcBorders>
                  <w:vAlign w:val="center"/>
                </w:tcPr>
                <w:p w14:paraId="6209F992">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本项目归属中国石油天然气股份有限公司吐哈油田分公司准东采油管理区管辖，项目实施后需纳入《中国石油天然气股份有限公司吐哈油田分公司准东采油管理区突发环境事件应急预案》。</w:t>
                  </w:r>
                </w:p>
              </w:tc>
              <w:tc>
                <w:tcPr>
                  <w:tcW w:w="516" w:type="pct"/>
                  <w:tcBorders>
                    <w:bottom w:val="single" w:color="000000" w:sz="6" w:space="0"/>
                  </w:tcBorders>
                  <w:vAlign w:val="center"/>
                </w:tcPr>
                <w:p w14:paraId="33B8529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bl>
          <w:p w14:paraId="7C03C4E8">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8.与新疆维吾尔自治区主体功能区规划的相符性分析</w:t>
            </w:r>
          </w:p>
          <w:p w14:paraId="37A600E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根据《新疆维吾尔自治区主体功能区规划》（2016年10月24日），新疆分为以下主体功能区：按开发方式，分为优化开发区域、重点开发区域、限制开发区域和禁止开发区域四类；按开发内容，分为城市化地区、农产品主产区和重点生态功能区三类；按层级，分为国家和自治区级两个层面。</w:t>
            </w:r>
          </w:p>
          <w:p w14:paraId="767C704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本项目建设地点位于新疆维吾尔自治区昌吉回族自治州</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吉木萨尔县</w:t>
            </w:r>
            <w:r>
              <w:rPr>
                <w:rFonts w:ascii="Times New Roman" w:hAnsi="Times New Roman" w:cs="Times New Roman"/>
                <w:color w:val="000000" w:themeColor="text1"/>
                <w:sz w:val="24"/>
                <w:szCs w:val="24"/>
                <w:highlight w:val="none"/>
                <w:lang w:eastAsia="zh-CN"/>
                <w14:textFill>
                  <w14:solidFill>
                    <w14:schemeClr w14:val="tx1"/>
                  </w14:solidFill>
                </w14:textFill>
              </w:rPr>
              <w:t>境内，属于《新疆维吾尔自治区主体功能区规划》中的国家级重点开发区域（天山北坡地区），该区域的功能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w:t>
            </w:r>
          </w:p>
          <w:p w14:paraId="1EED65DC">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本项目为油气资源勘探项目，项目的建设有利于提高油气资源的安全供应能力和开发利用水平，支撑地区经济，因此本项目符合自治区对该区域的功能定位要求。新疆维吾尔自治区主体功能区规划图见附图5。</w:t>
            </w:r>
          </w:p>
          <w:p w14:paraId="146976C6">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9.与《新疆生态功能区划》的相符性分析</w:t>
            </w:r>
          </w:p>
          <w:p w14:paraId="2CFE593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根据《新疆生态功能区划简表》，项目所属生态功能区的主要生态服务功能、主要生态环境问题、主要保护目标和主要发展方向等内容详见表1-8，生态功能区划图详见附图4。</w:t>
            </w:r>
          </w:p>
          <w:p w14:paraId="34B10079">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pacing w:val="5"/>
                <w:sz w:val="21"/>
                <w:szCs w:val="21"/>
                <w:highlight w:val="none"/>
                <w14:textFill>
                  <w14:solidFill>
                    <w14:schemeClr w14:val="tx1"/>
                  </w14:solidFill>
                </w14:textFill>
              </w:rPr>
            </w:pPr>
            <w:r>
              <w:rPr>
                <w:rFonts w:ascii="Times New Roman" w:hAnsi="Times New Roman" w:cs="Times New Roman"/>
                <w:b/>
                <w:bCs/>
                <w:color w:val="000000" w:themeColor="text1"/>
                <w:spacing w:val="5"/>
                <w:sz w:val="21"/>
                <w:szCs w:val="21"/>
                <w:highlight w:val="none"/>
                <w14:textFill>
                  <w14:solidFill>
                    <w14:schemeClr w14:val="tx1"/>
                  </w14:solidFill>
                </w14:textFill>
              </w:rPr>
              <w:t>表</w:t>
            </w:r>
            <w:r>
              <w:rPr>
                <w:rFonts w:ascii="Times New Roman" w:hAnsi="Times New Roman" w:cs="Times New Roman"/>
                <w:b/>
                <w:bCs/>
                <w:color w:val="000000" w:themeColor="text1"/>
                <w:spacing w:val="5"/>
                <w:sz w:val="21"/>
                <w:szCs w:val="21"/>
                <w:highlight w:val="none"/>
                <w:lang w:eastAsia="zh-CN"/>
                <w14:textFill>
                  <w14:solidFill>
                    <w14:schemeClr w14:val="tx1"/>
                  </w14:solidFill>
                </w14:textFill>
              </w:rPr>
              <w:t>1</w:t>
            </w:r>
            <w:r>
              <w:rPr>
                <w:rFonts w:ascii="Times New Roman" w:hAnsi="Times New Roman" w:cs="Times New Roman"/>
                <w:b/>
                <w:bCs/>
                <w:color w:val="000000" w:themeColor="text1"/>
                <w:spacing w:val="5"/>
                <w:sz w:val="21"/>
                <w:szCs w:val="21"/>
                <w:highlight w:val="none"/>
                <w14:textFill>
                  <w14:solidFill>
                    <w14:schemeClr w14:val="tx1"/>
                  </w14:solidFill>
                </w14:textFill>
              </w:rPr>
              <w:t>-</w:t>
            </w:r>
            <w:r>
              <w:rPr>
                <w:rFonts w:ascii="Times New Roman" w:hAnsi="Times New Roman" w:cs="Times New Roman"/>
                <w:b/>
                <w:bCs/>
                <w:color w:val="000000" w:themeColor="text1"/>
                <w:spacing w:val="5"/>
                <w:sz w:val="21"/>
                <w:szCs w:val="21"/>
                <w:highlight w:val="none"/>
                <w:lang w:eastAsia="zh-CN"/>
                <w14:textFill>
                  <w14:solidFill>
                    <w14:schemeClr w14:val="tx1"/>
                  </w14:solidFill>
                </w14:textFill>
              </w:rPr>
              <w:t xml:space="preserve">8 </w:t>
            </w:r>
            <w:r>
              <w:rPr>
                <w:rFonts w:hint="eastAsia" w:ascii="Times New Roman" w:hAnsi="Times New Roman" w:cs="Times New Roman"/>
                <w:b/>
                <w:bCs/>
                <w:color w:val="000000" w:themeColor="text1"/>
                <w:spacing w:val="5"/>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5"/>
                <w:sz w:val="21"/>
                <w:szCs w:val="21"/>
                <w:highlight w:val="none"/>
                <w14:textFill>
                  <w14:solidFill>
                    <w14:schemeClr w14:val="tx1"/>
                  </w14:solidFill>
                </w14:textFill>
              </w:rPr>
              <w:t>生态功能区划简表</w:t>
            </w:r>
          </w:p>
          <w:tbl>
            <w:tblPr>
              <w:tblStyle w:val="21"/>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08"/>
              <w:gridCol w:w="1369"/>
              <w:gridCol w:w="4994"/>
            </w:tblGrid>
            <w:tr w14:paraId="4AB624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jc w:val="center"/>
              </w:trPr>
              <w:tc>
                <w:tcPr>
                  <w:tcW w:w="436" w:type="pct"/>
                  <w:vMerge w:val="restart"/>
                  <w:tcBorders>
                    <w:top w:val="single" w:color="000000" w:sz="10" w:space="0"/>
                    <w:bottom w:val="nil"/>
                  </w:tcBorders>
                  <w:vAlign w:val="center"/>
                </w:tcPr>
                <w:p w14:paraId="056C00F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生态功能分区单元</w:t>
                  </w:r>
                </w:p>
              </w:tc>
              <w:tc>
                <w:tcPr>
                  <w:tcW w:w="981" w:type="pct"/>
                  <w:tcBorders>
                    <w:top w:val="single" w:color="000000" w:sz="10" w:space="0"/>
                  </w:tcBorders>
                  <w:vAlign w:val="center"/>
                </w:tcPr>
                <w:p w14:paraId="1B6DE9D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生态区</w:t>
                  </w:r>
                </w:p>
              </w:tc>
              <w:tc>
                <w:tcPr>
                  <w:tcW w:w="3581" w:type="pct"/>
                  <w:tcBorders>
                    <w:top w:val="single" w:color="000000" w:sz="10" w:space="0"/>
                    <w:right w:val="single" w:color="000000" w:sz="4" w:space="0"/>
                  </w:tcBorders>
                  <w:vAlign w:val="center"/>
                </w:tcPr>
                <w:p w14:paraId="62B1668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7"/>
                      <w:sz w:val="21"/>
                      <w:szCs w:val="21"/>
                      <w:highlight w:val="none"/>
                      <w:lang w:eastAsia="zh-CN"/>
                      <w14:textFill>
                        <w14:solidFill>
                          <w14:schemeClr w14:val="tx1"/>
                        </w14:solidFill>
                      </w14:textFill>
                    </w:rPr>
                    <w:t>Ⅱ准噶尔盆地温性荒漠与绿洲农业生态区</w:t>
                  </w:r>
                </w:p>
              </w:tc>
            </w:tr>
            <w:tr w14:paraId="6BB96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436" w:type="pct"/>
                  <w:vMerge w:val="continue"/>
                  <w:tcBorders>
                    <w:top w:val="nil"/>
                    <w:bottom w:val="nil"/>
                  </w:tcBorders>
                  <w:vAlign w:val="center"/>
                </w:tcPr>
                <w:p w14:paraId="48A600B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981" w:type="pct"/>
                  <w:vAlign w:val="center"/>
                </w:tcPr>
                <w:p w14:paraId="2375E96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生态亚区</w:t>
                  </w:r>
                </w:p>
              </w:tc>
              <w:tc>
                <w:tcPr>
                  <w:tcW w:w="3581" w:type="pct"/>
                  <w:tcBorders>
                    <w:right w:val="single" w:color="000000" w:sz="4" w:space="0"/>
                  </w:tcBorders>
                  <w:vAlign w:val="center"/>
                </w:tcPr>
                <w:p w14:paraId="7D8829D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36"/>
                      <w:sz w:val="21"/>
                      <w:szCs w:val="21"/>
                      <w:highlight w:val="none"/>
                      <w:lang w:eastAsia="zh-CN"/>
                      <w14:textFill>
                        <w14:solidFill>
                          <w14:schemeClr w14:val="tx1"/>
                        </w14:solidFill>
                      </w14:textFill>
                    </w:rPr>
                    <w:t xml:space="preserve">Ⅱ  </w:t>
                  </w:r>
                  <w:r>
                    <w:rPr>
                      <w:rFonts w:ascii="Times New Roman" w:hAnsi="Times New Roman" w:cs="Times New Roman"/>
                      <w:color w:val="000000" w:themeColor="text1"/>
                      <w:spacing w:val="9"/>
                      <w:position w:val="-2"/>
                      <w:sz w:val="21"/>
                      <w:szCs w:val="21"/>
                      <w:highlight w:val="none"/>
                      <w:vertAlign w:val="subscript"/>
                      <w:lang w:eastAsia="zh-CN"/>
                      <w14:textFill>
                        <w14:solidFill>
                          <w14:schemeClr w14:val="tx1"/>
                        </w14:solidFill>
                      </w14:textFill>
                    </w:rPr>
                    <w:t>5</w:t>
                  </w:r>
                  <w:r>
                    <w:rPr>
                      <w:rFonts w:ascii="Times New Roman" w:hAnsi="Times New Roman" w:cs="Times New Roman"/>
                      <w:color w:val="000000" w:themeColor="text1"/>
                      <w:spacing w:val="9"/>
                      <w:sz w:val="21"/>
                      <w:szCs w:val="21"/>
                      <w:highlight w:val="none"/>
                      <w:lang w:eastAsia="zh-CN"/>
                      <w14:textFill>
                        <w14:solidFill>
                          <w14:schemeClr w14:val="tx1"/>
                        </w14:solidFill>
                      </w14:textFill>
                    </w:rPr>
                    <w:t>准噶尔盆地南部荒漠绿洲农业生态亚区</w:t>
                  </w:r>
                </w:p>
              </w:tc>
            </w:tr>
            <w:tr w14:paraId="612C8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436" w:type="pct"/>
                  <w:vMerge w:val="continue"/>
                  <w:tcBorders>
                    <w:top w:val="nil"/>
                  </w:tcBorders>
                  <w:vAlign w:val="center"/>
                </w:tcPr>
                <w:p w14:paraId="425E2FD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981" w:type="pct"/>
                  <w:vAlign w:val="center"/>
                </w:tcPr>
                <w:p w14:paraId="325E640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7"/>
                      <w:sz w:val="21"/>
                      <w:szCs w:val="21"/>
                      <w:highlight w:val="none"/>
                      <w14:textFill>
                        <w14:solidFill>
                          <w14:schemeClr w14:val="tx1"/>
                        </w14:solidFill>
                      </w14:textFill>
                    </w:rPr>
                    <w:t>生态功能区</w:t>
                  </w:r>
                </w:p>
              </w:tc>
              <w:tc>
                <w:tcPr>
                  <w:tcW w:w="3581" w:type="pct"/>
                  <w:tcBorders>
                    <w:right w:val="single" w:color="000000" w:sz="4" w:space="0"/>
                  </w:tcBorders>
                  <w:vAlign w:val="center"/>
                </w:tcPr>
                <w:p w14:paraId="6A307CB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9"/>
                      <w:sz w:val="21"/>
                      <w:szCs w:val="21"/>
                      <w:highlight w:val="none"/>
                      <w:lang w:eastAsia="zh-CN"/>
                      <w14:textFill>
                        <w14:solidFill>
                          <w14:schemeClr w14:val="tx1"/>
                        </w14:solidFill>
                      </w14:textFill>
                    </w:rPr>
                    <w:t>28.阜康一木垒绿洲农业、荒漠草地保护生态功</w:t>
                  </w:r>
                  <w:r>
                    <w:rPr>
                      <w:rFonts w:ascii="Times New Roman" w:hAnsi="Times New Roman" w:cs="Times New Roman"/>
                      <w:color w:val="000000" w:themeColor="text1"/>
                      <w:spacing w:val="8"/>
                      <w:sz w:val="21"/>
                      <w:szCs w:val="21"/>
                      <w:highlight w:val="none"/>
                      <w:lang w:eastAsia="zh-CN"/>
                      <w14:textFill>
                        <w14:solidFill>
                          <w14:schemeClr w14:val="tx1"/>
                        </w14:solidFill>
                      </w14:textFill>
                    </w:rPr>
                    <w:t>能区</w:t>
                  </w:r>
                </w:p>
              </w:tc>
            </w:tr>
            <w:tr w14:paraId="5079F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1418" w:type="pct"/>
                  <w:gridSpan w:val="2"/>
                  <w:vAlign w:val="center"/>
                </w:tcPr>
                <w:p w14:paraId="0356CF0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主要生态服务功能</w:t>
                  </w:r>
                </w:p>
              </w:tc>
              <w:tc>
                <w:tcPr>
                  <w:tcW w:w="3581" w:type="pct"/>
                  <w:tcBorders>
                    <w:right w:val="single" w:color="000000" w:sz="4" w:space="0"/>
                  </w:tcBorders>
                  <w:vAlign w:val="center"/>
                </w:tcPr>
                <w:p w14:paraId="345232F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9"/>
                      <w:sz w:val="21"/>
                      <w:szCs w:val="21"/>
                      <w:highlight w:val="none"/>
                      <w:lang w:eastAsia="zh-CN"/>
                      <w14:textFill>
                        <w14:solidFill>
                          <w14:schemeClr w14:val="tx1"/>
                        </w14:solidFill>
                      </w14:textFill>
                    </w:rPr>
                    <w:t>农牧业产品生产、人居环境、荒漠化控制</w:t>
                  </w:r>
                </w:p>
              </w:tc>
            </w:tr>
            <w:tr w14:paraId="521A0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jc w:val="center"/>
              </w:trPr>
              <w:tc>
                <w:tcPr>
                  <w:tcW w:w="1418" w:type="pct"/>
                  <w:gridSpan w:val="2"/>
                  <w:vAlign w:val="center"/>
                </w:tcPr>
                <w:p w14:paraId="710345E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8"/>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隶属行政区</w:t>
                  </w:r>
                </w:p>
              </w:tc>
              <w:tc>
                <w:tcPr>
                  <w:tcW w:w="3581" w:type="pct"/>
                  <w:tcBorders>
                    <w:right w:val="single" w:color="000000" w:sz="4" w:space="0"/>
                  </w:tcBorders>
                  <w:vAlign w:val="center"/>
                </w:tcPr>
                <w:p w14:paraId="259EA48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8"/>
                      <w:sz w:val="21"/>
                      <w:szCs w:val="21"/>
                      <w:highlight w:val="none"/>
                      <w:lang w:eastAsia="zh-CN"/>
                      <w14:textFill>
                        <w14:solidFill>
                          <w14:schemeClr w14:val="tx1"/>
                        </w14:solidFill>
                      </w14:textFill>
                    </w:rPr>
                  </w:pPr>
                  <w:r>
                    <w:rPr>
                      <w:rFonts w:ascii="Times New Roman" w:hAnsi="Times New Roman" w:cs="Times New Roman"/>
                      <w:color w:val="000000" w:themeColor="text1"/>
                      <w:spacing w:val="8"/>
                      <w:sz w:val="21"/>
                      <w:szCs w:val="21"/>
                      <w:highlight w:val="none"/>
                      <w:lang w:eastAsia="zh-CN"/>
                      <w14:textFill>
                        <w14:solidFill>
                          <w14:schemeClr w14:val="tx1"/>
                        </w14:solidFill>
                      </w14:textFill>
                    </w:rPr>
                    <w:t>阜康市、吉木萨尔县、奇台县、木垒县</w:t>
                  </w:r>
                </w:p>
              </w:tc>
            </w:tr>
            <w:tr w14:paraId="75219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jc w:val="center"/>
              </w:trPr>
              <w:tc>
                <w:tcPr>
                  <w:tcW w:w="1418" w:type="pct"/>
                  <w:gridSpan w:val="2"/>
                  <w:vAlign w:val="center"/>
                </w:tcPr>
                <w:p w14:paraId="4AE056E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9"/>
                      <w:sz w:val="21"/>
                      <w:szCs w:val="21"/>
                      <w:highlight w:val="none"/>
                      <w14:textFill>
                        <w14:solidFill>
                          <w14:schemeClr w14:val="tx1"/>
                        </w14:solidFill>
                      </w14:textFill>
                    </w:rPr>
                  </w:pPr>
                  <w:r>
                    <w:rPr>
                      <w:rFonts w:ascii="Times New Roman" w:hAnsi="Times New Roman" w:cs="Times New Roman"/>
                      <w:color w:val="000000" w:themeColor="text1"/>
                      <w:spacing w:val="9"/>
                      <w:sz w:val="21"/>
                      <w:szCs w:val="21"/>
                      <w:highlight w:val="none"/>
                      <w14:textFill>
                        <w14:solidFill>
                          <w14:schemeClr w14:val="tx1"/>
                        </w14:solidFill>
                      </w14:textFill>
                    </w:rPr>
                    <w:t>主要生态环境问题</w:t>
                  </w:r>
                </w:p>
              </w:tc>
              <w:tc>
                <w:tcPr>
                  <w:tcW w:w="3581" w:type="pct"/>
                  <w:tcBorders>
                    <w:right w:val="single" w:color="000000" w:sz="4" w:space="0"/>
                  </w:tcBorders>
                  <w:vAlign w:val="center"/>
                </w:tcPr>
                <w:p w14:paraId="1B71BB0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8"/>
                      <w:sz w:val="21"/>
                      <w:szCs w:val="21"/>
                      <w:highlight w:val="none"/>
                      <w:lang w:eastAsia="zh-CN"/>
                      <w14:textFill>
                        <w14:solidFill>
                          <w14:schemeClr w14:val="tx1"/>
                        </w14:solidFill>
                      </w14:textFill>
                    </w:rPr>
                  </w:pPr>
                  <w:r>
                    <w:rPr>
                      <w:rFonts w:ascii="Times New Roman" w:hAnsi="Times New Roman" w:cs="Times New Roman"/>
                      <w:color w:val="000000" w:themeColor="text1"/>
                      <w:spacing w:val="8"/>
                      <w:sz w:val="21"/>
                      <w:szCs w:val="21"/>
                      <w:highlight w:val="none"/>
                      <w:lang w:eastAsia="zh-CN"/>
                      <w14:textFill>
                        <w14:solidFill>
                          <w14:schemeClr w14:val="tx1"/>
                        </w14:solidFill>
                      </w14:textFill>
                    </w:rPr>
                    <w:t>地下水超采、荒漠植被退化、沙漠化威胁、局部土壤盐渍化、河流萎缩、滥开荒地</w:t>
                  </w:r>
                </w:p>
              </w:tc>
            </w:tr>
            <w:tr w14:paraId="571FA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jc w:val="center"/>
              </w:trPr>
              <w:tc>
                <w:tcPr>
                  <w:tcW w:w="1418" w:type="pct"/>
                  <w:gridSpan w:val="2"/>
                  <w:vAlign w:val="center"/>
                </w:tcPr>
                <w:p w14:paraId="247F760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9"/>
                      <w:sz w:val="21"/>
                      <w:szCs w:val="21"/>
                      <w:highlight w:val="none"/>
                      <w:lang w:eastAsia="zh-CN"/>
                      <w14:textFill>
                        <w14:solidFill>
                          <w14:schemeClr w14:val="tx1"/>
                        </w14:solidFill>
                      </w14:textFill>
                    </w:rPr>
                  </w:pPr>
                  <w:r>
                    <w:rPr>
                      <w:rFonts w:ascii="Times New Roman" w:hAnsi="Times New Roman" w:cs="Times New Roman"/>
                      <w:color w:val="000000" w:themeColor="text1"/>
                      <w:spacing w:val="9"/>
                      <w:sz w:val="21"/>
                      <w:szCs w:val="21"/>
                      <w:highlight w:val="none"/>
                      <w:lang w:eastAsia="zh-CN"/>
                      <w14:textFill>
                        <w14:solidFill>
                          <w14:schemeClr w14:val="tx1"/>
                        </w14:solidFill>
                      </w14:textFill>
                    </w:rPr>
                    <w:t>主要生态敏感因子、敏感程度</w:t>
                  </w:r>
                </w:p>
              </w:tc>
              <w:tc>
                <w:tcPr>
                  <w:tcW w:w="3581" w:type="pct"/>
                  <w:tcBorders>
                    <w:right w:val="single" w:color="000000" w:sz="4" w:space="0"/>
                  </w:tcBorders>
                  <w:vAlign w:val="center"/>
                </w:tcPr>
                <w:p w14:paraId="48E0120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9"/>
                      <w:sz w:val="21"/>
                      <w:szCs w:val="21"/>
                      <w:highlight w:val="none"/>
                      <w:lang w:eastAsia="zh-CN"/>
                      <w14:textFill>
                        <w14:solidFill>
                          <w14:schemeClr w14:val="tx1"/>
                        </w14:solidFill>
                      </w14:textFill>
                    </w:rPr>
                    <w:t>生物多样性和生境中度敏感，土壤侵蚀轻度敏感、不敏感，土</w:t>
                  </w:r>
                  <w:r>
                    <w:rPr>
                      <w:rFonts w:ascii="Times New Roman" w:hAnsi="Times New Roman" w:cs="Times New Roman"/>
                      <w:color w:val="000000" w:themeColor="text1"/>
                      <w:spacing w:val="8"/>
                      <w:sz w:val="21"/>
                      <w:szCs w:val="21"/>
                      <w:highlight w:val="none"/>
                      <w:lang w:eastAsia="zh-CN"/>
                      <w14:textFill>
                        <w14:solidFill>
                          <w14:schemeClr w14:val="tx1"/>
                        </w14:solidFill>
                      </w14:textFill>
                    </w:rPr>
                    <w:t>地沙漠化、土壤盐渍化不敏感</w:t>
                  </w:r>
                </w:p>
              </w:tc>
            </w:tr>
            <w:tr w14:paraId="672EA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1418" w:type="pct"/>
                  <w:gridSpan w:val="2"/>
                  <w:vAlign w:val="center"/>
                </w:tcPr>
                <w:p w14:paraId="75949E8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7"/>
                      <w:sz w:val="21"/>
                      <w:szCs w:val="21"/>
                      <w:highlight w:val="none"/>
                      <w14:textFill>
                        <w14:solidFill>
                          <w14:schemeClr w14:val="tx1"/>
                        </w14:solidFill>
                      </w14:textFill>
                    </w:rPr>
                    <w:t>主要保护目标</w:t>
                  </w:r>
                </w:p>
              </w:tc>
              <w:tc>
                <w:tcPr>
                  <w:tcW w:w="3581" w:type="pct"/>
                  <w:tcBorders>
                    <w:right w:val="single" w:color="000000" w:sz="4" w:space="0"/>
                  </w:tcBorders>
                  <w:vAlign w:val="center"/>
                </w:tcPr>
                <w:p w14:paraId="6193339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9"/>
                      <w:sz w:val="21"/>
                      <w:szCs w:val="21"/>
                      <w:highlight w:val="none"/>
                      <w:lang w:eastAsia="zh-CN"/>
                      <w14:textFill>
                        <w14:solidFill>
                          <w14:schemeClr w14:val="tx1"/>
                        </w14:solidFill>
                      </w14:textFill>
                    </w:rPr>
                    <w:t>保护基本农田、保护荒漠植被、保护土壤环境质量</w:t>
                  </w:r>
                </w:p>
              </w:tc>
            </w:tr>
            <w:tr w14:paraId="08555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1418" w:type="pct"/>
                  <w:gridSpan w:val="2"/>
                  <w:vAlign w:val="center"/>
                </w:tcPr>
                <w:p w14:paraId="032F7EC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7"/>
                      <w:sz w:val="21"/>
                      <w:szCs w:val="21"/>
                      <w:highlight w:val="none"/>
                      <w14:textFill>
                        <w14:solidFill>
                          <w14:schemeClr w14:val="tx1"/>
                        </w14:solidFill>
                      </w14:textFill>
                    </w:rPr>
                  </w:pPr>
                  <w:r>
                    <w:rPr>
                      <w:rFonts w:ascii="Times New Roman" w:hAnsi="Times New Roman" w:cs="Times New Roman"/>
                      <w:color w:val="000000" w:themeColor="text1"/>
                      <w:spacing w:val="7"/>
                      <w:sz w:val="21"/>
                      <w:szCs w:val="21"/>
                      <w:highlight w:val="none"/>
                      <w14:textFill>
                        <w14:solidFill>
                          <w14:schemeClr w14:val="tx1"/>
                        </w14:solidFill>
                      </w14:textFill>
                    </w:rPr>
                    <w:t>主要保护措施</w:t>
                  </w:r>
                </w:p>
              </w:tc>
              <w:tc>
                <w:tcPr>
                  <w:tcW w:w="3581" w:type="pct"/>
                  <w:tcBorders>
                    <w:right w:val="single" w:color="000000" w:sz="4" w:space="0"/>
                  </w:tcBorders>
                  <w:vAlign w:val="center"/>
                </w:tcPr>
                <w:p w14:paraId="502075D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9"/>
                      <w:sz w:val="21"/>
                      <w:szCs w:val="21"/>
                      <w:highlight w:val="none"/>
                      <w:lang w:eastAsia="zh-CN"/>
                      <w14:textFill>
                        <w14:solidFill>
                          <w14:schemeClr w14:val="tx1"/>
                        </w14:solidFill>
                      </w14:textFill>
                    </w:rPr>
                    <w:t>节水灌溉、草场休牧、对前山坡耕地和北部沙化土地实施退耕还林</w:t>
                  </w:r>
                  <w:r>
                    <w:rPr>
                      <w:rFonts w:hint="eastAsia" w:ascii="Times New Roman" w:hAnsi="Times New Roman" w:cs="Times New Roman"/>
                      <w:color w:val="000000" w:themeColor="text1"/>
                      <w:spacing w:val="9"/>
                      <w:sz w:val="21"/>
                      <w:szCs w:val="21"/>
                      <w:highlight w:val="none"/>
                      <w:lang w:eastAsia="zh-CN"/>
                      <w14:textFill>
                        <w14:solidFill>
                          <w14:schemeClr w14:val="tx1"/>
                        </w14:solidFill>
                      </w14:textFill>
                    </w:rPr>
                    <w:t>（</w:t>
                  </w:r>
                  <w:r>
                    <w:rPr>
                      <w:rFonts w:ascii="Times New Roman" w:hAnsi="Times New Roman" w:cs="Times New Roman"/>
                      <w:color w:val="000000" w:themeColor="text1"/>
                      <w:spacing w:val="9"/>
                      <w:sz w:val="21"/>
                      <w:szCs w:val="21"/>
                      <w:highlight w:val="none"/>
                      <w:lang w:eastAsia="zh-CN"/>
                      <w14:textFill>
                        <w14:solidFill>
                          <w14:schemeClr w14:val="tx1"/>
                        </w14:solidFill>
                      </w14:textFill>
                    </w:rPr>
                    <w:t>草</w:t>
                  </w:r>
                  <w:r>
                    <w:rPr>
                      <w:rFonts w:hint="eastAsia" w:ascii="Times New Roman" w:hAnsi="Times New Roman" w:cs="Times New Roman"/>
                      <w:color w:val="000000" w:themeColor="text1"/>
                      <w:spacing w:val="9"/>
                      <w:sz w:val="21"/>
                      <w:szCs w:val="21"/>
                      <w:highlight w:val="none"/>
                      <w:lang w:eastAsia="zh-CN"/>
                      <w14:textFill>
                        <w14:solidFill>
                          <w14:schemeClr w14:val="tx1"/>
                        </w14:solidFill>
                      </w14:textFill>
                    </w:rPr>
                    <w:t>）</w:t>
                  </w:r>
                  <w:r>
                    <w:rPr>
                      <w:rFonts w:ascii="Times New Roman" w:hAnsi="Times New Roman" w:cs="Times New Roman"/>
                      <w:color w:val="000000" w:themeColor="text1"/>
                      <w:spacing w:val="9"/>
                      <w:sz w:val="21"/>
                      <w:szCs w:val="21"/>
                      <w:highlight w:val="none"/>
                      <w:lang w:eastAsia="zh-CN"/>
                      <w14:textFill>
                        <w14:solidFill>
                          <w14:schemeClr w14:val="tx1"/>
                        </w14:solidFill>
                      </w14:textFill>
                    </w:rPr>
                    <w:t>，在水源无保障、植被稀少、生态脆弱地带禁止开荒</w:t>
                  </w:r>
                  <w:r>
                    <w:rPr>
                      <w:rFonts w:ascii="Times New Roman" w:hAnsi="Times New Roman" w:cs="Times New Roman"/>
                      <w:color w:val="000000" w:themeColor="text1"/>
                      <w:spacing w:val="8"/>
                      <w:sz w:val="21"/>
                      <w:szCs w:val="21"/>
                      <w:highlight w:val="none"/>
                      <w:lang w:eastAsia="zh-CN"/>
                      <w14:textFill>
                        <w14:solidFill>
                          <w14:schemeClr w14:val="tx1"/>
                        </w14:solidFill>
                      </w14:textFill>
                    </w:rPr>
                    <w:t>、加强农田投入品的使用管理</w:t>
                  </w:r>
                </w:p>
              </w:tc>
            </w:tr>
            <w:tr w14:paraId="32410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1418" w:type="pct"/>
                  <w:gridSpan w:val="2"/>
                  <w:tcBorders>
                    <w:bottom w:val="single" w:color="000000" w:sz="10" w:space="0"/>
                  </w:tcBorders>
                  <w:vAlign w:val="center"/>
                </w:tcPr>
                <w:p w14:paraId="4C7C039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7"/>
                      <w:sz w:val="21"/>
                      <w:szCs w:val="21"/>
                      <w:highlight w:val="none"/>
                      <w14:textFill>
                        <w14:solidFill>
                          <w14:schemeClr w14:val="tx1"/>
                        </w14:solidFill>
                      </w14:textFill>
                    </w:rPr>
                  </w:pPr>
                  <w:r>
                    <w:rPr>
                      <w:rFonts w:ascii="Times New Roman" w:hAnsi="Times New Roman" w:cs="Times New Roman"/>
                      <w:color w:val="000000" w:themeColor="text1"/>
                      <w:spacing w:val="7"/>
                      <w:sz w:val="21"/>
                      <w:szCs w:val="21"/>
                      <w:highlight w:val="none"/>
                      <w14:textFill>
                        <w14:solidFill>
                          <w14:schemeClr w14:val="tx1"/>
                        </w14:solidFill>
                      </w14:textFill>
                    </w:rPr>
                    <w:t>主要发展方向</w:t>
                  </w:r>
                </w:p>
              </w:tc>
              <w:tc>
                <w:tcPr>
                  <w:tcW w:w="3581" w:type="pct"/>
                  <w:tcBorders>
                    <w:bottom w:val="single" w:color="000000" w:sz="10" w:space="0"/>
                    <w:right w:val="single" w:color="000000" w:sz="4" w:space="0"/>
                  </w:tcBorders>
                  <w:vAlign w:val="center"/>
                </w:tcPr>
                <w:p w14:paraId="4CA35D5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9"/>
                      <w:sz w:val="21"/>
                      <w:szCs w:val="21"/>
                      <w:highlight w:val="none"/>
                      <w:lang w:eastAsia="zh-CN"/>
                      <w14:textFill>
                        <w14:solidFill>
                          <w14:schemeClr w14:val="tx1"/>
                        </w14:solidFill>
                      </w14:textFill>
                    </w:rPr>
                    <w:t>农牧结合，发展优质、高效特色农业</w:t>
                  </w:r>
                </w:p>
              </w:tc>
            </w:tr>
          </w:tbl>
          <w:p w14:paraId="046F9E75">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left="0"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本项目只有钻井期、试油期，不涉及运营期；项目建设占用的土地资源相对区域资源较少，且为临时用地；项目单井施工期较短，资源消耗量较少，不涉及地下水的开采活动。采取一定的环保措施后，项目产生的废气、废水、噪声等对环境影响较小。项目建设符合《新疆生态功能区划》相关要求。</w:t>
            </w:r>
          </w:p>
          <w:p w14:paraId="491EAB32">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jc w:val="both"/>
              <w:textAlignment w:val="baseline"/>
              <w:rPr>
                <w:rFonts w:ascii="Times New Roman" w:hAnsi="Times New Roman" w:cs="Times New Roman"/>
                <w:b/>
                <w:bCs/>
                <w:color w:val="000000" w:themeColor="text1"/>
                <w:spacing w:val="-5"/>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5"/>
                <w:sz w:val="24"/>
                <w:szCs w:val="24"/>
                <w:highlight w:val="none"/>
                <w:lang w:eastAsia="zh-CN"/>
                <w14:textFill>
                  <w14:solidFill>
                    <w14:schemeClr w14:val="tx1"/>
                  </w14:solidFill>
                </w14:textFill>
              </w:rPr>
              <w:t>10.与《新疆维吾尔自治区重点行业生态环境准入条件（2024年）》（新环环评发〔2024〕93号）符合性分析</w:t>
            </w:r>
          </w:p>
          <w:p w14:paraId="389A7BF3">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60" w:firstLineChars="200"/>
              <w:jc w:val="both"/>
              <w:textAlignment w:val="baseline"/>
              <w:rPr>
                <w:rFonts w:ascii="Times New Roman" w:hAnsi="Times New Roman" w:cs="Times New Roman"/>
                <w:b/>
                <w:bCs/>
                <w:color w:val="000000" w:themeColor="text1"/>
                <w:spacing w:val="-5"/>
                <w:sz w:val="24"/>
                <w:szCs w:val="24"/>
                <w:highlight w:val="none"/>
                <w:lang w:eastAsia="zh-CN"/>
                <w14:textFill>
                  <w14:solidFill>
                    <w14:schemeClr w14:val="tx1"/>
                  </w14:solidFill>
                </w14:textFill>
              </w:rPr>
            </w:pPr>
            <w:r>
              <w:rPr>
                <w:rFonts w:ascii="Times New Roman" w:hAnsi="Times New Roman" w:cs="Times New Roman"/>
                <w:color w:val="000000" w:themeColor="text1"/>
                <w:spacing w:val="-5"/>
                <w:sz w:val="24"/>
                <w:szCs w:val="24"/>
                <w:highlight w:val="none"/>
                <w:lang w:eastAsia="zh-CN"/>
                <w14:textFill>
                  <w14:solidFill>
                    <w14:schemeClr w14:val="tx1"/>
                  </w14:solidFill>
                </w14:textFill>
              </w:rPr>
              <w:t>项目与《新疆维吾尔自治区重点行业生态环境准入条件（2024年）》（新环环评发〔2024〕93号）符合性分析见表1-9。</w:t>
            </w:r>
          </w:p>
          <w:p w14:paraId="1991EA81">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pacing w:val="5"/>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5"/>
                <w:sz w:val="21"/>
                <w:szCs w:val="21"/>
                <w:highlight w:val="none"/>
                <w:lang w:eastAsia="zh-CN"/>
                <w14:textFill>
                  <w14:solidFill>
                    <w14:schemeClr w14:val="tx1"/>
                  </w14:solidFill>
                </w14:textFill>
              </w:rPr>
              <w:t xml:space="preserve">表1-9 </w:t>
            </w:r>
            <w:r>
              <w:rPr>
                <w:rFonts w:hint="eastAsia" w:ascii="Times New Roman" w:hAnsi="Times New Roman" w:cs="Times New Roman"/>
                <w:b/>
                <w:bCs/>
                <w:color w:val="000000" w:themeColor="text1"/>
                <w:spacing w:val="5"/>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5"/>
                <w:sz w:val="21"/>
                <w:szCs w:val="21"/>
                <w:highlight w:val="none"/>
                <w:lang w:eastAsia="zh-CN"/>
                <w14:textFill>
                  <w14:solidFill>
                    <w14:schemeClr w14:val="tx1"/>
                  </w14:solidFill>
                </w14:textFill>
              </w:rPr>
              <w:t>与《新疆维吾尔自治区重点行业生态环境准入条件</w:t>
            </w:r>
          </w:p>
          <w:p w14:paraId="0DDE0672">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pacing w:val="5"/>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5"/>
                <w:sz w:val="21"/>
                <w:szCs w:val="21"/>
                <w:highlight w:val="none"/>
                <w:lang w:eastAsia="zh-CN"/>
                <w14:textFill>
                  <w14:solidFill>
                    <w14:schemeClr w14:val="tx1"/>
                  </w14:solidFill>
                </w14:textFill>
              </w:rPr>
              <w:t>（2024年）》符合性分析一览表</w:t>
            </w:r>
          </w:p>
          <w:tbl>
            <w:tblPr>
              <w:tblStyle w:val="2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36"/>
              <w:gridCol w:w="3273"/>
              <w:gridCol w:w="2636"/>
              <w:gridCol w:w="521"/>
            </w:tblGrid>
            <w:tr w14:paraId="21E4C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5" w:hRule="atLeast"/>
                <w:jc w:val="center"/>
              </w:trPr>
              <w:tc>
                <w:tcPr>
                  <w:tcW w:w="385" w:type="pct"/>
                  <w:tcBorders>
                    <w:top w:val="single" w:color="000000" w:sz="2" w:space="0"/>
                    <w:left w:val="single" w:color="000000" w:sz="2" w:space="0"/>
                  </w:tcBorders>
                  <w:vAlign w:val="center"/>
                </w:tcPr>
                <w:p w14:paraId="19AA040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napToGrid/>
                      <w:color w:val="000000" w:themeColor="text1"/>
                      <w:kern w:val="2"/>
                      <w:highlight w:val="none"/>
                      <w:lang w:eastAsia="zh-CN"/>
                      <w14:textFill>
                        <w14:solidFill>
                          <w14:schemeClr w14:val="tx1"/>
                        </w14:solidFill>
                      </w14:textFill>
                    </w:rPr>
                  </w:pPr>
                  <w:r>
                    <w:rPr>
                      <w:rFonts w:ascii="Times New Roman" w:hAnsi="Times New Roman" w:eastAsia="宋体" w:cs="Times New Roman"/>
                      <w:b/>
                      <w:bCs/>
                      <w:snapToGrid/>
                      <w:color w:val="000000" w:themeColor="text1"/>
                      <w:kern w:val="2"/>
                      <w:highlight w:val="none"/>
                      <w:lang w:eastAsia="zh-CN"/>
                      <w14:textFill>
                        <w14:solidFill>
                          <w14:schemeClr w14:val="tx1"/>
                        </w14:solidFill>
                      </w14:textFill>
                    </w:rPr>
                    <w:t>序号</w:t>
                  </w:r>
                </w:p>
              </w:tc>
              <w:tc>
                <w:tcPr>
                  <w:tcW w:w="2349" w:type="pct"/>
                  <w:tcBorders>
                    <w:top w:val="single" w:color="000000" w:sz="2" w:space="0"/>
                  </w:tcBorders>
                  <w:vAlign w:val="center"/>
                </w:tcPr>
                <w:p w14:paraId="2A6863D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napToGrid/>
                      <w:color w:val="000000" w:themeColor="text1"/>
                      <w:kern w:val="2"/>
                      <w:highlight w:val="none"/>
                      <w:lang w:eastAsia="zh-CN"/>
                      <w14:textFill>
                        <w14:solidFill>
                          <w14:schemeClr w14:val="tx1"/>
                        </w14:solidFill>
                      </w14:textFill>
                    </w:rPr>
                  </w:pPr>
                  <w:r>
                    <w:rPr>
                      <w:rFonts w:ascii="Times New Roman" w:hAnsi="Times New Roman" w:eastAsia="宋体" w:cs="Times New Roman"/>
                      <w:b/>
                      <w:bCs/>
                      <w:snapToGrid/>
                      <w:color w:val="000000" w:themeColor="text1"/>
                      <w:kern w:val="2"/>
                      <w:highlight w:val="none"/>
                      <w:lang w:eastAsia="zh-CN"/>
                      <w14:textFill>
                        <w14:solidFill>
                          <w14:schemeClr w14:val="tx1"/>
                        </w14:solidFill>
                      </w14:textFill>
                    </w:rPr>
                    <w:t>《新疆维吾尔自治区重点行业生态环境准入条件（2024年）》中相关规定</w:t>
                  </w:r>
                </w:p>
              </w:tc>
              <w:tc>
                <w:tcPr>
                  <w:tcW w:w="1892" w:type="pct"/>
                  <w:tcBorders>
                    <w:top w:val="single" w:color="000000" w:sz="2" w:space="0"/>
                  </w:tcBorders>
                  <w:vAlign w:val="center"/>
                </w:tcPr>
                <w:p w14:paraId="01CC1C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napToGrid/>
                      <w:color w:val="000000" w:themeColor="text1"/>
                      <w:kern w:val="2"/>
                      <w:highlight w:val="none"/>
                      <w:lang w:eastAsia="zh-CN"/>
                      <w14:textFill>
                        <w14:solidFill>
                          <w14:schemeClr w14:val="tx1"/>
                        </w14:solidFill>
                      </w14:textFill>
                    </w:rPr>
                  </w:pPr>
                  <w:r>
                    <w:rPr>
                      <w:rFonts w:ascii="Times New Roman" w:hAnsi="Times New Roman" w:eastAsia="宋体" w:cs="Times New Roman"/>
                      <w:b/>
                      <w:bCs/>
                      <w:snapToGrid/>
                      <w:color w:val="000000" w:themeColor="text1"/>
                      <w:kern w:val="2"/>
                      <w:highlight w:val="none"/>
                      <w:lang w:eastAsia="zh-CN"/>
                      <w14:textFill>
                        <w14:solidFill>
                          <w14:schemeClr w14:val="tx1"/>
                        </w14:solidFill>
                      </w14:textFill>
                    </w:rPr>
                    <w:t>本项目采取的相关措施</w:t>
                  </w:r>
                </w:p>
              </w:tc>
              <w:tc>
                <w:tcPr>
                  <w:tcW w:w="373" w:type="pct"/>
                  <w:tcBorders>
                    <w:top w:val="single" w:color="000000" w:sz="2" w:space="0"/>
                  </w:tcBorders>
                  <w:vAlign w:val="center"/>
                </w:tcPr>
                <w:p w14:paraId="0E7801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napToGrid/>
                      <w:color w:val="000000" w:themeColor="text1"/>
                      <w:kern w:val="2"/>
                      <w:highlight w:val="none"/>
                      <w:lang w:eastAsia="zh-CN"/>
                      <w14:textFill>
                        <w14:solidFill>
                          <w14:schemeClr w14:val="tx1"/>
                        </w14:solidFill>
                      </w14:textFill>
                    </w:rPr>
                  </w:pPr>
                  <w:r>
                    <w:rPr>
                      <w:rFonts w:ascii="Times New Roman" w:hAnsi="Times New Roman" w:eastAsia="宋体" w:cs="Times New Roman"/>
                      <w:b/>
                      <w:bCs/>
                      <w:snapToGrid/>
                      <w:color w:val="000000" w:themeColor="text1"/>
                      <w:kern w:val="2"/>
                      <w:highlight w:val="none"/>
                      <w:lang w:eastAsia="zh-CN"/>
                      <w14:textFill>
                        <w14:solidFill>
                          <w14:schemeClr w14:val="tx1"/>
                        </w14:solidFill>
                      </w14:textFill>
                    </w:rPr>
                    <w:t>分析</w:t>
                  </w:r>
                </w:p>
                <w:p w14:paraId="2CDFD4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b/>
                      <w:bCs/>
                      <w:snapToGrid/>
                      <w:color w:val="000000" w:themeColor="text1"/>
                      <w:kern w:val="2"/>
                      <w:highlight w:val="none"/>
                      <w:lang w:eastAsia="zh-CN"/>
                      <w14:textFill>
                        <w14:solidFill>
                          <w14:schemeClr w14:val="tx1"/>
                        </w14:solidFill>
                      </w14:textFill>
                    </w:rPr>
                  </w:pPr>
                  <w:r>
                    <w:rPr>
                      <w:rFonts w:ascii="Times New Roman" w:hAnsi="Times New Roman" w:eastAsia="宋体" w:cs="Times New Roman"/>
                      <w:b/>
                      <w:bCs/>
                      <w:snapToGrid/>
                      <w:color w:val="000000" w:themeColor="text1"/>
                      <w:kern w:val="2"/>
                      <w:highlight w:val="none"/>
                      <w:lang w:eastAsia="zh-CN"/>
                      <w14:textFill>
                        <w14:solidFill>
                          <w14:schemeClr w14:val="tx1"/>
                        </w14:solidFill>
                      </w14:textFill>
                    </w:rPr>
                    <w:t>结论</w:t>
                  </w:r>
                </w:p>
              </w:tc>
            </w:tr>
            <w:tr w14:paraId="6AD2E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5" w:type="pct"/>
                  <w:tcBorders>
                    <w:left w:val="single" w:color="000000" w:sz="2" w:space="0"/>
                  </w:tcBorders>
                  <w:vAlign w:val="center"/>
                </w:tcPr>
                <w:p w14:paraId="611B37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1</w:t>
                  </w:r>
                </w:p>
              </w:tc>
              <w:tc>
                <w:tcPr>
                  <w:tcW w:w="2349" w:type="pct"/>
                  <w:vAlign w:val="center"/>
                </w:tcPr>
                <w:p w14:paraId="6C39FC1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施工期应当尽量减少施工占地、严格控制施工作业面积、缩短施工时间、选择合理施工方式、落实环境敏感区管控要求以及其他生态环境保护措施，有效降低生态环境影响。</w:t>
                  </w:r>
                </w:p>
              </w:tc>
              <w:tc>
                <w:tcPr>
                  <w:tcW w:w="1892" w:type="pct"/>
                  <w:vAlign w:val="center"/>
                </w:tcPr>
                <w:p w14:paraId="0788AEB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本项目严格控制施工作业面积、减少施工占地、选择合理施工方式、落实环境敏感区管控要求以及其他生态环境保护措施，有效降低生态环境影响。</w:t>
                  </w:r>
                </w:p>
              </w:tc>
              <w:tc>
                <w:tcPr>
                  <w:tcW w:w="373" w:type="pct"/>
                  <w:vAlign w:val="center"/>
                </w:tcPr>
                <w:p w14:paraId="21A24F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符合</w:t>
                  </w:r>
                </w:p>
              </w:tc>
            </w:tr>
            <w:tr w14:paraId="5C563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7" w:hRule="atLeast"/>
                <w:jc w:val="center"/>
              </w:trPr>
              <w:tc>
                <w:tcPr>
                  <w:tcW w:w="385" w:type="pct"/>
                  <w:tcBorders>
                    <w:left w:val="single" w:color="000000" w:sz="2" w:space="0"/>
                  </w:tcBorders>
                  <w:vAlign w:val="center"/>
                </w:tcPr>
                <w:p w14:paraId="39175E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2</w:t>
                  </w:r>
                </w:p>
              </w:tc>
              <w:tc>
                <w:tcPr>
                  <w:tcW w:w="2349" w:type="pct"/>
                  <w:vAlign w:val="center"/>
                </w:tcPr>
                <w:p w14:paraId="50832B5F">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陆地油气开发项目应当对挥发性有机物液体储存和装载损失、废水集输和处理系统、设备与管线组件泄漏、非正常工况等挥发性有机物无组织排放源进行有效管控，通过采取设备密闭、废气有效收集及配套高效末端处理设施等措施，有效控制挥发性有机物和恶臭气体无组织排放，油气集输损耗率不得高于0.5%；工艺过程控制措施、废气收集处理措施以及站场边界非甲烷总烃排放浓度应满足《陆上石油天然气开采工业大气污染物排放标准》（GB39728）要求。</w:t>
                  </w:r>
                </w:p>
              </w:tc>
              <w:tc>
                <w:tcPr>
                  <w:tcW w:w="1892" w:type="pct"/>
                  <w:vAlign w:val="center"/>
                </w:tcPr>
                <w:p w14:paraId="5323C05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本项目为勘探井项目，已设置原油储罐对原油进行储存和装载，项目井下作业废水采取带罐作业，井下作业废水全部回收，</w:t>
                  </w:r>
                  <w:r>
                    <w:rPr>
                      <w:rFonts w:hint="eastAsia" w:ascii="Times New Roman" w:hAnsi="Times New Roman" w:eastAsia="宋体" w:cs="Times New Roman"/>
                      <w:color w:val="000000" w:themeColor="text1"/>
                      <w:highlight w:val="none"/>
                      <w:lang w:eastAsia="zh-CN"/>
                      <w14:textFill>
                        <w14:solidFill>
                          <w14:schemeClr w14:val="tx1"/>
                        </w14:solidFill>
                      </w14:textFill>
                    </w:rPr>
                    <w:t>拉运至吉康脱水站</w:t>
                  </w:r>
                  <w:r>
                    <w:rPr>
                      <w:rFonts w:ascii="Times New Roman" w:hAnsi="Times New Roman" w:eastAsia="宋体" w:cs="Times New Roman"/>
                      <w:color w:val="000000" w:themeColor="text1"/>
                      <w:highlight w:val="none"/>
                      <w:lang w:eastAsia="zh-CN"/>
                      <w14:textFill>
                        <w14:solidFill>
                          <w14:schemeClr w14:val="tx1"/>
                        </w14:solidFill>
                      </w14:textFill>
                    </w:rPr>
                    <w:t>并处理达标后，全部回注油藏</w:t>
                  </w:r>
                  <w:r>
                    <w:rPr>
                      <w:rFonts w:ascii="Times New Roman" w:hAnsi="Times New Roman" w:eastAsia="宋体" w:cs="Times New Roman"/>
                      <w:snapToGrid/>
                      <w:color w:val="000000" w:themeColor="text1"/>
                      <w:kern w:val="2"/>
                      <w:highlight w:val="none"/>
                      <w:lang w:eastAsia="zh-CN"/>
                      <w14:textFill>
                        <w14:solidFill>
                          <w14:schemeClr w14:val="tx1"/>
                        </w14:solidFill>
                      </w14:textFill>
                    </w:rPr>
                    <w:t>，伴生气通过排气管线充分燃烧后放空，工艺过程控制措施、废气收集处理措施以及站场边界非甲烷总烃排放浓度要求满足《陆上石油天然气开采工业大气污染物排放标准》（GB39728-2020）</w:t>
                  </w:r>
                  <w:r>
                    <w:rPr>
                      <w:rFonts w:hint="eastAsia" w:ascii="Times New Roman" w:hAnsi="Times New Roman" w:eastAsia="宋体" w:cs="Times New Roman"/>
                      <w:snapToGrid/>
                      <w:color w:val="000000" w:themeColor="text1"/>
                      <w:kern w:val="2"/>
                      <w:highlight w:val="none"/>
                      <w:lang w:eastAsia="zh-CN"/>
                      <w14:textFill>
                        <w14:solidFill>
                          <w14:schemeClr w14:val="tx1"/>
                        </w14:solidFill>
                      </w14:textFill>
                    </w:rPr>
                    <w:t>，</w:t>
                  </w:r>
                  <w:r>
                    <w:rPr>
                      <w:rFonts w:ascii="Times New Roman" w:hAnsi="Times New Roman" w:eastAsia="宋体" w:cs="Times New Roman"/>
                      <w:snapToGrid/>
                      <w:color w:val="000000" w:themeColor="text1"/>
                      <w:kern w:val="2"/>
                      <w:highlight w:val="none"/>
                      <w:lang w:eastAsia="zh-CN"/>
                      <w14:textFill>
                        <w14:solidFill>
                          <w14:schemeClr w14:val="tx1"/>
                        </w14:solidFill>
                      </w14:textFill>
                    </w:rPr>
                    <w:t>油气集输损耗率不高于0.5%。</w:t>
                  </w:r>
                </w:p>
              </w:tc>
              <w:tc>
                <w:tcPr>
                  <w:tcW w:w="373" w:type="pct"/>
                  <w:vAlign w:val="center"/>
                </w:tcPr>
                <w:p w14:paraId="1D979C5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符合</w:t>
                  </w:r>
                </w:p>
              </w:tc>
            </w:tr>
            <w:tr w14:paraId="3E64D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5" w:hRule="atLeast"/>
                <w:jc w:val="center"/>
              </w:trPr>
              <w:tc>
                <w:tcPr>
                  <w:tcW w:w="385" w:type="pct"/>
                  <w:tcBorders>
                    <w:left w:val="single" w:color="000000" w:sz="2" w:space="0"/>
                  </w:tcBorders>
                  <w:vAlign w:val="center"/>
                </w:tcPr>
                <w:p w14:paraId="718E24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3</w:t>
                  </w:r>
                </w:p>
              </w:tc>
              <w:tc>
                <w:tcPr>
                  <w:tcW w:w="2349" w:type="pct"/>
                  <w:vAlign w:val="center"/>
                </w:tcPr>
                <w:p w14:paraId="750E3E6A">
                  <w:pPr>
                    <w:keepNext w:val="0"/>
                    <w:keepLines w:val="0"/>
                    <w:widowControl/>
                    <w:suppressLineNumbers w:val="0"/>
                    <w:jc w:val="left"/>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陆地油气开发项目产生的废水应经处理后优先回用，无法回用的应满足国家和地方相关污染物排放标准后排放，工业废水回用率应达到90%以上。钻井及储层改造应采用环境友好的油田化学助剂、酸化液、压裂液、钻井液，配备完善的固控设备，</w:t>
                  </w:r>
                  <w:r>
                    <w:rPr>
                      <w:rFonts w:ascii="Times New Roman" w:hAnsi="Times New Roman" w:eastAsia="宋体" w:cs="Times New Roman"/>
                      <w:snapToGrid/>
                      <w:color w:val="000000" w:themeColor="text1"/>
                      <w:kern w:val="2"/>
                      <w:highlight w:val="none"/>
                      <w:lang w:val="en-US" w:eastAsia="zh-CN"/>
                      <w14:textFill>
                        <w14:solidFill>
                          <w14:schemeClr w14:val="tx1"/>
                        </w14:solidFill>
                      </w14:textFill>
                    </w:rPr>
                    <w:t>钻井液循环率应达到95%以上，</w:t>
                  </w:r>
                  <w:r>
                    <w:rPr>
                      <w:rFonts w:ascii="Times New Roman" w:hAnsi="Times New Roman" w:eastAsia="宋体" w:cs="Times New Roman"/>
                      <w:snapToGrid/>
                      <w:color w:val="000000" w:themeColor="text1"/>
                      <w:kern w:val="2"/>
                      <w:highlight w:val="none"/>
                      <w:lang w:eastAsia="zh-CN"/>
                      <w14:textFill>
                        <w14:solidFill>
                          <w14:schemeClr w14:val="tx1"/>
                        </w14:solidFill>
                      </w14:textFill>
                    </w:rPr>
                    <w:t>压裂废液、酸化废液等井下作业废水应100%返排入罐。</w:t>
                  </w:r>
                </w:p>
              </w:tc>
              <w:tc>
                <w:tcPr>
                  <w:tcW w:w="1892" w:type="pct"/>
                  <w:vAlign w:val="center"/>
                </w:tcPr>
                <w:p w14:paraId="3E7D5CB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本项目井下作业废水采取带罐作业，井下作业废水全部回收，100%返排入罐</w:t>
                  </w:r>
                  <w:r>
                    <w:rPr>
                      <w:rFonts w:hint="eastAsia" w:ascii="Times New Roman" w:hAnsi="Times New Roman" w:eastAsia="宋体" w:cs="Times New Roman"/>
                      <w:snapToGrid/>
                      <w:color w:val="000000" w:themeColor="text1"/>
                      <w:kern w:val="2"/>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eastAsia="zh-CN"/>
                      <w14:textFill>
                        <w14:solidFill>
                          <w14:schemeClr w14:val="tx1"/>
                        </w14:solidFill>
                      </w14:textFill>
                    </w:rPr>
                    <w:t>拉运至吉康脱水站</w:t>
                  </w:r>
                  <w:r>
                    <w:rPr>
                      <w:rFonts w:ascii="Times New Roman" w:hAnsi="Times New Roman" w:eastAsia="宋体" w:cs="Times New Roman"/>
                      <w:color w:val="000000" w:themeColor="text1"/>
                      <w:highlight w:val="none"/>
                      <w:lang w:eastAsia="zh-CN"/>
                      <w14:textFill>
                        <w14:solidFill>
                          <w14:schemeClr w14:val="tx1"/>
                        </w14:solidFill>
                      </w14:textFill>
                    </w:rPr>
                    <w:t>并处理达标后，全部回注油藏</w:t>
                  </w:r>
                  <w:r>
                    <w:rPr>
                      <w:rFonts w:ascii="Times New Roman" w:hAnsi="Times New Roman" w:eastAsia="宋体" w:cs="Times New Roman"/>
                      <w:snapToGrid/>
                      <w:color w:val="000000" w:themeColor="text1"/>
                      <w:kern w:val="2"/>
                      <w:highlight w:val="none"/>
                      <w:lang w:eastAsia="zh-CN"/>
                      <w14:textFill>
                        <w14:solidFill>
                          <w14:schemeClr w14:val="tx1"/>
                        </w14:solidFill>
                      </w14:textFill>
                    </w:rPr>
                    <w:t>。</w:t>
                  </w:r>
                  <w:r>
                    <w:rPr>
                      <w:rFonts w:ascii="Times New Roman" w:hAnsi="Times New Roman" w:eastAsia="宋体" w:cs="Times New Roman"/>
                      <w:snapToGrid/>
                      <w:color w:val="000000" w:themeColor="text1"/>
                      <w:kern w:val="2"/>
                      <w:highlight w:val="none"/>
                      <w:lang w:val="en-US" w:eastAsia="zh-CN"/>
                      <w14:textFill>
                        <w14:solidFill>
                          <w14:schemeClr w14:val="tx1"/>
                        </w14:solidFill>
                      </w14:textFill>
                    </w:rPr>
                    <w:t>钻井液循环率达到95%</w:t>
                  </w:r>
                  <w:r>
                    <w:rPr>
                      <w:rFonts w:hint="eastAsia" w:ascii="Times New Roman" w:hAnsi="Times New Roman" w:eastAsia="宋体" w:cs="Times New Roman"/>
                      <w:snapToGrid/>
                      <w:color w:val="000000" w:themeColor="text1"/>
                      <w:kern w:val="2"/>
                      <w:highlight w:val="none"/>
                      <w:lang w:val="en-US" w:eastAsia="zh-CN"/>
                      <w14:textFill>
                        <w14:solidFill>
                          <w14:schemeClr w14:val="tx1"/>
                        </w14:solidFill>
                      </w14:textFill>
                    </w:rPr>
                    <w:t>以上，</w:t>
                  </w:r>
                  <w:r>
                    <w:rPr>
                      <w:rFonts w:ascii="Times New Roman" w:hAnsi="Times New Roman" w:eastAsia="宋体" w:cs="Times New Roman"/>
                      <w:snapToGrid/>
                      <w:color w:val="000000" w:themeColor="text1"/>
                      <w:kern w:val="2"/>
                      <w:highlight w:val="none"/>
                      <w:lang w:eastAsia="zh-CN"/>
                      <w14:textFill>
                        <w14:solidFill>
                          <w14:schemeClr w14:val="tx1"/>
                        </w14:solidFill>
                      </w14:textFill>
                    </w:rPr>
                    <w:t>工业废水回用率达到90%以上</w:t>
                  </w:r>
                  <w:r>
                    <w:rPr>
                      <w:rFonts w:hint="eastAsia" w:ascii="Times New Roman" w:hAnsi="Times New Roman" w:eastAsia="宋体" w:cs="Times New Roman"/>
                      <w:snapToGrid/>
                      <w:color w:val="000000" w:themeColor="text1"/>
                      <w:kern w:val="2"/>
                      <w:highlight w:val="none"/>
                      <w:lang w:eastAsia="zh-CN"/>
                      <w14:textFill>
                        <w14:solidFill>
                          <w14:schemeClr w14:val="tx1"/>
                        </w14:solidFill>
                      </w14:textFill>
                    </w:rPr>
                    <w:t>。</w:t>
                  </w:r>
                </w:p>
              </w:tc>
              <w:tc>
                <w:tcPr>
                  <w:tcW w:w="373" w:type="pct"/>
                  <w:vAlign w:val="center"/>
                </w:tcPr>
                <w:p w14:paraId="6A5AF4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符合</w:t>
                  </w:r>
                </w:p>
              </w:tc>
            </w:tr>
            <w:tr w14:paraId="3FD57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9" w:hRule="atLeast"/>
                <w:jc w:val="center"/>
              </w:trPr>
              <w:tc>
                <w:tcPr>
                  <w:tcW w:w="385" w:type="pct"/>
                  <w:tcBorders>
                    <w:left w:val="single" w:color="000000" w:sz="2" w:space="0"/>
                  </w:tcBorders>
                  <w:vAlign w:val="center"/>
                </w:tcPr>
                <w:p w14:paraId="3D04C0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4</w:t>
                  </w:r>
                </w:p>
              </w:tc>
              <w:tc>
                <w:tcPr>
                  <w:tcW w:w="2349" w:type="pct"/>
                  <w:vAlign w:val="center"/>
                </w:tcPr>
                <w:p w14:paraId="7A5DBA72">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对于页岩油、稠油注汽开采，鼓励废水处理后回用于注汽锅炉。</w:t>
                  </w:r>
                </w:p>
              </w:tc>
              <w:tc>
                <w:tcPr>
                  <w:tcW w:w="1892" w:type="pct"/>
                  <w:vAlign w:val="center"/>
                </w:tcPr>
                <w:p w14:paraId="78C693D5">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本项目井下作业废水</w:t>
                  </w:r>
                  <w:r>
                    <w:rPr>
                      <w:rFonts w:hint="eastAsia" w:ascii="Times New Roman" w:hAnsi="Times New Roman" w:eastAsia="宋体" w:cs="Times New Roman"/>
                      <w:color w:val="000000" w:themeColor="text1"/>
                      <w:highlight w:val="none"/>
                      <w:lang w:eastAsia="zh-CN"/>
                      <w14:textFill>
                        <w14:solidFill>
                          <w14:schemeClr w14:val="tx1"/>
                        </w14:solidFill>
                      </w14:textFill>
                    </w:rPr>
                    <w:t>拉运至吉康脱水站</w:t>
                  </w:r>
                  <w:r>
                    <w:rPr>
                      <w:rFonts w:ascii="Times New Roman" w:hAnsi="Times New Roman" w:eastAsia="宋体" w:cs="Times New Roman"/>
                      <w:color w:val="000000" w:themeColor="text1"/>
                      <w:highlight w:val="none"/>
                      <w:lang w:eastAsia="zh-CN"/>
                      <w14:textFill>
                        <w14:solidFill>
                          <w14:schemeClr w14:val="tx1"/>
                        </w14:solidFill>
                      </w14:textFill>
                    </w:rPr>
                    <w:t>并处理达标后，全部回注油藏</w:t>
                  </w:r>
                  <w:r>
                    <w:rPr>
                      <w:rFonts w:ascii="Times New Roman" w:hAnsi="Times New Roman" w:eastAsia="宋体" w:cs="Times New Roman"/>
                      <w:snapToGrid/>
                      <w:color w:val="000000" w:themeColor="text1"/>
                      <w:kern w:val="2"/>
                      <w:highlight w:val="none"/>
                      <w:lang w:eastAsia="zh-CN"/>
                      <w14:textFill>
                        <w14:solidFill>
                          <w14:schemeClr w14:val="tx1"/>
                        </w14:solidFill>
                      </w14:textFill>
                    </w:rPr>
                    <w:t>。</w:t>
                  </w:r>
                </w:p>
              </w:tc>
              <w:tc>
                <w:tcPr>
                  <w:tcW w:w="373" w:type="pct"/>
                  <w:vAlign w:val="center"/>
                </w:tcPr>
                <w:p w14:paraId="75224C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符合</w:t>
                  </w:r>
                </w:p>
              </w:tc>
            </w:tr>
            <w:tr w14:paraId="6B740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85" w:type="pct"/>
                  <w:tcBorders>
                    <w:left w:val="single" w:color="000000" w:sz="2" w:space="0"/>
                  </w:tcBorders>
                  <w:vAlign w:val="center"/>
                </w:tcPr>
                <w:p w14:paraId="7BD285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5</w:t>
                  </w:r>
                </w:p>
              </w:tc>
              <w:tc>
                <w:tcPr>
                  <w:tcW w:w="2349" w:type="pct"/>
                  <w:vAlign w:val="center"/>
                </w:tcPr>
                <w:p w14:paraId="566B393D">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废弃钻井泥浆及岩屑应采取“泥浆不落地”工艺，勘探、开发过程产生的落地原油回收率应达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1892" w:type="pct"/>
                  <w:vAlign w:val="center"/>
                </w:tcPr>
                <w:p w14:paraId="6A7FBC96">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本项目废弃钻井泥浆及岩屑采取“泥浆不落地”工艺，勘探、开发过程产生的落地原油回收率达到100%。</w:t>
                  </w:r>
                  <w:r>
                    <w:rPr>
                      <w:rFonts w:hint="default" w:ascii="Times New Roman" w:hAnsi="Times New Roman" w:eastAsia="宋体" w:cs="Times New Roman"/>
                      <w:snapToGrid/>
                      <w:color w:val="000000" w:themeColor="text1"/>
                      <w:kern w:val="2"/>
                      <w:lang w:eastAsia="zh-CN"/>
                      <w14:textFill>
                        <w14:solidFill>
                          <w14:schemeClr w14:val="tx1"/>
                        </w14:solidFill>
                      </w14:textFill>
                    </w:rPr>
                    <w:t>废弃水基钻井泥浆及岩屑，经“泥浆不落地”设备处理后，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由建设单位负责监管，及时联系并委托具有相应环保处理能力的第三方单位。物料在井场暂存期间均处于密闭储罐内，随后由第三方单位采用密封车辆外运至其处理基地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后续的检测、资源化利用或最终处置均由第三方单位依法依规在场外实施</w:t>
                  </w:r>
                  <w:r>
                    <w:rPr>
                      <w:rFonts w:ascii="Times New Roman" w:hAnsi="Times New Roman" w:eastAsia="宋体" w:cs="Times New Roman"/>
                      <w:snapToGrid/>
                      <w:color w:val="000000" w:themeColor="text1"/>
                      <w:kern w:val="2"/>
                      <w:highlight w:val="none"/>
                      <w:lang w:eastAsia="zh-CN"/>
                      <w14:textFill>
                        <w14:solidFill>
                          <w14:schemeClr w14:val="tx1"/>
                        </w14:solidFill>
                      </w14:textFill>
                    </w:rPr>
                    <w:t>；废弃油基钻井泥浆等危险废物，按照国家有关规定制定危险废物管理计划，建立危险废物管理台账，委托有相应资质的单位无害化处置。固体废物无害化处置率达到100%。</w:t>
                  </w:r>
                </w:p>
              </w:tc>
              <w:tc>
                <w:tcPr>
                  <w:tcW w:w="373" w:type="pct"/>
                  <w:vAlign w:val="center"/>
                </w:tcPr>
                <w:p w14:paraId="4172C8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符合</w:t>
                  </w:r>
                </w:p>
              </w:tc>
            </w:tr>
            <w:tr w14:paraId="067D5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jc w:val="center"/>
              </w:trPr>
              <w:tc>
                <w:tcPr>
                  <w:tcW w:w="385" w:type="pct"/>
                  <w:tcBorders>
                    <w:left w:val="single" w:color="000000" w:sz="2" w:space="0"/>
                  </w:tcBorders>
                  <w:vAlign w:val="center"/>
                </w:tcPr>
                <w:p w14:paraId="5DABD48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6</w:t>
                  </w:r>
                </w:p>
              </w:tc>
              <w:tc>
                <w:tcPr>
                  <w:tcW w:w="2349" w:type="pct"/>
                  <w:vAlign w:val="center"/>
                </w:tcPr>
                <w:p w14:paraId="240620E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噪声排放应达到《工业企业厂界环境噪声排放标准》（GB12348）要求。</w:t>
                  </w:r>
                </w:p>
              </w:tc>
              <w:tc>
                <w:tcPr>
                  <w:tcW w:w="1892" w:type="pct"/>
                  <w:vAlign w:val="center"/>
                </w:tcPr>
                <w:p w14:paraId="1A2A2008">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项目噪声排放应达到《工业企业厂界环境噪声排放标准》（GB12348-2008）要求。</w:t>
                  </w:r>
                </w:p>
              </w:tc>
              <w:tc>
                <w:tcPr>
                  <w:tcW w:w="373" w:type="pct"/>
                  <w:vAlign w:val="center"/>
                </w:tcPr>
                <w:p w14:paraId="5D1B97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符合</w:t>
                  </w:r>
                </w:p>
              </w:tc>
            </w:tr>
            <w:tr w14:paraId="459B6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5" w:hRule="atLeast"/>
                <w:jc w:val="center"/>
              </w:trPr>
              <w:tc>
                <w:tcPr>
                  <w:tcW w:w="385" w:type="pct"/>
                  <w:tcBorders>
                    <w:left w:val="single" w:color="000000" w:sz="2" w:space="0"/>
                  </w:tcBorders>
                  <w:vAlign w:val="center"/>
                </w:tcPr>
                <w:p w14:paraId="10D53D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7</w:t>
                  </w:r>
                </w:p>
              </w:tc>
              <w:tc>
                <w:tcPr>
                  <w:tcW w:w="2349" w:type="pct"/>
                  <w:vAlign w:val="center"/>
                </w:tcPr>
                <w:p w14:paraId="5FA6F88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对拟退役的废弃井（站）场、管道、道路等工程设施应进行生态修复，生态修复前应对废弃油（气）井、管道进行封堵或设施拆除，确保无土壤及地下水环境污染遗留问题、废弃物得到妥善处置。</w:t>
                  </w:r>
                </w:p>
              </w:tc>
              <w:tc>
                <w:tcPr>
                  <w:tcW w:w="1892" w:type="pct"/>
                  <w:vAlign w:val="center"/>
                </w:tcPr>
                <w:p w14:paraId="239936A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对拟退役的废弃井（站）场、道路等工程设施进行生态修复，生态修复前对废弃井进行封堵或设施拆除，确保无土壤及地下水环境污染遗留问题、废弃物得到妥善处置。</w:t>
                  </w:r>
                </w:p>
              </w:tc>
              <w:tc>
                <w:tcPr>
                  <w:tcW w:w="373" w:type="pct"/>
                  <w:vAlign w:val="center"/>
                </w:tcPr>
                <w:p w14:paraId="47D15AF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ascii="Times New Roman" w:hAnsi="Times New Roman" w:eastAsia="宋体" w:cs="Times New Roman"/>
                      <w:snapToGrid/>
                      <w:color w:val="000000" w:themeColor="text1"/>
                      <w:kern w:val="2"/>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符合</w:t>
                  </w:r>
                </w:p>
              </w:tc>
            </w:tr>
          </w:tbl>
          <w:p w14:paraId="76AA7424">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.与《新疆维吾尔自治区大气污染防治条例》符合性分析</w:t>
            </w:r>
          </w:p>
          <w:p w14:paraId="47080A5F">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6"/>
              <w:jc w:val="both"/>
              <w:textAlignment w:val="baseline"/>
              <w:rPr>
                <w:rFonts w:hint="default" w:ascii="Times New Roman" w:hAnsi="Times New Roman" w:cs="Times New Roman"/>
                <w:color w:val="000000" w:themeColor="text1"/>
                <w:spacing w:val="-3"/>
                <w:sz w:val="24"/>
                <w:szCs w:val="24"/>
                <w:highlight w:val="none"/>
                <w:lang w:val="en-US"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新疆维吾尔自治区大气污染防治条例》第三十七条规定：各级人民政府应当加强对建设施工、矿产资源开采、物料运输的扬尘和沙尘污染的治理，保持道路清洁、控制堆料和渣土堆放，科学合理扩大绿地、水面、湿地、地面铺装和防风固沙绿化面积</w:t>
            </w:r>
            <w:r>
              <w:rPr>
                <w:rFonts w:hint="eastAsia" w:ascii="Times New Roman" w:hAnsi="Times New Roman" w:cs="Times New Roman"/>
                <w:color w:val="000000" w:themeColor="text1"/>
                <w:spacing w:val="-1"/>
                <w:sz w:val="24"/>
                <w:szCs w:val="24"/>
                <w:highlight w:val="none"/>
                <w:lang w:eastAsia="zh-CN"/>
                <w14:textFill>
                  <w14:solidFill>
                    <w14:schemeClr w14:val="tx1"/>
                  </w14:solidFill>
                </w14:textFill>
              </w:rPr>
              <w:t>，</w:t>
            </w:r>
            <w:r>
              <w:rPr>
                <w:rFonts w:ascii="Times New Roman" w:hAnsi="Times New Roman" w:cs="Times New Roman"/>
                <w:color w:val="000000" w:themeColor="text1"/>
                <w:spacing w:val="-3"/>
                <w:sz w:val="24"/>
                <w:szCs w:val="24"/>
                <w:highlight w:val="none"/>
                <w:lang w:eastAsia="zh-CN"/>
                <w14:textFill>
                  <w14:solidFill>
                    <w14:schemeClr w14:val="tx1"/>
                  </w14:solidFill>
                </w14:textFill>
              </w:rPr>
              <w:t>防治扬尘污染。</w:t>
            </w:r>
          </w:p>
          <w:p w14:paraId="04367E5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6"/>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3"/>
                <w:sz w:val="24"/>
                <w:szCs w:val="24"/>
                <w:highlight w:val="none"/>
                <w:lang w:eastAsia="zh-CN"/>
                <w14:textFill>
                  <w14:solidFill>
                    <w14:schemeClr w14:val="tx1"/>
                  </w14:solidFill>
                </w14:textFill>
              </w:rPr>
              <w:t>第四十四条矿山开采产生的废石、废</w:t>
            </w:r>
            <w:r>
              <w:rPr>
                <w:rFonts w:ascii="Times New Roman" w:hAnsi="Times New Roman" w:cs="Times New Roman"/>
                <w:color w:val="000000" w:themeColor="text1"/>
                <w:spacing w:val="-4"/>
                <w:sz w:val="24"/>
                <w:szCs w:val="24"/>
                <w:highlight w:val="none"/>
                <w:lang w:eastAsia="zh-CN"/>
                <w14:textFill>
                  <w14:solidFill>
                    <w14:schemeClr w14:val="tx1"/>
                  </w14:solidFill>
                </w14:textFill>
              </w:rPr>
              <w:t>渣、泥土</w:t>
            </w:r>
            <w:r>
              <w:rPr>
                <w:rFonts w:ascii="Times New Roman" w:hAnsi="Times New Roman" w:cs="Times New Roman"/>
                <w:color w:val="000000" w:themeColor="text1"/>
                <w:spacing w:val="-1"/>
                <w:sz w:val="24"/>
                <w:szCs w:val="24"/>
                <w:highlight w:val="none"/>
                <w:lang w:eastAsia="zh-CN"/>
                <w14:textFill>
                  <w14:solidFill>
                    <w14:schemeClr w14:val="tx1"/>
                  </w14:solidFill>
                </w14:textFill>
              </w:rPr>
              <w:t>等应当堆放到专门存放地，并采取围挡、设置防尘网或者防尘布等防尘措施；施工便道应当硬化。</w:t>
            </w:r>
          </w:p>
          <w:p w14:paraId="3999B3C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color w:val="000000" w:themeColor="text1"/>
                <w:spacing w:val="-3"/>
                <w:sz w:val="24"/>
                <w:szCs w:val="24"/>
                <w:highlight w:val="none"/>
                <w:lang w:val="en-US" w:eastAsia="zh-CN"/>
                <w14:textFill>
                  <w14:solidFill>
                    <w14:schemeClr w14:val="tx1"/>
                  </w14:solidFill>
                </w14:textFill>
              </w:rPr>
              <w:t>本项目施工期采用了场地</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洒水、物料覆盖、运输车辆冲洗</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等措施。</w:t>
            </w:r>
            <w:r>
              <w:rPr>
                <w:rFonts w:ascii="Times New Roman" w:hAnsi="Times New Roman" w:cs="Times New Roman"/>
                <w:color w:val="000000" w:themeColor="text1"/>
                <w:spacing w:val="-1"/>
                <w:sz w:val="24"/>
                <w:szCs w:val="24"/>
                <w:highlight w:val="none"/>
                <w:lang w:eastAsia="zh-CN"/>
                <w14:textFill>
                  <w14:solidFill>
                    <w14:schemeClr w14:val="tx1"/>
                  </w14:solidFill>
                </w14:textFill>
              </w:rPr>
              <w:t>施工期产生钻井岩屑采用不落地</w:t>
            </w:r>
            <w:r>
              <w:rPr>
                <w:rFonts w:hint="eastAsia" w:ascii="Times New Roman" w:hAnsi="Times New Roman" w:cs="Times New Roman"/>
                <w:color w:val="000000" w:themeColor="text1"/>
                <w:spacing w:val="-1"/>
                <w:sz w:val="24"/>
                <w:szCs w:val="24"/>
                <w:highlight w:val="none"/>
                <w:lang w:val="en-US" w:eastAsia="zh-CN"/>
                <w14:textFill>
                  <w14:solidFill>
                    <w14:schemeClr w14:val="tx1"/>
                  </w14:solidFill>
                </w14:textFill>
              </w:rPr>
              <w:t>设备</w:t>
            </w:r>
            <w:r>
              <w:rPr>
                <w:rFonts w:ascii="Times New Roman" w:hAnsi="Times New Roman" w:cs="Times New Roman"/>
                <w:color w:val="000000" w:themeColor="text1"/>
                <w:spacing w:val="-1"/>
                <w:sz w:val="24"/>
                <w:szCs w:val="24"/>
                <w:highlight w:val="none"/>
                <w:lang w:eastAsia="zh-CN"/>
                <w14:textFill>
                  <w14:solidFill>
                    <w14:schemeClr w14:val="tx1"/>
                  </w14:solidFill>
                </w14:textFill>
              </w:rPr>
              <w:t>进行处理，处理后的岩屑必须满足《油气田钻井固体废物综合利用污染控制要求</w:t>
            </w:r>
            <w:r>
              <w:rPr>
                <w:rFonts w:ascii="Times New Roman" w:hAnsi="Times New Roman" w:cs="Times New Roman"/>
                <w:color w:val="000000" w:themeColor="text1"/>
                <w:spacing w:val="-2"/>
                <w:sz w:val="24"/>
                <w:szCs w:val="24"/>
                <w:highlight w:val="none"/>
                <w:lang w:eastAsia="zh-CN"/>
                <w14:textFill>
                  <w14:solidFill>
                    <w14:schemeClr w14:val="tx1"/>
                  </w14:solidFill>
                </w14:textFill>
              </w:rPr>
              <w:t>》（</w:t>
            </w:r>
            <w:r>
              <w:rPr>
                <w:rFonts w:ascii="Times New Roman" w:hAnsi="Times New Roman" w:eastAsia="Times New Roman" w:cs="Times New Roman"/>
                <w:color w:val="000000" w:themeColor="text1"/>
                <w:spacing w:val="-2"/>
                <w:sz w:val="24"/>
                <w:szCs w:val="24"/>
                <w:highlight w:val="none"/>
                <w:lang w:eastAsia="zh-CN"/>
                <w14:textFill>
                  <w14:solidFill>
                    <w14:schemeClr w14:val="tx1"/>
                  </w14:solidFill>
                </w14:textFill>
              </w:rPr>
              <w:t>DB65/T3997-2017</w:t>
            </w:r>
            <w:r>
              <w:rPr>
                <w:rFonts w:ascii="Times New Roman" w:hAnsi="Times New Roman" w:cs="Times New Roman"/>
                <w:color w:val="000000" w:themeColor="text1"/>
                <w:spacing w:val="-2"/>
                <w:sz w:val="24"/>
                <w:szCs w:val="24"/>
                <w:highlight w:val="none"/>
                <w:lang w:eastAsia="zh-CN"/>
                <w14:textFill>
                  <w14:solidFill>
                    <w14:schemeClr w14:val="tx1"/>
                  </w14:solidFill>
                </w14:textFill>
              </w:rPr>
              <w:t>）等国家及有关部门、地方相关标准和生态</w:t>
            </w:r>
            <w:r>
              <w:rPr>
                <w:rFonts w:ascii="Times New Roman" w:hAnsi="Times New Roman" w:cs="Times New Roman"/>
                <w:color w:val="000000" w:themeColor="text1"/>
                <w:spacing w:val="-1"/>
                <w:sz w:val="24"/>
                <w:szCs w:val="24"/>
                <w:highlight w:val="none"/>
                <w:lang w:eastAsia="zh-CN"/>
                <w14:textFill>
                  <w14:solidFill>
                    <w14:schemeClr w14:val="tx1"/>
                  </w14:solidFill>
                </w14:textFill>
              </w:rPr>
              <w:t>环境保护要求后，</w:t>
            </w:r>
            <w:r>
              <w:rPr>
                <w:rFonts w:hint="eastAsia" w:ascii="Times New Roman" w:hAnsi="Times New Roman" w:cs="Times New Roman"/>
                <w:color w:val="000000" w:themeColor="text1"/>
                <w:spacing w:val="-1"/>
                <w:sz w:val="24"/>
                <w:szCs w:val="24"/>
                <w:highlight w:val="none"/>
                <w:lang w:val="en-US" w:eastAsia="zh-CN"/>
                <w14:textFill>
                  <w14:solidFill>
                    <w14:schemeClr w14:val="tx1"/>
                  </w14:solidFill>
                </w14:textFill>
              </w:rPr>
              <w:t>由第三方单位综合利用</w:t>
            </w:r>
            <w:r>
              <w:rPr>
                <w:rFonts w:ascii="Times New Roman" w:hAnsi="Times New Roman" w:cs="Times New Roman"/>
                <w:color w:val="000000" w:themeColor="text1"/>
                <w:spacing w:val="-1"/>
                <w:sz w:val="24"/>
                <w:szCs w:val="24"/>
                <w:highlight w:val="none"/>
                <w:lang w:eastAsia="zh-CN"/>
                <w14:textFill>
                  <w14:solidFill>
                    <w14:schemeClr w14:val="tx1"/>
                  </w14:solidFill>
                </w14:textFill>
              </w:rPr>
              <w:t>。项目施工结束后拟对临时占地进行恢复治理，可减少扬尘影响。项目建设符合《新疆维吾尔自治区大气污染防治条例》要求。</w:t>
            </w:r>
          </w:p>
          <w:p w14:paraId="5892FA3D">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.与《钻前工程及井场布置技术要求》（SY/T5466-2013</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符合性分析</w:t>
            </w:r>
          </w:p>
          <w:p w14:paraId="1996D64C">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right="0" w:firstLine="485"/>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《钻前工程及井场布置技术要求》（</w:t>
            </w:r>
            <w:r>
              <w:rPr>
                <w:rFonts w:ascii="Times New Roman" w:hAnsi="Times New Roman" w:eastAsia="Times New Roman" w:cs="Times New Roman"/>
                <w:color w:val="000000" w:themeColor="text1"/>
                <w:sz w:val="24"/>
                <w:szCs w:val="24"/>
                <w:highlight w:val="none"/>
                <w:lang w:eastAsia="zh-CN"/>
                <w14:textFill>
                  <w14:solidFill>
                    <w14:schemeClr w14:val="tx1"/>
                  </w14:solidFill>
                </w14:textFill>
              </w:rPr>
              <w:t>SY</w:t>
            </w:r>
            <w:r>
              <w:rPr>
                <w:rFonts w:ascii="Times New Roman" w:hAnsi="Times New Roman" w:eastAsia="Times New Roman" w:cs="Times New Roman"/>
                <w:color w:val="000000" w:themeColor="text1"/>
                <w:spacing w:val="2"/>
                <w:sz w:val="24"/>
                <w:szCs w:val="24"/>
                <w:highlight w:val="none"/>
                <w:lang w:eastAsia="zh-CN"/>
                <w14:textFill>
                  <w14:solidFill>
                    <w14:schemeClr w14:val="tx1"/>
                  </w14:solidFill>
                </w14:textFill>
              </w:rPr>
              <w:t>/T5466-2013</w:t>
            </w:r>
            <w:r>
              <w:rPr>
                <w:rFonts w:ascii="Times New Roman" w:hAnsi="Times New Roman" w:cs="Times New Roman"/>
                <w:color w:val="000000" w:themeColor="text1"/>
                <w:spacing w:val="2"/>
                <w:sz w:val="24"/>
                <w:szCs w:val="24"/>
                <w:highlight w:val="none"/>
                <w:lang w:eastAsia="zh-CN"/>
                <w14:textFill>
                  <w14:solidFill>
                    <w14:schemeClr w14:val="tx1"/>
                  </w14:solidFill>
                </w14:textFill>
              </w:rPr>
              <w:t>）中</w:t>
            </w:r>
            <w:r>
              <w:rPr>
                <w:rFonts w:ascii="Times New Roman" w:hAnsi="Times New Roman" w:eastAsia="Times New Roman" w:cs="Times New Roman"/>
                <w:color w:val="000000" w:themeColor="text1"/>
                <w:spacing w:val="2"/>
                <w:sz w:val="24"/>
                <w:szCs w:val="24"/>
                <w:highlight w:val="none"/>
                <w:lang w:eastAsia="zh-CN"/>
                <w14:textFill>
                  <w14:solidFill>
                    <w14:schemeClr w14:val="tx1"/>
                  </w14:solidFill>
                </w14:textFill>
              </w:rPr>
              <w:t>“</w:t>
            </w:r>
            <w:r>
              <w:rPr>
                <w:rFonts w:ascii="Times New Roman" w:hAnsi="Times New Roman" w:cs="Times New Roman"/>
                <w:color w:val="000000" w:themeColor="text1"/>
                <w:spacing w:val="2"/>
                <w:sz w:val="24"/>
                <w:szCs w:val="24"/>
                <w:highlight w:val="none"/>
                <w:lang w:eastAsia="zh-CN"/>
                <w14:textFill>
                  <w14:solidFill>
                    <w14:schemeClr w14:val="tx1"/>
                  </w14:solidFill>
                </w14:textFill>
              </w:rPr>
              <w:t>油</w:t>
            </w:r>
            <w:r>
              <w:rPr>
                <w:rFonts w:ascii="Times New Roman" w:hAnsi="Times New Roman" w:cs="Times New Roman"/>
                <w:color w:val="000000" w:themeColor="text1"/>
                <w:spacing w:val="-4"/>
                <w:sz w:val="24"/>
                <w:szCs w:val="24"/>
                <w:highlight w:val="none"/>
                <w:lang w:eastAsia="zh-CN"/>
                <w14:textFill>
                  <w14:solidFill>
                    <w14:schemeClr w14:val="tx1"/>
                  </w14:solidFill>
                </w14:textFill>
              </w:rPr>
              <w:t>气井井口距高压线及其他永久性设施应不小于</w:t>
            </w:r>
            <w:r>
              <w:rPr>
                <w:rFonts w:ascii="Times New Roman" w:hAnsi="Times New Roman" w:eastAsia="Times New Roman" w:cs="Times New Roman"/>
                <w:color w:val="000000" w:themeColor="text1"/>
                <w:spacing w:val="-4"/>
                <w:sz w:val="24"/>
                <w:szCs w:val="24"/>
                <w:highlight w:val="none"/>
                <w:lang w:eastAsia="zh-CN"/>
                <w14:textFill>
                  <w14:solidFill>
                    <w14:schemeClr w14:val="tx1"/>
                  </w14:solidFill>
                </w14:textFill>
              </w:rPr>
              <w:t>75m</w:t>
            </w:r>
            <w:r>
              <w:rPr>
                <w:rFonts w:ascii="Times New Roman" w:hAnsi="Times New Roman" w:cs="Times New Roman"/>
                <w:color w:val="000000" w:themeColor="text1"/>
                <w:spacing w:val="-4"/>
                <w:sz w:val="24"/>
                <w:szCs w:val="24"/>
                <w:highlight w:val="none"/>
                <w:lang w:eastAsia="zh-CN"/>
                <w14:textFill>
                  <w14:solidFill>
                    <w14:schemeClr w14:val="tx1"/>
                  </w14:solidFill>
                </w14:textFill>
              </w:rPr>
              <w:t>；距民宅应不小</w:t>
            </w:r>
            <w:r>
              <w:rPr>
                <w:rFonts w:ascii="Times New Roman" w:hAnsi="Times New Roman" w:cs="Times New Roman"/>
                <w:color w:val="000000" w:themeColor="text1"/>
                <w:spacing w:val="-2"/>
                <w:sz w:val="24"/>
                <w:szCs w:val="24"/>
                <w:highlight w:val="none"/>
                <w:lang w:eastAsia="zh-CN"/>
                <w14:textFill>
                  <w14:solidFill>
                    <w14:schemeClr w14:val="tx1"/>
                  </w14:solidFill>
                </w14:textFill>
              </w:rPr>
              <w:t>于</w:t>
            </w:r>
            <w:r>
              <w:rPr>
                <w:rFonts w:ascii="Times New Roman" w:hAnsi="Times New Roman" w:eastAsia="Times New Roman" w:cs="Times New Roman"/>
                <w:color w:val="000000" w:themeColor="text1"/>
                <w:spacing w:val="-2"/>
                <w:sz w:val="24"/>
                <w:szCs w:val="24"/>
                <w:highlight w:val="none"/>
                <w:lang w:eastAsia="zh-CN"/>
                <w14:textFill>
                  <w14:solidFill>
                    <w14:schemeClr w14:val="tx1"/>
                  </w14:solidFill>
                </w14:textFill>
              </w:rPr>
              <w:t>100m</w:t>
            </w:r>
            <w:r>
              <w:rPr>
                <w:rFonts w:ascii="Times New Roman" w:hAnsi="Times New Roman" w:cs="Times New Roman"/>
                <w:color w:val="000000" w:themeColor="text1"/>
                <w:spacing w:val="-2"/>
                <w:sz w:val="24"/>
                <w:szCs w:val="24"/>
                <w:highlight w:val="none"/>
                <w:lang w:eastAsia="zh-CN"/>
                <w14:textFill>
                  <w14:solidFill>
                    <w14:schemeClr w14:val="tx1"/>
                  </w14:solidFill>
                </w14:textFill>
              </w:rPr>
              <w:t>；距铁路、高速公路应不小于</w:t>
            </w:r>
            <w:r>
              <w:rPr>
                <w:rFonts w:ascii="Times New Roman" w:hAnsi="Times New Roman" w:eastAsia="Times New Roman" w:cs="Times New Roman"/>
                <w:color w:val="000000" w:themeColor="text1"/>
                <w:spacing w:val="-2"/>
                <w:sz w:val="24"/>
                <w:szCs w:val="24"/>
                <w:highlight w:val="none"/>
                <w:lang w:eastAsia="zh-CN"/>
                <w14:textFill>
                  <w14:solidFill>
                    <w14:schemeClr w14:val="tx1"/>
                  </w14:solidFill>
                </w14:textFill>
              </w:rPr>
              <w:t>200m</w:t>
            </w:r>
            <w:r>
              <w:rPr>
                <w:rFonts w:ascii="Times New Roman" w:hAnsi="Times New Roman" w:cs="Times New Roman"/>
                <w:color w:val="000000" w:themeColor="text1"/>
                <w:spacing w:val="-2"/>
                <w:sz w:val="24"/>
                <w:szCs w:val="24"/>
                <w:highlight w:val="none"/>
                <w:lang w:eastAsia="zh-CN"/>
                <w14:textFill>
                  <w14:solidFill>
                    <w14:schemeClr w14:val="tx1"/>
                  </w14:solidFill>
                </w14:textFill>
              </w:rPr>
              <w:t>；距学校、医院和大型</w:t>
            </w:r>
            <w:r>
              <w:rPr>
                <w:rFonts w:ascii="Times New Roman" w:hAnsi="Times New Roman" w:cs="Times New Roman"/>
                <w:color w:val="000000" w:themeColor="text1"/>
                <w:spacing w:val="-1"/>
                <w:sz w:val="24"/>
                <w:szCs w:val="24"/>
                <w:highlight w:val="none"/>
                <w:lang w:eastAsia="zh-CN"/>
                <w14:textFill>
                  <w14:solidFill>
                    <w14:schemeClr w14:val="tx1"/>
                  </w14:solidFill>
                </w14:textFill>
              </w:rPr>
              <w:t>油库等人口</w:t>
            </w:r>
            <w:r>
              <w:rPr>
                <w:rFonts w:hint="eastAsia" w:ascii="Times New Roman" w:hAnsi="Times New Roman" w:cs="Times New Roman"/>
                <w:color w:val="000000" w:themeColor="text1"/>
                <w:spacing w:val="-1"/>
                <w:sz w:val="24"/>
                <w:szCs w:val="24"/>
                <w:highlight w:val="none"/>
                <w:lang w:eastAsia="zh-CN"/>
                <w14:textFill>
                  <w14:solidFill>
                    <w14:schemeClr w14:val="tx1"/>
                  </w14:solidFill>
                </w14:textFill>
              </w:rPr>
              <w:t>密集型</w:t>
            </w:r>
            <w:r>
              <w:rPr>
                <w:rFonts w:ascii="Times New Roman" w:hAnsi="Times New Roman" w:cs="Times New Roman"/>
                <w:color w:val="000000" w:themeColor="text1"/>
                <w:spacing w:val="-1"/>
                <w:sz w:val="24"/>
                <w:szCs w:val="24"/>
                <w:highlight w:val="none"/>
                <w:lang w:eastAsia="zh-CN"/>
                <w14:textFill>
                  <w14:solidFill>
                    <w14:schemeClr w14:val="tx1"/>
                  </w14:solidFill>
                </w14:textFill>
              </w:rPr>
              <w:t>、高危型场所应不小于</w:t>
            </w:r>
            <w:r>
              <w:rPr>
                <w:rFonts w:ascii="Times New Roman" w:hAnsi="Times New Roman" w:eastAsia="Times New Roman" w:cs="Times New Roman"/>
                <w:color w:val="000000" w:themeColor="text1"/>
                <w:spacing w:val="-1"/>
                <w:sz w:val="24"/>
                <w:szCs w:val="24"/>
                <w:highlight w:val="none"/>
                <w:lang w:eastAsia="zh-CN"/>
                <w14:textFill>
                  <w14:solidFill>
                    <w14:schemeClr w14:val="tx1"/>
                  </w14:solidFill>
                </w14:textFill>
              </w:rPr>
              <w:t>500m”</w:t>
            </w:r>
            <w:r>
              <w:rPr>
                <w:rFonts w:ascii="Times New Roman" w:hAnsi="Times New Roman" w:cs="Times New Roman"/>
                <w:color w:val="000000" w:themeColor="text1"/>
                <w:spacing w:val="-1"/>
                <w:sz w:val="24"/>
                <w:szCs w:val="24"/>
                <w:highlight w:val="none"/>
                <w:lang w:eastAsia="zh-CN"/>
                <w14:textFill>
                  <w14:solidFill>
                    <w14:schemeClr w14:val="tx1"/>
                  </w14:solidFill>
                </w14:textFill>
              </w:rPr>
              <w:t>的要求。</w:t>
            </w:r>
          </w:p>
          <w:p w14:paraId="4AA7D6CF">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right="0" w:firstLine="465"/>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经现场踏勘，本项目</w:t>
            </w:r>
            <w:r>
              <w:rPr>
                <w:rFonts w:ascii="Times New Roman" w:hAnsi="Times New Roman" w:eastAsia="Times New Roman" w:cs="Times New Roman"/>
                <w:color w:val="000000" w:themeColor="text1"/>
                <w:spacing w:val="-2"/>
                <w:sz w:val="24"/>
                <w:szCs w:val="24"/>
                <w:highlight w:val="none"/>
                <w:lang w:eastAsia="zh-CN"/>
                <w14:textFill>
                  <w14:solidFill>
                    <w14:schemeClr w14:val="tx1"/>
                  </w14:solidFill>
                </w14:textFill>
              </w:rPr>
              <w:t>100m</w:t>
            </w:r>
            <w:r>
              <w:rPr>
                <w:rFonts w:ascii="Times New Roman" w:hAnsi="Times New Roman" w:cs="Times New Roman"/>
                <w:color w:val="000000" w:themeColor="text1"/>
                <w:spacing w:val="-2"/>
                <w:sz w:val="24"/>
                <w:szCs w:val="24"/>
                <w:highlight w:val="none"/>
                <w:lang w:eastAsia="zh-CN"/>
                <w14:textFill>
                  <w14:solidFill>
                    <w14:schemeClr w14:val="tx1"/>
                  </w14:solidFill>
                </w14:textFill>
              </w:rPr>
              <w:t>范围内无民宅；</w:t>
            </w:r>
            <w:r>
              <w:rPr>
                <w:rFonts w:ascii="Times New Roman" w:hAnsi="Times New Roman" w:eastAsia="Times New Roman" w:cs="Times New Roman"/>
                <w:color w:val="000000" w:themeColor="text1"/>
                <w:spacing w:val="-2"/>
                <w:sz w:val="24"/>
                <w:szCs w:val="24"/>
                <w:highlight w:val="none"/>
                <w:lang w:eastAsia="zh-CN"/>
                <w14:textFill>
                  <w14:solidFill>
                    <w14:schemeClr w14:val="tx1"/>
                  </w14:solidFill>
                </w14:textFill>
              </w:rPr>
              <w:t>200m</w:t>
            </w:r>
            <w:r>
              <w:rPr>
                <w:rFonts w:ascii="Times New Roman" w:hAnsi="Times New Roman" w:cs="Times New Roman"/>
                <w:color w:val="000000" w:themeColor="text1"/>
                <w:spacing w:val="-2"/>
                <w:sz w:val="24"/>
                <w:szCs w:val="24"/>
                <w:highlight w:val="none"/>
                <w:lang w:eastAsia="zh-CN"/>
                <w14:textFill>
                  <w14:solidFill>
                    <w14:schemeClr w14:val="tx1"/>
                  </w14:solidFill>
                </w14:textFill>
              </w:rPr>
              <w:t>范围内无</w:t>
            </w:r>
            <w:r>
              <w:rPr>
                <w:rFonts w:ascii="Times New Roman" w:hAnsi="Times New Roman" w:cs="Times New Roman"/>
                <w:color w:val="000000" w:themeColor="text1"/>
                <w:spacing w:val="-3"/>
                <w:sz w:val="24"/>
                <w:szCs w:val="24"/>
                <w:highlight w:val="none"/>
                <w:lang w:eastAsia="zh-CN"/>
                <w14:textFill>
                  <w14:solidFill>
                    <w14:schemeClr w14:val="tx1"/>
                  </w14:solidFill>
                </w14:textFill>
              </w:rPr>
              <w:t>铁路</w:t>
            </w:r>
            <w:r>
              <w:rPr>
                <w:rFonts w:ascii="Times New Roman" w:hAnsi="Times New Roman" w:cs="Times New Roman"/>
                <w:color w:val="000000" w:themeColor="text1"/>
                <w:sz w:val="24"/>
                <w:szCs w:val="24"/>
                <w:highlight w:val="none"/>
                <w:lang w:eastAsia="zh-CN"/>
                <w14:textFill>
                  <w14:solidFill>
                    <w14:schemeClr w14:val="tx1"/>
                  </w14:solidFill>
                </w14:textFill>
              </w:rPr>
              <w:t>、高速公路；</w:t>
            </w:r>
            <w:r>
              <w:rPr>
                <w:rFonts w:ascii="Times New Roman" w:hAnsi="Times New Roman" w:eastAsia="Times New Roman" w:cs="Times New Roman"/>
                <w:color w:val="000000" w:themeColor="text1"/>
                <w:sz w:val="24"/>
                <w:szCs w:val="24"/>
                <w:highlight w:val="none"/>
                <w:lang w:eastAsia="zh-CN"/>
                <w14:textFill>
                  <w14:solidFill>
                    <w14:schemeClr w14:val="tx1"/>
                  </w14:solidFill>
                </w14:textFill>
              </w:rPr>
              <w:t>500m</w:t>
            </w:r>
            <w:r>
              <w:rPr>
                <w:rFonts w:ascii="Times New Roman" w:hAnsi="Times New Roman" w:cs="Times New Roman"/>
                <w:color w:val="000000" w:themeColor="text1"/>
                <w:sz w:val="24"/>
                <w:szCs w:val="24"/>
                <w:highlight w:val="none"/>
                <w:lang w:eastAsia="zh-CN"/>
                <w14:textFill>
                  <w14:solidFill>
                    <w14:schemeClr w14:val="tx1"/>
                  </w14:solidFill>
                </w14:textFill>
              </w:rPr>
              <w:t>范围内无学校、医院和</w:t>
            </w:r>
            <w:r>
              <w:rPr>
                <w:rFonts w:ascii="Times New Roman" w:hAnsi="Times New Roman" w:cs="Times New Roman"/>
                <w:color w:val="000000" w:themeColor="text1"/>
                <w:spacing w:val="-1"/>
                <w:sz w:val="24"/>
                <w:szCs w:val="24"/>
                <w:highlight w:val="none"/>
                <w:lang w:eastAsia="zh-CN"/>
                <w14:textFill>
                  <w14:solidFill>
                    <w14:schemeClr w14:val="tx1"/>
                  </w14:solidFill>
                </w14:textFill>
              </w:rPr>
              <w:t>大型油库等人口</w:t>
            </w:r>
            <w:r>
              <w:rPr>
                <w:rFonts w:hint="eastAsia" w:ascii="Times New Roman" w:hAnsi="Times New Roman" w:cs="Times New Roman"/>
                <w:color w:val="000000" w:themeColor="text1"/>
                <w:spacing w:val="-1"/>
                <w:sz w:val="24"/>
                <w:szCs w:val="24"/>
                <w:highlight w:val="none"/>
                <w:lang w:eastAsia="zh-CN"/>
                <w14:textFill>
                  <w14:solidFill>
                    <w14:schemeClr w14:val="tx1"/>
                  </w14:solidFill>
                </w14:textFill>
              </w:rPr>
              <w:t>密集型</w:t>
            </w:r>
            <w:r>
              <w:rPr>
                <w:rFonts w:ascii="Times New Roman" w:hAnsi="Times New Roman" w:cs="Times New Roman"/>
                <w:color w:val="000000" w:themeColor="text1"/>
                <w:spacing w:val="-16"/>
                <w:sz w:val="24"/>
                <w:szCs w:val="24"/>
                <w:highlight w:val="none"/>
                <w:lang w:eastAsia="zh-CN"/>
                <w14:textFill>
                  <w14:solidFill>
                    <w14:schemeClr w14:val="tx1"/>
                  </w14:solidFill>
                </w14:textFill>
              </w:rPr>
              <w:t>、高危型</w:t>
            </w:r>
            <w:r>
              <w:rPr>
                <w:rFonts w:ascii="Times New Roman" w:hAnsi="Times New Roman" w:cs="Times New Roman"/>
                <w:color w:val="000000" w:themeColor="text1"/>
                <w:spacing w:val="-15"/>
                <w:sz w:val="24"/>
                <w:szCs w:val="24"/>
                <w:highlight w:val="none"/>
                <w:lang w:eastAsia="zh-CN"/>
                <w14:textFill>
                  <w14:solidFill>
                    <w14:schemeClr w14:val="tx1"/>
                  </w14:solidFill>
                </w14:textFill>
              </w:rPr>
              <w:t>场所，满足《钻前工程及井场布置技术要求》（</w:t>
            </w:r>
            <w:r>
              <w:rPr>
                <w:rFonts w:ascii="Times New Roman" w:hAnsi="Times New Roman" w:eastAsia="Times New Roman" w:cs="Times New Roman"/>
                <w:color w:val="000000" w:themeColor="text1"/>
                <w:spacing w:val="-15"/>
                <w:sz w:val="24"/>
                <w:szCs w:val="24"/>
                <w:highlight w:val="none"/>
                <w:lang w:eastAsia="zh-CN"/>
                <w14:textFill>
                  <w14:solidFill>
                    <w14:schemeClr w14:val="tx1"/>
                  </w14:solidFill>
                </w14:textFill>
              </w:rPr>
              <w:t>SY/T546</w:t>
            </w:r>
            <w:r>
              <w:rPr>
                <w:rFonts w:ascii="Times New Roman" w:hAnsi="Times New Roman" w:eastAsia="Times New Roman" w:cs="Times New Roman"/>
                <w:color w:val="000000" w:themeColor="text1"/>
                <w:spacing w:val="-16"/>
                <w:sz w:val="24"/>
                <w:szCs w:val="24"/>
                <w:highlight w:val="none"/>
                <w:lang w:eastAsia="zh-CN"/>
                <w14:textFill>
                  <w14:solidFill>
                    <w14:schemeClr w14:val="tx1"/>
                  </w14:solidFill>
                </w14:textFill>
              </w:rPr>
              <w:t>6-2</w:t>
            </w:r>
            <w:r>
              <w:rPr>
                <w:rFonts w:ascii="Times New Roman" w:hAnsi="Times New Roman" w:eastAsia="Times New Roman" w:cs="Times New Roman"/>
                <w:color w:val="000000" w:themeColor="text1"/>
                <w:spacing w:val="-12"/>
                <w:sz w:val="24"/>
                <w:szCs w:val="24"/>
                <w:highlight w:val="none"/>
                <w:lang w:eastAsia="zh-CN"/>
                <w14:textFill>
                  <w14:solidFill>
                    <w14:schemeClr w14:val="tx1"/>
                  </w14:solidFill>
                </w14:textFill>
              </w:rPr>
              <w:t>0</w:t>
            </w:r>
            <w:r>
              <w:rPr>
                <w:rFonts w:ascii="Times New Roman" w:hAnsi="Times New Roman" w:eastAsia="Times New Roman" w:cs="Times New Roman"/>
                <w:color w:val="000000" w:themeColor="text1"/>
                <w:sz w:val="24"/>
                <w:szCs w:val="24"/>
                <w:highlight w:val="none"/>
                <w:lang w:eastAsia="zh-CN"/>
                <w14:textFill>
                  <w14:solidFill>
                    <w14:schemeClr w14:val="tx1"/>
                  </w14:solidFill>
                </w14:textFill>
              </w:rPr>
              <w:t xml:space="preserve"> </w:t>
            </w:r>
            <w:r>
              <w:rPr>
                <w:rFonts w:ascii="Times New Roman" w:hAnsi="Times New Roman" w:eastAsia="Times New Roman" w:cs="Times New Roman"/>
                <w:color w:val="000000" w:themeColor="text1"/>
                <w:spacing w:val="-3"/>
                <w:sz w:val="24"/>
                <w:szCs w:val="24"/>
                <w:highlight w:val="none"/>
                <w:lang w:eastAsia="zh-CN"/>
                <w14:textFill>
                  <w14:solidFill>
                    <w14:schemeClr w14:val="tx1"/>
                  </w14:solidFill>
                </w14:textFill>
              </w:rPr>
              <w:t>13</w:t>
            </w:r>
            <w:r>
              <w:rPr>
                <w:rFonts w:ascii="Times New Roman" w:hAnsi="Times New Roman" w:cs="Times New Roman"/>
                <w:color w:val="000000" w:themeColor="text1"/>
                <w:spacing w:val="-3"/>
                <w:sz w:val="24"/>
                <w:szCs w:val="24"/>
                <w:highlight w:val="none"/>
                <w:lang w:eastAsia="zh-CN"/>
                <w14:textFill>
                  <w14:solidFill>
                    <w14:schemeClr w14:val="tx1"/>
                  </w14:solidFill>
                </w14:textFill>
              </w:rPr>
              <w:t>）的相关要求。</w:t>
            </w:r>
          </w:p>
          <w:p w14:paraId="23E89BB1">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.与《新疆维吾尔自治区2025年空气质量持续改善行动实施方案》（新政办发</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〔2024〕58号</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）符合性分析</w:t>
            </w:r>
          </w:p>
          <w:p w14:paraId="2DA99CA2">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项目与《新疆维吾尔自治区2025年空气质量持续改善行动实施方案》（新政办发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〔2024〕58号</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）符合性分析见表1-10。</w:t>
            </w:r>
          </w:p>
          <w:p w14:paraId="775F09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表1-10</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highlight w:val="none"/>
                <w:lang w:eastAsia="zh-CN"/>
                <w14:textFill>
                  <w14:solidFill>
                    <w14:schemeClr w14:val="tx1"/>
                  </w14:solidFill>
                </w14:textFill>
              </w:rPr>
              <w:t>与《新疆维吾尔自治区</w:t>
            </w:r>
            <w:r>
              <w:rPr>
                <w:rFonts w:ascii="Times New Roman" w:hAnsi="Times New Roman" w:eastAsia="TimesNewRomanPS-BoldMT" w:cs="Times New Roman"/>
                <w:b/>
                <w:bCs/>
                <w:color w:val="000000" w:themeColor="text1"/>
                <w:highlight w:val="none"/>
                <w:lang w:eastAsia="zh-CN"/>
                <w14:textFill>
                  <w14:solidFill>
                    <w14:schemeClr w14:val="tx1"/>
                  </w14:solidFill>
                </w14:textFill>
              </w:rPr>
              <w:t>2025</w:t>
            </w:r>
            <w:r>
              <w:rPr>
                <w:rFonts w:ascii="Times New Roman" w:hAnsi="Times New Roman" w:eastAsia="宋体" w:cs="Times New Roman"/>
                <w:b/>
                <w:bCs/>
                <w:color w:val="000000" w:themeColor="text1"/>
                <w:highlight w:val="none"/>
                <w:lang w:eastAsia="zh-CN"/>
                <w14:textFill>
                  <w14:solidFill>
                    <w14:schemeClr w14:val="tx1"/>
                  </w14:solidFill>
                </w14:textFill>
              </w:rPr>
              <w:t>年空气质量持续改善行动实施方案》</w:t>
            </w:r>
          </w:p>
          <w:p w14:paraId="5EEAC9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符合性分析</w:t>
            </w:r>
          </w:p>
          <w:tbl>
            <w:tblPr>
              <w:tblStyle w:val="17"/>
              <w:tblW w:w="6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3240"/>
              <w:gridCol w:w="1588"/>
              <w:gridCol w:w="1446"/>
            </w:tblGrid>
            <w:tr w14:paraId="13B6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dxa"/>
                  <w:vAlign w:val="center"/>
                </w:tcPr>
                <w:p w14:paraId="0DD9521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序号</w:t>
                  </w:r>
                </w:p>
              </w:tc>
              <w:tc>
                <w:tcPr>
                  <w:tcW w:w="3240" w:type="dxa"/>
                  <w:vAlign w:val="center"/>
                </w:tcPr>
                <w:p w14:paraId="18FD0A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方案内容</w:t>
                  </w:r>
                </w:p>
              </w:tc>
              <w:tc>
                <w:tcPr>
                  <w:tcW w:w="1588" w:type="dxa"/>
                  <w:vAlign w:val="center"/>
                </w:tcPr>
                <w:p w14:paraId="002BE2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项目情况</w:t>
                  </w:r>
                </w:p>
              </w:tc>
              <w:tc>
                <w:tcPr>
                  <w:tcW w:w="1446" w:type="dxa"/>
                  <w:vAlign w:val="center"/>
                </w:tcPr>
                <w:p w14:paraId="29315B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符合性</w:t>
                  </w:r>
                </w:p>
              </w:tc>
            </w:tr>
            <w:tr w14:paraId="02E1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32A010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1</w:t>
                  </w:r>
                </w:p>
              </w:tc>
              <w:tc>
                <w:tcPr>
                  <w:tcW w:w="3240" w:type="dxa"/>
                  <w:vAlign w:val="center"/>
                </w:tcPr>
                <w:p w14:paraId="614437E9">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坚决遏制高耗能、高排放、低水平项目盲目上马。新改扩建项目严格落实国家和自治区产业规划、产业政策、生态环境分区管控方案、规划环评、项目环评、节能审查、产能置换、重点污染物总量控制、污染物排放区域削减、碳排放达峰目标等相关要求，原则上采用清洁运输方式，达到能效标杆水平、环保绩效</w:t>
                  </w:r>
                  <w:r>
                    <w:rPr>
                      <w:rFonts w:ascii="Times New Roman" w:hAnsi="Times New Roman" w:eastAsia="Times New Roman" w:cs="Times New Roman"/>
                      <w:color w:val="000000" w:themeColor="text1"/>
                      <w:highlight w:val="none"/>
                      <w:lang w:val="zh-CN"/>
                      <w14:textFill>
                        <w14:solidFill>
                          <w14:schemeClr w14:val="tx1"/>
                        </w14:solidFill>
                      </w14:textFill>
                    </w:rPr>
                    <w:t>A</w:t>
                  </w:r>
                  <w:r>
                    <w:rPr>
                      <w:rFonts w:hint="eastAsia" w:ascii="宋体" w:hAnsi="宋体" w:eastAsia="宋体" w:cs="宋体"/>
                      <w:color w:val="000000" w:themeColor="text1"/>
                      <w:highlight w:val="none"/>
                      <w:lang w:val="zh-CN"/>
                      <w14:textFill>
                        <w14:solidFill>
                          <w14:schemeClr w14:val="tx1"/>
                        </w14:solidFill>
                      </w14:textFill>
                    </w:rPr>
                    <w:t>级水平。涉及产能置换的项目，被置换产能及设备关停后，新建项目方可投产。严格落实钢铁产能置换，联防联控区严禁新增钢铁产能。推行钢铁、焦化、烧结一体化布局，大幅减少独立焦化、烧结、球团和热轧企业及工序。到</w:t>
                  </w:r>
                  <w:r>
                    <w:rPr>
                      <w:rFonts w:ascii="Times New Roman" w:hAnsi="Times New Roman" w:eastAsia="Times New Roman" w:cs="Times New Roman"/>
                      <w:color w:val="000000" w:themeColor="text1"/>
                      <w:highlight w:val="none"/>
                      <w:lang w:val="zh-CN"/>
                      <w14:textFill>
                        <w14:solidFill>
                          <w14:schemeClr w14:val="tx1"/>
                        </w14:solidFill>
                      </w14:textFill>
                    </w:rPr>
                    <w:t>2025</w:t>
                  </w:r>
                  <w:r>
                    <w:rPr>
                      <w:rFonts w:hint="eastAsia" w:ascii="宋体" w:hAnsi="宋体" w:eastAsia="宋体" w:cs="宋体"/>
                      <w:color w:val="000000" w:themeColor="text1"/>
                      <w:highlight w:val="none"/>
                      <w:lang w:val="zh-CN"/>
                      <w14:textFill>
                        <w14:solidFill>
                          <w14:schemeClr w14:val="tx1"/>
                        </w14:solidFill>
                      </w14:textFill>
                    </w:rPr>
                    <w:t>年，短流程炼钢产量占比力争提升至</w:t>
                  </w:r>
                  <w:r>
                    <w:rPr>
                      <w:rFonts w:ascii="Times New Roman" w:hAnsi="Times New Roman" w:eastAsia="Times New Roman" w:cs="Times New Roman"/>
                      <w:color w:val="000000" w:themeColor="text1"/>
                      <w:highlight w:val="none"/>
                      <w:lang w:val="zh-CN"/>
                      <w14:textFill>
                        <w14:solidFill>
                          <w14:schemeClr w14:val="tx1"/>
                        </w14:solidFill>
                      </w14:textFill>
                    </w:rPr>
                    <w:t>15%</w:t>
                  </w:r>
                </w:p>
              </w:tc>
              <w:tc>
                <w:tcPr>
                  <w:tcW w:w="1588" w:type="dxa"/>
                  <w:vAlign w:val="center"/>
                </w:tcPr>
                <w:p w14:paraId="421CB3E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本项目不属于钢铁行业及高排放、高耗能、低水平的工业项目，符合国家产业政策</w:t>
                  </w:r>
                </w:p>
              </w:tc>
              <w:tc>
                <w:tcPr>
                  <w:tcW w:w="1446" w:type="dxa"/>
                  <w:vAlign w:val="center"/>
                </w:tcPr>
                <w:p w14:paraId="22AE2B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5790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310A532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2</w:t>
                  </w:r>
                </w:p>
              </w:tc>
              <w:tc>
                <w:tcPr>
                  <w:tcW w:w="3240" w:type="dxa"/>
                  <w:vAlign w:val="center"/>
                </w:tcPr>
                <w:p w14:paraId="6ECBA7A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w:t>
                  </w:r>
                  <w:r>
                    <w:rPr>
                      <w:rFonts w:hint="eastAsia" w:ascii="宋体" w:hAnsi="宋体" w:eastAsia="宋体" w:cs="宋体"/>
                      <w:color w:val="000000" w:themeColor="text1"/>
                      <w:highlight w:val="none"/>
                      <w:lang w:val="zh-CN" w:eastAsia="zh-CN"/>
                      <w14:textFill>
                        <w14:solidFill>
                          <w14:schemeClr w14:val="tx1"/>
                        </w14:solidFill>
                      </w14:textFill>
                    </w:rPr>
                    <w:t>引导重点区域钢铁、焦化、电解铝等产业有序调整优化</w:t>
                  </w:r>
                </w:p>
              </w:tc>
              <w:tc>
                <w:tcPr>
                  <w:tcW w:w="1588" w:type="dxa"/>
                  <w:vAlign w:val="center"/>
                </w:tcPr>
                <w:p w14:paraId="729D54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本项目为陆地石油</w:t>
                  </w:r>
                  <w:r>
                    <w:rPr>
                      <w:rFonts w:ascii="Times New Roman" w:hAnsi="Times New Roman" w:eastAsia="宋体" w:cs="Times New Roman"/>
                      <w:color w:val="000000" w:themeColor="text1"/>
                      <w:highlight w:val="none"/>
                      <w:lang w:eastAsia="zh-CN"/>
                      <w14:textFill>
                        <w14:solidFill>
                          <w14:schemeClr w14:val="tx1"/>
                        </w14:solidFill>
                      </w14:textFill>
                    </w:rPr>
                    <w:t>勘探</w:t>
                  </w:r>
                  <w:r>
                    <w:rPr>
                      <w:rFonts w:hint="eastAsia" w:ascii="宋体" w:hAnsi="宋体" w:eastAsia="宋体" w:cs="宋体"/>
                      <w:color w:val="000000" w:themeColor="text1"/>
                      <w:highlight w:val="none"/>
                      <w:lang w:val="zh-CN" w:eastAsia="zh-CN"/>
                      <w14:textFill>
                        <w14:solidFill>
                          <w14:schemeClr w14:val="tx1"/>
                        </w14:solidFill>
                      </w14:textFill>
                    </w:rPr>
                    <w:t>项目，属于鼓励类</w:t>
                  </w:r>
                  <w:r>
                    <w:rPr>
                      <w:rFonts w:ascii="Times New Roman" w:hAnsi="Times New Roman" w:eastAsia="宋体" w:cs="Times New Roman"/>
                      <w:color w:val="000000" w:themeColor="text1"/>
                      <w:highlight w:val="none"/>
                      <w:lang w:eastAsia="zh-CN"/>
                      <w14:textFill>
                        <w14:solidFill>
                          <w14:schemeClr w14:val="tx1"/>
                        </w14:solidFill>
                      </w14:textFill>
                    </w:rPr>
                    <w:t>项</w:t>
                  </w:r>
                  <w:r>
                    <w:rPr>
                      <w:rFonts w:hint="eastAsia" w:ascii="宋体" w:hAnsi="宋体" w:eastAsia="宋体" w:cs="宋体"/>
                      <w:color w:val="000000" w:themeColor="text1"/>
                      <w:highlight w:val="none"/>
                      <w:lang w:val="zh-CN" w:eastAsia="zh-CN"/>
                      <w14:textFill>
                        <w14:solidFill>
                          <w14:schemeClr w14:val="tx1"/>
                        </w14:solidFill>
                      </w14:textFill>
                    </w:rPr>
                    <w:t>目，不在淘汰类工业项目名录中</w:t>
                  </w:r>
                </w:p>
              </w:tc>
              <w:tc>
                <w:tcPr>
                  <w:tcW w:w="1446" w:type="dxa"/>
                  <w:vAlign w:val="center"/>
                </w:tcPr>
                <w:p w14:paraId="765C81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4EBF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546306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3</w:t>
                  </w:r>
                </w:p>
              </w:tc>
              <w:tc>
                <w:tcPr>
                  <w:tcW w:w="3240" w:type="dxa"/>
                  <w:vAlign w:val="center"/>
                </w:tcPr>
                <w:p w14:paraId="1BCD8B8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推进传统产业集群升级改造。</w:t>
                  </w:r>
                  <w:r>
                    <w:rPr>
                      <w:rFonts w:hint="eastAsia" w:ascii="宋体" w:hAnsi="宋体" w:eastAsia="宋体" w:cs="宋体"/>
                      <w:color w:val="000000" w:themeColor="text1"/>
                      <w:highlight w:val="none"/>
                      <w:lang w:val="zh-CN" w:eastAsia="zh-CN"/>
                      <w14:textFill>
                        <w14:solidFill>
                          <w14:schemeClr w14:val="tx1"/>
                        </w14:solidFill>
                      </w14:textFill>
                    </w:rPr>
                    <w:t>推动传统产业集群升级发展，开展产业集群专项治理，依法淘汰关停一批、搬迁入园一批、就地改造一批、做优做强一批，因地制宜建设集中供热中心、集中喷涂中心、活性炭集中再生中心和有机溶剂集中回收处置中心</w:t>
                  </w:r>
                </w:p>
              </w:tc>
              <w:tc>
                <w:tcPr>
                  <w:tcW w:w="1588" w:type="dxa"/>
                  <w:vAlign w:val="center"/>
                </w:tcPr>
                <w:p w14:paraId="4DA0F6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本项目为石油</w:t>
                  </w:r>
                  <w:r>
                    <w:rPr>
                      <w:rFonts w:ascii="Times New Roman" w:hAnsi="Times New Roman" w:eastAsia="宋体" w:cs="Times New Roman"/>
                      <w:color w:val="000000" w:themeColor="text1"/>
                      <w:highlight w:val="none"/>
                      <w:lang w:eastAsia="zh-CN"/>
                      <w14:textFill>
                        <w14:solidFill>
                          <w14:schemeClr w14:val="tx1"/>
                        </w14:solidFill>
                      </w14:textFill>
                    </w:rPr>
                    <w:t>勘探</w:t>
                  </w:r>
                  <w:r>
                    <w:rPr>
                      <w:rFonts w:hint="eastAsia" w:ascii="宋体" w:hAnsi="宋体" w:eastAsia="宋体" w:cs="宋体"/>
                      <w:color w:val="000000" w:themeColor="text1"/>
                      <w:highlight w:val="none"/>
                      <w:lang w:val="zh-CN" w:eastAsia="zh-CN"/>
                      <w14:textFill>
                        <w14:solidFill>
                          <w14:schemeClr w14:val="tx1"/>
                        </w14:solidFill>
                      </w14:textFill>
                    </w:rPr>
                    <w:t>项目，产生的</w:t>
                  </w:r>
                  <w:r>
                    <w:rPr>
                      <w:rFonts w:hint="eastAsia" w:ascii="宋体" w:hAnsi="宋体" w:eastAsia="宋体" w:cs="宋体"/>
                      <w:color w:val="000000" w:themeColor="text1"/>
                      <w:highlight w:val="none"/>
                      <w:lang w:val="en-US" w:eastAsia="zh-CN"/>
                      <w14:textFill>
                        <w14:solidFill>
                          <w14:schemeClr w14:val="tx1"/>
                        </w14:solidFill>
                      </w14:textFill>
                    </w:rPr>
                    <w:t>伴生气经放喷管燃烧</w:t>
                  </w:r>
                  <w:r>
                    <w:rPr>
                      <w:rFonts w:hint="eastAsia" w:ascii="宋体" w:hAnsi="宋体" w:eastAsia="宋体" w:cs="宋体"/>
                      <w:color w:val="000000" w:themeColor="text1"/>
                      <w:highlight w:val="none"/>
                      <w:lang w:val="zh-CN" w:eastAsia="zh-CN"/>
                      <w14:textFill>
                        <w14:solidFill>
                          <w14:schemeClr w14:val="tx1"/>
                        </w14:solidFill>
                      </w14:textFill>
                    </w:rPr>
                    <w:t>。</w:t>
                  </w:r>
                </w:p>
              </w:tc>
              <w:tc>
                <w:tcPr>
                  <w:tcW w:w="1446" w:type="dxa"/>
                  <w:vAlign w:val="center"/>
                </w:tcPr>
                <w:p w14:paraId="3610C2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4D52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vAlign w:val="center"/>
                </w:tcPr>
                <w:p w14:paraId="183F5A5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4</w:t>
                  </w:r>
                </w:p>
              </w:tc>
              <w:tc>
                <w:tcPr>
                  <w:tcW w:w="3240" w:type="dxa"/>
                  <w:vAlign w:val="center"/>
                </w:tcPr>
                <w:p w14:paraId="1DCDC8C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大力发展新能源和清洁能源。推进风电光伏等清洁能源基地建设，构建新型电力系统。推进新能源与优势产业联动发展，加大高载能行业和自备电厂清洁能源替代力度。非化石能源消费比重和电能占终端能源消费比重达到相关规划要求。</w:t>
                  </w:r>
                  <w:r>
                    <w:rPr>
                      <w:rFonts w:hint="eastAsia" w:ascii="宋体" w:hAnsi="宋体" w:eastAsia="宋体" w:cs="宋体"/>
                      <w:color w:val="000000" w:themeColor="text1"/>
                      <w:highlight w:val="none"/>
                      <w:lang w:val="zh-CN" w:eastAsia="zh-CN"/>
                      <w14:textFill>
                        <w14:solidFill>
                          <w14:schemeClr w14:val="tx1"/>
                        </w14:solidFill>
                      </w14:textFill>
                    </w:rPr>
                    <w:t>持续增加天然气生产供应，优先保障居民生活和清洁取暖、农业散煤治理等需求</w:t>
                  </w:r>
                </w:p>
              </w:tc>
              <w:tc>
                <w:tcPr>
                  <w:tcW w:w="1588" w:type="dxa"/>
                  <w:vAlign w:val="center"/>
                </w:tcPr>
                <w:p w14:paraId="49D03B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本项目为石油</w:t>
                  </w:r>
                  <w:r>
                    <w:rPr>
                      <w:rFonts w:ascii="Times New Roman" w:hAnsi="Times New Roman" w:eastAsia="宋体" w:cs="Times New Roman"/>
                      <w:color w:val="000000" w:themeColor="text1"/>
                      <w:highlight w:val="none"/>
                      <w:lang w:eastAsia="zh-CN"/>
                      <w14:textFill>
                        <w14:solidFill>
                          <w14:schemeClr w14:val="tx1"/>
                        </w14:solidFill>
                      </w14:textFill>
                    </w:rPr>
                    <w:t>勘探</w:t>
                  </w:r>
                  <w:r>
                    <w:rPr>
                      <w:rFonts w:hint="eastAsia" w:ascii="宋体" w:hAnsi="宋体" w:eastAsia="宋体" w:cs="宋体"/>
                      <w:color w:val="000000" w:themeColor="text1"/>
                      <w:highlight w:val="none"/>
                      <w:lang w:val="zh-CN" w:eastAsia="zh-CN"/>
                      <w14:textFill>
                        <w14:solidFill>
                          <w14:schemeClr w14:val="tx1"/>
                        </w14:solidFill>
                      </w14:textFill>
                    </w:rPr>
                    <w:t>项目，属于国家能源项目</w:t>
                  </w:r>
                </w:p>
              </w:tc>
              <w:tc>
                <w:tcPr>
                  <w:tcW w:w="1446" w:type="dxa"/>
                  <w:vAlign w:val="center"/>
                </w:tcPr>
                <w:p w14:paraId="73D6A44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3572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82" w:type="dxa"/>
                  <w:vAlign w:val="center"/>
                </w:tcPr>
                <w:p w14:paraId="0E650E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5</w:t>
                  </w:r>
                </w:p>
              </w:tc>
              <w:tc>
                <w:tcPr>
                  <w:tcW w:w="3240" w:type="dxa"/>
                  <w:vAlign w:val="center"/>
                </w:tcPr>
                <w:p w14:paraId="76ADF4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严格合理控制煤炭消费总量。在保障能源安全供应前提下，联防联控区合理控制新改扩建用煤项目；不得将使用石油焦、焦炭、兰炭等高污染燃料作为煤炭减量替代措施。完善联防联控区煤炭消费减量替代管理，煤矸石、原料用煤不纳入煤炭消费总量。高质量建设国家大型煤电煤化工基地，原则上不再新增自备燃煤机组，推进现有自备燃煤机组清洁能源替代。合理保障支撑电力稳定供应、电网安全运行、清洁能源大规模并网消纳的煤电项目及其用煤量。</w:t>
                  </w:r>
                  <w:r>
                    <w:rPr>
                      <w:rFonts w:hint="eastAsia" w:ascii="宋体" w:hAnsi="宋体" w:eastAsia="宋体" w:cs="宋体"/>
                      <w:color w:val="000000" w:themeColor="text1"/>
                      <w:highlight w:val="none"/>
                      <w:lang w:val="zh-CN" w:eastAsia="zh-CN"/>
                      <w14:textFill>
                        <w14:solidFill>
                          <w14:schemeClr w14:val="tx1"/>
                        </w14:solidFill>
                      </w14:textFill>
                    </w:rPr>
                    <w:t>完善联防联控区骨干电网建设，保障冬季生产用电需求</w:t>
                  </w:r>
                </w:p>
              </w:tc>
              <w:tc>
                <w:tcPr>
                  <w:tcW w:w="1588" w:type="dxa"/>
                  <w:vAlign w:val="center"/>
                </w:tcPr>
                <w:p w14:paraId="6AC456F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宋体" w:hAnsi="宋体" w:eastAsia="宋体" w:cs="宋体"/>
                      <w:color w:val="000000" w:themeColor="text1"/>
                      <w:highlight w:val="none"/>
                      <w:lang w:val="zh-CN" w:eastAsia="zh-CN"/>
                      <w14:textFill>
                        <w14:solidFill>
                          <w14:schemeClr w14:val="tx1"/>
                        </w14:solidFill>
                      </w14:textFill>
                    </w:rPr>
                    <w:t>本项目为石油</w:t>
                  </w:r>
                  <w:r>
                    <w:rPr>
                      <w:rFonts w:hint="eastAsia" w:ascii="宋体" w:hAnsi="宋体" w:eastAsia="宋体" w:cs="宋体"/>
                      <w:color w:val="000000" w:themeColor="text1"/>
                      <w:highlight w:val="none"/>
                      <w:lang w:eastAsia="zh-CN"/>
                      <w14:textFill>
                        <w14:solidFill>
                          <w14:schemeClr w14:val="tx1"/>
                        </w14:solidFill>
                      </w14:textFill>
                    </w:rPr>
                    <w:t>勘探</w:t>
                  </w:r>
                  <w:r>
                    <w:rPr>
                      <w:rFonts w:hint="eastAsia" w:ascii="宋体" w:hAnsi="宋体" w:eastAsia="宋体" w:cs="宋体"/>
                      <w:color w:val="000000" w:themeColor="text1"/>
                      <w:highlight w:val="none"/>
                      <w:lang w:val="zh-CN" w:eastAsia="zh-CN"/>
                      <w14:textFill>
                        <w14:solidFill>
                          <w14:schemeClr w14:val="tx1"/>
                        </w14:solidFill>
                      </w14:textFill>
                    </w:rPr>
                    <w:t>项目，属于国家能源项目，项目</w:t>
                  </w:r>
                  <w:r>
                    <w:rPr>
                      <w:rFonts w:hint="eastAsia" w:ascii="宋体" w:hAnsi="宋体" w:eastAsia="宋体" w:cs="宋体"/>
                      <w:color w:val="000000" w:themeColor="text1"/>
                      <w:highlight w:val="none"/>
                      <w:lang w:eastAsia="zh-CN"/>
                      <w14:textFill>
                        <w14:solidFill>
                          <w14:schemeClr w14:val="tx1"/>
                        </w14:solidFill>
                      </w14:textFill>
                    </w:rPr>
                    <w:t>施工</w:t>
                  </w:r>
                  <w:r>
                    <w:rPr>
                      <w:rFonts w:hint="eastAsia" w:ascii="宋体" w:hAnsi="宋体" w:eastAsia="宋体" w:cs="宋体"/>
                      <w:color w:val="000000" w:themeColor="text1"/>
                      <w:highlight w:val="none"/>
                      <w:lang w:val="zh-CN" w:eastAsia="zh-CN"/>
                      <w14:textFill>
                        <w14:solidFill>
                          <w14:schemeClr w14:val="tx1"/>
                        </w14:solidFill>
                      </w14:textFill>
                    </w:rPr>
                    <w:t>过程中使用</w:t>
                  </w:r>
                  <w:r>
                    <w:rPr>
                      <w:rFonts w:hint="eastAsia" w:ascii="宋体" w:hAnsi="宋体" w:eastAsia="宋体" w:cs="宋体"/>
                      <w:color w:val="000000" w:themeColor="text1"/>
                      <w:highlight w:val="none"/>
                      <w:lang w:val="en-US" w:eastAsia="zh-CN"/>
                      <w14:textFill>
                        <w14:solidFill>
                          <w14:schemeClr w14:val="tx1"/>
                        </w14:solidFill>
                      </w14:textFill>
                    </w:rPr>
                    <w:t>生物质</w:t>
                  </w:r>
                  <w:r>
                    <w:rPr>
                      <w:rFonts w:ascii="Times New Roman" w:hAnsi="Times New Roman" w:eastAsia="宋体" w:cs="Times New Roman"/>
                      <w:color w:val="000000" w:themeColor="text1"/>
                      <w:highlight w:val="none"/>
                      <w:lang w:val="zh-CN" w:eastAsia="zh-CN"/>
                      <w14:textFill>
                        <w14:solidFill>
                          <w14:schemeClr w14:val="tx1"/>
                        </w14:solidFill>
                      </w14:textFill>
                    </w:rPr>
                    <w:t>燃料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锅炉</w:t>
                  </w:r>
                  <w:r>
                    <w:rPr>
                      <w:rFonts w:hint="eastAsia" w:ascii="宋体" w:hAnsi="宋体" w:eastAsia="宋体" w:cs="宋体"/>
                      <w:color w:val="000000" w:themeColor="text1"/>
                      <w:highlight w:val="none"/>
                      <w:lang w:val="zh-CN" w:eastAsia="zh-CN"/>
                      <w14:textFill>
                        <w14:solidFill>
                          <w14:schemeClr w14:val="tx1"/>
                        </w14:solidFill>
                      </w14:textFill>
                    </w:rPr>
                    <w:t>供热，不</w:t>
                  </w:r>
                  <w:r>
                    <w:rPr>
                      <w:rFonts w:hint="eastAsia" w:ascii="宋体" w:hAnsi="宋体" w:eastAsia="宋体" w:cs="宋体"/>
                      <w:color w:val="000000" w:themeColor="text1"/>
                      <w:highlight w:val="none"/>
                      <w:lang w:val="en-US" w:eastAsia="zh-CN"/>
                      <w14:textFill>
                        <w14:solidFill>
                          <w14:schemeClr w14:val="tx1"/>
                        </w14:solidFill>
                      </w14:textFill>
                    </w:rPr>
                    <w:t>使用</w:t>
                  </w:r>
                  <w:r>
                    <w:rPr>
                      <w:rFonts w:hint="eastAsia" w:ascii="宋体" w:hAnsi="宋体" w:eastAsia="宋体" w:cs="宋体"/>
                      <w:color w:val="000000" w:themeColor="text1"/>
                      <w:highlight w:val="none"/>
                      <w:lang w:val="zh-CN" w:eastAsia="zh-CN"/>
                      <w14:textFill>
                        <w14:solidFill>
                          <w14:schemeClr w14:val="tx1"/>
                        </w14:solidFill>
                      </w14:textFill>
                    </w:rPr>
                    <w:t>煤炭</w:t>
                  </w:r>
                </w:p>
              </w:tc>
              <w:tc>
                <w:tcPr>
                  <w:tcW w:w="1446" w:type="dxa"/>
                  <w:vAlign w:val="center"/>
                </w:tcPr>
                <w:p w14:paraId="43EB85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r w14:paraId="6890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582" w:type="dxa"/>
                  <w:vAlign w:val="center"/>
                </w:tcPr>
                <w:p w14:paraId="424DCB4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6</w:t>
                  </w:r>
                </w:p>
              </w:tc>
              <w:tc>
                <w:tcPr>
                  <w:tcW w:w="3240" w:type="dxa"/>
                  <w:vAlign w:val="center"/>
                </w:tcPr>
                <w:p w14:paraId="2CCBBF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Times New Roman" w:cs="Times New Roman"/>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持续强化扬尘污染综合管控。施工场地严格落实</w:t>
                  </w:r>
                  <w:r>
                    <w:rPr>
                      <w:rFonts w:ascii="Times New Roman" w:hAnsi="Times New Roman" w:eastAsia="Times New Roman" w:cs="Times New Roman"/>
                      <w:color w:val="000000" w:themeColor="text1"/>
                      <w:highlight w:val="none"/>
                      <w:lang w:val="zh-CN"/>
                      <w14:textFill>
                        <w14:solidFill>
                          <w14:schemeClr w14:val="tx1"/>
                        </w14:solidFill>
                      </w14:textFill>
                    </w:rPr>
                    <w:t>“</w:t>
                  </w:r>
                  <w:r>
                    <w:rPr>
                      <w:rFonts w:hint="eastAsia" w:ascii="宋体" w:hAnsi="宋体" w:eastAsia="宋体" w:cs="宋体"/>
                      <w:color w:val="000000" w:themeColor="text1"/>
                      <w:highlight w:val="none"/>
                      <w:lang w:val="zh-CN"/>
                      <w14:textFill>
                        <w14:solidFill>
                          <w14:schemeClr w14:val="tx1"/>
                        </w14:solidFill>
                      </w14:textFill>
                    </w:rPr>
                    <w:t>六个百分百</w:t>
                  </w:r>
                  <w:r>
                    <w:rPr>
                      <w:rFonts w:ascii="Times New Roman" w:hAnsi="Times New Roman" w:eastAsia="Times New Roman" w:cs="Times New Roman"/>
                      <w:color w:val="000000" w:themeColor="text1"/>
                      <w:highlight w:val="none"/>
                      <w:lang w:val="zh-CN"/>
                      <w14:textFill>
                        <w14:solidFill>
                          <w14:schemeClr w14:val="tx1"/>
                        </w14:solidFill>
                      </w14:textFill>
                    </w:rPr>
                    <w:t>”</w:t>
                  </w:r>
                  <w:r>
                    <w:rPr>
                      <w:rFonts w:hint="eastAsia" w:ascii="宋体" w:hAnsi="宋体" w:eastAsia="宋体" w:cs="宋体"/>
                      <w:color w:val="000000" w:themeColor="text1"/>
                      <w:highlight w:val="none"/>
                      <w:lang w:val="zh-CN"/>
                      <w14:textFill>
                        <w14:solidFill>
                          <w14:schemeClr w14:val="tx1"/>
                        </w14:solidFill>
                      </w14:textFill>
                    </w:rPr>
                    <w:t>要求。扬尘污染防治费用纳入工程造价，</w:t>
                  </w:r>
                  <w:r>
                    <w:rPr>
                      <w:rFonts w:ascii="Times New Roman" w:hAnsi="Times New Roman" w:eastAsia="Times New Roman" w:cs="Times New Roman"/>
                      <w:color w:val="000000" w:themeColor="text1"/>
                      <w:highlight w:val="none"/>
                      <w:lang w:val="zh-CN"/>
                      <w14:textFill>
                        <w14:solidFill>
                          <w14:schemeClr w14:val="tx1"/>
                        </w14:solidFill>
                      </w14:textFill>
                    </w:rPr>
                    <w:t>3000m</w:t>
                  </w:r>
                  <w:r>
                    <w:rPr>
                      <w:rFonts w:ascii="Times New Roman" w:hAnsi="Times New Roman" w:eastAsia="Times New Roman" w:cs="Times New Roman"/>
                      <w:color w:val="000000" w:themeColor="text1"/>
                      <w:highlight w:val="none"/>
                      <w:vertAlign w:val="superscript"/>
                      <w:lang w:val="zh-CN"/>
                      <w14:textFill>
                        <w14:solidFill>
                          <w14:schemeClr w14:val="tx1"/>
                        </w14:solidFill>
                      </w14:textFill>
                    </w:rPr>
                    <w:t>2</w:t>
                  </w:r>
                  <w:r>
                    <w:rPr>
                      <w:rFonts w:hint="eastAsia" w:ascii="宋体" w:hAnsi="宋体" w:eastAsia="宋体" w:cs="宋体"/>
                      <w:color w:val="000000" w:themeColor="text1"/>
                      <w:highlight w:val="none"/>
                      <w:lang w:val="zh-CN"/>
                      <w14:textFill>
                        <w14:solidFill>
                          <w14:schemeClr w14:val="tx1"/>
                        </w14:solidFill>
                      </w14:textFill>
                    </w:rPr>
                    <w:t>及以上建筑工地安装视频监控并接入当地监管平台。道路、水务等长距离线性工程实行分段施工。城市建成区主次干道机械化清扫率达到</w:t>
                  </w:r>
                  <w:r>
                    <w:rPr>
                      <w:rFonts w:ascii="Times New Roman" w:hAnsi="Times New Roman" w:eastAsia="Times New Roman" w:cs="Times New Roman"/>
                      <w:color w:val="000000" w:themeColor="text1"/>
                      <w:highlight w:val="none"/>
                      <w:lang w:val="zh-CN"/>
                      <w14:textFill>
                        <w14:solidFill>
                          <w14:schemeClr w14:val="tx1"/>
                        </w14:solidFill>
                      </w14:textFill>
                    </w:rPr>
                    <w:t>80%</w:t>
                  </w:r>
                  <w:r>
                    <w:rPr>
                      <w:rFonts w:hint="eastAsia" w:ascii="宋体" w:hAnsi="宋体" w:eastAsia="宋体" w:cs="宋体"/>
                      <w:color w:val="000000" w:themeColor="text1"/>
                      <w:highlight w:val="none"/>
                      <w:lang w:val="zh-CN"/>
                      <w14:textFill>
                        <w14:solidFill>
                          <w14:schemeClr w14:val="tx1"/>
                        </w14:solidFill>
                      </w14:textFill>
                    </w:rPr>
                    <w:t>。加强城市及周边公共裸地、物料堆场等易产尘区域抑尘管理。到</w:t>
                  </w:r>
                  <w:r>
                    <w:rPr>
                      <w:rFonts w:ascii="Times New Roman" w:hAnsi="Times New Roman" w:eastAsia="Times New Roman" w:cs="Times New Roman"/>
                      <w:color w:val="000000" w:themeColor="text1"/>
                      <w:highlight w:val="none"/>
                      <w:lang w:val="zh-CN"/>
                      <w14:textFill>
                        <w14:solidFill>
                          <w14:schemeClr w14:val="tx1"/>
                        </w14:solidFill>
                      </w14:textFill>
                    </w:rPr>
                    <w:t>2025</w:t>
                  </w:r>
                  <w:r>
                    <w:rPr>
                      <w:rFonts w:hint="eastAsia" w:ascii="宋体" w:hAnsi="宋体" w:eastAsia="宋体" w:cs="宋体"/>
                      <w:color w:val="000000" w:themeColor="text1"/>
                      <w:highlight w:val="none"/>
                      <w:lang w:val="zh-CN"/>
                      <w14:textFill>
                        <w14:solidFill>
                          <w14:schemeClr w14:val="tx1"/>
                        </w14:solidFill>
                      </w14:textFill>
                    </w:rPr>
                    <w:t>年，装配式建筑占新建建筑面积比例达到</w:t>
                  </w:r>
                  <w:r>
                    <w:rPr>
                      <w:rFonts w:ascii="Times New Roman" w:hAnsi="Times New Roman" w:eastAsia="Times New Roman" w:cs="Times New Roman"/>
                      <w:color w:val="000000" w:themeColor="text1"/>
                      <w:highlight w:val="none"/>
                      <w:lang w:val="zh-CN"/>
                      <w14:textFill>
                        <w14:solidFill>
                          <w14:schemeClr w14:val="tx1"/>
                        </w14:solidFill>
                      </w14:textFill>
                    </w:rPr>
                    <w:t>30%</w:t>
                  </w:r>
                </w:p>
              </w:tc>
              <w:tc>
                <w:tcPr>
                  <w:tcW w:w="1588" w:type="dxa"/>
                  <w:vAlign w:val="center"/>
                </w:tcPr>
                <w:p w14:paraId="36AC407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Times New Roman" w:cs="Times New Roman"/>
                      <w:color w:val="000000" w:themeColor="text1"/>
                      <w:highlight w:val="none"/>
                      <w:lang w:val="zh-CN"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本项目施工场地严格落实“六个百分百”要求，扬尘污染防治费用已纳入工程造价</w:t>
                  </w:r>
                </w:p>
              </w:tc>
              <w:tc>
                <w:tcPr>
                  <w:tcW w:w="1446" w:type="dxa"/>
                  <w:vAlign w:val="center"/>
                </w:tcPr>
                <w:p w14:paraId="3EC4F4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符合</w:t>
                  </w:r>
                </w:p>
              </w:tc>
            </w:tr>
          </w:tbl>
          <w:p w14:paraId="2DB8115B">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left="0" w:right="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.与《</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一般工业固体废物环境管理工作指南</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环办固体函</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〔202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8号</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）符合性分析</w:t>
            </w:r>
          </w:p>
          <w:p w14:paraId="76C768E7">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项目与《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一般工业固体废物环境管理工作指南</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环办固体函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8号</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）符合性分析见表1-1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2A802E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表1-1</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1  </w:t>
            </w:r>
            <w:r>
              <w:rPr>
                <w:rFonts w:ascii="Times New Roman" w:hAnsi="Times New Roman" w:eastAsia="宋体" w:cs="Times New Roman"/>
                <w:b/>
                <w:bCs/>
                <w:color w:val="000000" w:themeColor="text1"/>
                <w:highlight w:val="none"/>
                <w:lang w:eastAsia="zh-CN"/>
                <w14:textFill>
                  <w14:solidFill>
                    <w14:schemeClr w14:val="tx1"/>
                  </w14:solidFill>
                </w14:textFill>
              </w:rPr>
              <w:t>与《</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一般工业固体废物环境管理工作指南</w:t>
            </w:r>
            <w:r>
              <w:rPr>
                <w:rFonts w:ascii="Times New Roman" w:hAnsi="Times New Roman" w:eastAsia="宋体" w:cs="Times New Roman"/>
                <w:b/>
                <w:bCs/>
                <w:color w:val="000000" w:themeColor="text1"/>
                <w:highlight w:val="none"/>
                <w:lang w:eastAsia="zh-CN"/>
                <w14:textFill>
                  <w14:solidFill>
                    <w14:schemeClr w14:val="tx1"/>
                  </w14:solidFill>
                </w14:textFill>
              </w:rPr>
              <w:t>》符合性分析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2352"/>
              <w:gridCol w:w="3573"/>
              <w:gridCol w:w="454"/>
            </w:tblGrid>
            <w:tr w14:paraId="1BCC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14:paraId="68E03C1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主要内容</w:t>
                  </w:r>
                </w:p>
              </w:tc>
              <w:tc>
                <w:tcPr>
                  <w:tcW w:w="0" w:type="auto"/>
                  <w:vAlign w:val="center"/>
                </w:tcPr>
                <w:p w14:paraId="6458BA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管理要点</w:t>
                  </w:r>
                </w:p>
              </w:tc>
              <w:tc>
                <w:tcPr>
                  <w:tcW w:w="0" w:type="auto"/>
                  <w:vAlign w:val="center"/>
                </w:tcPr>
                <w:p w14:paraId="53805B5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项目情况</w:t>
                  </w:r>
                </w:p>
              </w:tc>
              <w:tc>
                <w:tcPr>
                  <w:tcW w:w="454" w:type="dxa"/>
                  <w:vAlign w:val="center"/>
                </w:tcPr>
                <w:p w14:paraId="2C4F74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符合性</w:t>
                  </w:r>
                </w:p>
              </w:tc>
            </w:tr>
            <w:tr w14:paraId="523C9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0" w:type="auto"/>
                  <w:vAlign w:val="center"/>
                </w:tcPr>
                <w:p w14:paraId="55E6D40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污染环境防治责任制度</w:t>
                  </w:r>
                </w:p>
              </w:tc>
              <w:tc>
                <w:tcPr>
                  <w:tcW w:w="0" w:type="auto"/>
                  <w:vAlign w:val="center"/>
                </w:tcPr>
                <w:p w14:paraId="18F7F3B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产废单位不得擅自倾倒、对方、丢弃、遗撒一般工业固体废物</w:t>
                  </w:r>
                </w:p>
              </w:tc>
              <w:tc>
                <w:tcPr>
                  <w:tcW w:w="0" w:type="auto"/>
                  <w:vMerge w:val="restart"/>
                  <w:vAlign w:val="center"/>
                </w:tcPr>
                <w:p w14:paraId="6EC064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snapToGrid/>
                      <w:color w:val="000000" w:themeColor="text1"/>
                      <w:kern w:val="2"/>
                      <w:highlight w:val="none"/>
                      <w:lang w:eastAsia="zh-CN"/>
                      <w14:textFill>
                        <w14:solidFill>
                          <w14:schemeClr w14:val="tx1"/>
                        </w14:solidFill>
                      </w14:textFill>
                    </w:rPr>
                    <w:t>本项目废弃钻井泥浆及岩屑采取“泥浆不落地”工艺，勘探、开发过程产生的落地原油回收率达到100%。</w:t>
                  </w:r>
                  <w:r>
                    <w:rPr>
                      <w:rFonts w:hint="default" w:ascii="Times New Roman" w:hAnsi="Times New Roman" w:eastAsia="宋体" w:cs="Times New Roman"/>
                      <w:snapToGrid/>
                      <w:color w:val="000000" w:themeColor="text1"/>
                      <w:kern w:val="2"/>
                      <w:lang w:eastAsia="zh-CN"/>
                      <w14:textFill>
                        <w14:solidFill>
                          <w14:schemeClr w14:val="tx1"/>
                        </w14:solidFill>
                      </w14:textFill>
                    </w:rPr>
                    <w:t>废弃水基钻井泥浆及岩屑，经“泥浆不落地”设备处理后，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由建设单位负责监管，及时联系并委托具有相应环保处理能力的第三方单位。物料在井场暂存期间均处于密闭储罐内，随后由第三方单位采用密封车辆外运至其处理基地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后续的检测、资源化利用或最终处置均由第三方单位依法依规在场外实施</w:t>
                  </w:r>
                  <w:r>
                    <w:rPr>
                      <w:rFonts w:ascii="Times New Roman" w:hAnsi="Times New Roman" w:eastAsia="宋体" w:cs="Times New Roman"/>
                      <w:snapToGrid/>
                      <w:color w:val="000000" w:themeColor="text1"/>
                      <w:kern w:val="2"/>
                      <w:highlight w:val="none"/>
                      <w:lang w:eastAsia="zh-CN"/>
                      <w14:textFill>
                        <w14:solidFill>
                          <w14:schemeClr w14:val="tx1"/>
                        </w14:solidFill>
                      </w14:textFill>
                    </w:rPr>
                    <w:t>；废弃油基钻井泥浆等危险废物，按照国家有关规定制定危险废物管理计划，建立危险废物管理台账，委托有相应资质的单位无害化处置。</w:t>
                  </w:r>
                </w:p>
              </w:tc>
              <w:tc>
                <w:tcPr>
                  <w:tcW w:w="454" w:type="dxa"/>
                  <w:vAlign w:val="center"/>
                </w:tcPr>
                <w:p w14:paraId="6BDE05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2336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0" w:type="auto"/>
                  <w:vMerge w:val="restart"/>
                  <w:vAlign w:val="center"/>
                </w:tcPr>
                <w:p w14:paraId="130866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环境影响评价制度</w:t>
                  </w:r>
                </w:p>
              </w:tc>
              <w:tc>
                <w:tcPr>
                  <w:tcW w:w="0" w:type="auto"/>
                  <w:vAlign w:val="center"/>
                </w:tcPr>
                <w:p w14:paraId="6F82C343">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产废单位编制项目环境影响报告书、报告表时，应明确一般工业固体废物的产生环节、种类、名称、物理形状、年度产生量、贮存方式、利用处置方法和去向、利用或处置量、环境管理要求。</w:t>
                  </w:r>
                </w:p>
              </w:tc>
              <w:tc>
                <w:tcPr>
                  <w:tcW w:w="0" w:type="auto"/>
                  <w:vMerge w:val="continue"/>
                  <w:vAlign w:val="center"/>
                </w:tcPr>
                <w:p w14:paraId="3BAFD0B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454" w:type="dxa"/>
                  <w:vAlign w:val="center"/>
                </w:tcPr>
                <w:p w14:paraId="41360BD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3F45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0" w:type="auto"/>
                  <w:vMerge w:val="continue"/>
                  <w:vAlign w:val="center"/>
                </w:tcPr>
                <w:p w14:paraId="6E48B1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p>
              </w:tc>
              <w:tc>
                <w:tcPr>
                  <w:tcW w:w="0" w:type="auto"/>
                  <w:vAlign w:val="center"/>
                </w:tcPr>
                <w:p w14:paraId="4F8323DA">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拟配套建设一般工业固体废物贮存、利用、处置设施的建设项目，应当在环境影响后评价文件中明确设施建设和运行的环境保护要求，用于指导建设项目的初步设计和施工，并依法完成设施验收。</w:t>
                  </w:r>
                </w:p>
              </w:tc>
              <w:tc>
                <w:tcPr>
                  <w:tcW w:w="0" w:type="auto"/>
                  <w:vMerge w:val="continue"/>
                  <w:vAlign w:val="center"/>
                </w:tcPr>
                <w:p w14:paraId="16E23A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454" w:type="dxa"/>
                  <w:vAlign w:val="center"/>
                </w:tcPr>
                <w:p w14:paraId="56D9F42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0CEE6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0" w:type="auto"/>
                  <w:vAlign w:val="center"/>
                </w:tcPr>
                <w:p w14:paraId="6DA88E4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管理台账制度</w:t>
                  </w:r>
                </w:p>
              </w:tc>
              <w:tc>
                <w:tcPr>
                  <w:tcW w:w="0" w:type="auto"/>
                  <w:vAlign w:val="center"/>
                </w:tcPr>
                <w:p w14:paraId="11C6ECC1">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产废单位应按照《一般工业固体废物管理台账制定指南（试行）》和排污许可证固定，建立管理台账，全面、准确地记录一般工业固体废物的种类、数量、流向、贮存、利用、处置等信息。</w:t>
                  </w:r>
                </w:p>
              </w:tc>
              <w:tc>
                <w:tcPr>
                  <w:tcW w:w="0" w:type="auto"/>
                  <w:vAlign w:val="center"/>
                </w:tcPr>
                <w:p w14:paraId="53EF9D2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本项目运行中按照《一般工业固体废物管理台账制定指南（试行）》和排污许可证固定，建立管理台账，全面、准确地记录一般工业固体废物的种类、数量、流向、贮存、利用、处置等信息。</w:t>
                  </w:r>
                </w:p>
              </w:tc>
              <w:tc>
                <w:tcPr>
                  <w:tcW w:w="454" w:type="dxa"/>
                  <w:vAlign w:val="center"/>
                </w:tcPr>
                <w:p w14:paraId="488E3C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符合</w:t>
                  </w:r>
                </w:p>
              </w:tc>
            </w:tr>
            <w:tr w14:paraId="4D46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0" w:type="auto"/>
                  <w:vAlign w:val="center"/>
                </w:tcPr>
                <w:p w14:paraId="7279B8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设施管理</w:t>
                  </w:r>
                </w:p>
              </w:tc>
              <w:tc>
                <w:tcPr>
                  <w:tcW w:w="0" w:type="auto"/>
                  <w:vAlign w:val="center"/>
                </w:tcPr>
                <w:p w14:paraId="2B369224">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定期对厂区内收集、贮存、利用、处置等设施、设备和场所进行检查维护，保证其正常运行和使用。</w:t>
                  </w:r>
                </w:p>
              </w:tc>
              <w:tc>
                <w:tcPr>
                  <w:tcW w:w="0" w:type="auto"/>
                  <w:vAlign w:val="center"/>
                </w:tcPr>
                <w:p w14:paraId="691F9D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环评要求本项目运行中定期对厂区内收集、贮存、设施、设备和场所进行检查维护，保证其正常运行和使用。</w:t>
                  </w:r>
                </w:p>
              </w:tc>
              <w:tc>
                <w:tcPr>
                  <w:tcW w:w="454" w:type="dxa"/>
                  <w:vAlign w:val="center"/>
                </w:tcPr>
                <w:p w14:paraId="0DA518B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符合</w:t>
                  </w:r>
                </w:p>
              </w:tc>
            </w:tr>
          </w:tbl>
          <w:p w14:paraId="1E20227A">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.与《</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石油天然气开采业固体废物污染控制技术规范（试行）</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HJ1461-2026</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）符合性分析</w:t>
            </w:r>
          </w:p>
          <w:p w14:paraId="6FA6412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本项目施工过程中带罐作业，落地油100%回收。废弃钻井泥浆及岩屑采取“泥浆不落地”工艺，勘探、开发过程产生的落地原油回收率达到100%。</w:t>
            </w:r>
            <w:r>
              <w:rPr>
                <w:rFonts w:hint="default" w:ascii="Times New Roman" w:hAnsi="Times New Roman" w:eastAsia="宋体" w:cs="Times New Roman"/>
                <w:snapToGrid/>
                <w:color w:val="000000" w:themeColor="text1"/>
                <w:kern w:val="2"/>
                <w:sz w:val="24"/>
                <w:szCs w:val="24"/>
                <w:lang w:eastAsia="zh-CN"/>
                <w14:textFill>
                  <w14:solidFill>
                    <w14:schemeClr w14:val="tx1"/>
                  </w14:solidFill>
                </w14:textFill>
              </w:rPr>
              <w:t>废弃水基钻井泥浆及岩屑，经“泥浆不落地”设备处理后，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由建设单位负责监管，及时联系并委托具有相应环保处理能力的第三方单位。物料在井场暂存期间均处于密闭储罐内，随后由第三方单位采用密封车辆外运至其处理基地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后续的检测、资源化利用或最终处置均由第三方单位依法依规在场外实施</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；废弃油基钻井泥浆等危险废物，按照国家有关规定制定危险废物管理计划，建立危险废物管理台账，委托有相应资质的单位无害化处置。固体废物无害化处置率达到100%。</w:t>
            </w:r>
          </w:p>
          <w:p w14:paraId="3F6A4BC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施工过程中产生的沾油废防渗材料、设备检修与维护过程中产生的废润滑油及废润滑油桶均属于危险废物，沾油废防渗材料、废润滑油和废润滑油桶分区暂存在井场设置的危险废物贮存库，定期由具有相应危险废物处置资质的单位进行接收、转运和处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4F1A61B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本项目施工过程中产生的各项固体废物均妥善处置，处置方式满足《石油天然气开采业固体废物污染控制技术规范（试行）》（HJ1461-2026）中相关要求。</w:t>
            </w:r>
          </w:p>
          <w:p w14:paraId="37716057">
            <w:pPr>
              <w:widowControl w:val="0"/>
              <w:jc w:val="both"/>
              <w:rPr>
                <w:rFonts w:ascii="Times New Roman" w:hAnsi="Times New Roman" w:eastAsia="宋体" w:cs="Times New Roman"/>
                <w:b/>
                <w:bCs/>
                <w:color w:val="000000" w:themeColor="text1"/>
                <w:highlight w:val="none"/>
                <w:lang w:eastAsia="zh-CN"/>
                <w14:textFill>
                  <w14:solidFill>
                    <w14:schemeClr w14:val="tx1"/>
                  </w14:solidFill>
                </w14:textFill>
              </w:rPr>
            </w:pPr>
          </w:p>
          <w:p w14:paraId="7BA79033">
            <w:pPr>
              <w:pStyle w:val="4"/>
              <w:widowControl w:val="0"/>
              <w:jc w:val="both"/>
              <w:rPr>
                <w:rFonts w:ascii="Times New Roman" w:hAnsi="Times New Roman" w:eastAsia="宋体" w:cs="Times New Roman"/>
                <w:b/>
                <w:bCs/>
                <w:color w:val="000000" w:themeColor="text1"/>
                <w:highlight w:val="none"/>
                <w:lang w:eastAsia="zh-CN"/>
                <w14:textFill>
                  <w14:solidFill>
                    <w14:schemeClr w14:val="tx1"/>
                  </w14:solidFill>
                </w14:textFill>
              </w:rPr>
            </w:pPr>
          </w:p>
          <w:p w14:paraId="5701D833">
            <w:pPr>
              <w:widowControl w:val="0"/>
              <w:jc w:val="both"/>
              <w:rPr>
                <w:color w:val="000000" w:themeColor="text1"/>
                <w:lang w:eastAsia="zh-CN"/>
                <w14:textFill>
                  <w14:solidFill>
                    <w14:schemeClr w14:val="tx1"/>
                  </w14:solidFill>
                </w14:textFill>
              </w:rPr>
            </w:pPr>
          </w:p>
          <w:p w14:paraId="1C9F4AF0">
            <w:pPr>
              <w:widowControl w:val="0"/>
              <w:kinsoku/>
              <w:spacing w:line="360" w:lineRule="auto"/>
              <w:jc w:val="both"/>
              <w:rPr>
                <w:rFonts w:ascii="Times New Roman" w:hAnsi="Times New Roman" w:eastAsia="宋体" w:cs="Times New Roman"/>
                <w:color w:val="000000" w:themeColor="text1"/>
                <w:sz w:val="24"/>
                <w:szCs w:val="24"/>
                <w:highlight w:val="none"/>
                <w14:textFill>
                  <w14:solidFill>
                    <w14:schemeClr w14:val="tx1"/>
                  </w14:solidFill>
                </w14:textFill>
              </w:rPr>
            </w:pPr>
          </w:p>
        </w:tc>
      </w:tr>
    </w:tbl>
    <w:p w14:paraId="01B9D9C8">
      <w:pPr>
        <w:kinsoku/>
        <w:spacing w:line="219" w:lineRule="auto"/>
        <w:rPr>
          <w:rFonts w:ascii="Times New Roman" w:hAnsi="Times New Roman" w:eastAsia="宋体" w:cs="Times New Roman"/>
          <w:color w:val="000000" w:themeColor="text1"/>
          <w:sz w:val="24"/>
          <w:szCs w:val="24"/>
          <w:highlight w:val="none"/>
          <w14:textFill>
            <w14:solidFill>
              <w14:schemeClr w14:val="tx1"/>
            </w14:solidFill>
          </w14:textFill>
        </w:rPr>
      </w:pPr>
    </w:p>
    <w:p w14:paraId="51E483C1">
      <w:pPr>
        <w:kinsoku/>
        <w:rPr>
          <w:rFonts w:ascii="Times New Roman" w:hAnsi="Times New Roman" w:eastAsia="宋体" w:cs="Times New Roman"/>
          <w:b/>
          <w:bCs/>
          <w:color w:val="000000" w:themeColor="text1"/>
          <w:spacing w:val="4"/>
          <w:sz w:val="31"/>
          <w:szCs w:val="31"/>
          <w:highlight w:val="none"/>
          <w:lang w:eastAsia="zh-CN"/>
          <w14:textFill>
            <w14:solidFill>
              <w14:schemeClr w14:val="tx1"/>
            </w14:solidFill>
          </w14:textFill>
        </w:rPr>
      </w:pPr>
      <w:r>
        <w:rPr>
          <w:rFonts w:ascii="Times New Roman" w:hAnsi="Times New Roman" w:eastAsia="宋体" w:cs="Times New Roman"/>
          <w:b/>
          <w:bCs/>
          <w:color w:val="000000" w:themeColor="text1"/>
          <w:spacing w:val="4"/>
          <w:sz w:val="31"/>
          <w:szCs w:val="31"/>
          <w:highlight w:val="none"/>
          <w:lang w:eastAsia="zh-CN"/>
          <w14:textFill>
            <w14:solidFill>
              <w14:schemeClr w14:val="tx1"/>
            </w14:solidFill>
          </w14:textFill>
        </w:rPr>
        <w:br w:type="page"/>
      </w:r>
    </w:p>
    <w:p w14:paraId="469F6280">
      <w:pPr>
        <w:kinsoku/>
        <w:spacing w:before="101" w:line="360" w:lineRule="auto"/>
        <w:jc w:val="center"/>
        <w:outlineLvl w:val="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pacing w:val="4"/>
          <w:sz w:val="31"/>
          <w:szCs w:val="31"/>
          <w:highlight w:val="none"/>
          <w:lang w:eastAsia="zh-CN"/>
          <w14:textFill>
            <w14:solidFill>
              <w14:schemeClr w14:val="tx1"/>
            </w14:solidFill>
          </w14:textFill>
        </w:rPr>
        <w:t>二、</w:t>
      </w:r>
      <w:r>
        <w:rPr>
          <w:rFonts w:ascii="Times New Roman" w:hAnsi="Times New Roman" w:eastAsia="宋体" w:cs="Times New Roman"/>
          <w:b/>
          <w:bCs/>
          <w:color w:val="000000" w:themeColor="text1"/>
          <w:spacing w:val="4"/>
          <w:sz w:val="31"/>
          <w:szCs w:val="31"/>
          <w:highlight w:val="none"/>
          <w14:textFill>
            <w14:solidFill>
              <w14:schemeClr w14:val="tx1"/>
            </w14:solidFill>
          </w14:textFill>
        </w:rPr>
        <w:t>建设内容</w:t>
      </w:r>
    </w:p>
    <w:tbl>
      <w:tblPr>
        <w:tblStyle w:val="17"/>
        <w:tblW w:w="90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387"/>
      </w:tblGrid>
      <w:tr w14:paraId="301F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6B929BB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地理位置</w:t>
            </w:r>
          </w:p>
        </w:tc>
        <w:tc>
          <w:tcPr>
            <w:tcW w:w="8387" w:type="dxa"/>
          </w:tcPr>
          <w:p w14:paraId="726DC0A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本项目行政隶属于昌吉回族自治州</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吉木萨尔县</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。项目井口坐标见表2-1，项目地理位置图见附图2，项目钻试场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周边状况</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图见附图3</w:t>
            </w:r>
            <w:r>
              <w:rPr>
                <w:rFonts w:ascii="Times New Roman" w:hAnsi="Times New Roman" w:eastAsia="宋体" w:cs="Times New Roman"/>
                <w:color w:val="000000" w:themeColor="text1"/>
                <w:spacing w:val="-3"/>
                <w:sz w:val="24"/>
                <w:szCs w:val="24"/>
                <w:highlight w:val="none"/>
                <w:lang w:eastAsia="zh-CN"/>
                <w14:textFill>
                  <w14:solidFill>
                    <w14:schemeClr w14:val="tx1"/>
                  </w14:solidFill>
                </w14:textFill>
              </w:rPr>
              <w:t>。</w:t>
            </w:r>
          </w:p>
          <w:p w14:paraId="7784D7F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 xml:space="preserve">表2-1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highlight w:val="none"/>
                <w:lang w:eastAsia="zh-CN"/>
                <w14:textFill>
                  <w14:solidFill>
                    <w14:schemeClr w14:val="tx1"/>
                  </w14:solidFill>
                </w14:textFill>
              </w:rPr>
              <w:t>井位坐标及位置一览表</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9"/>
              <w:gridCol w:w="1443"/>
              <w:gridCol w:w="1691"/>
              <w:gridCol w:w="1678"/>
              <w:gridCol w:w="1710"/>
            </w:tblGrid>
            <w:tr w14:paraId="2BF0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004" w:type="pct"/>
                  <w:vMerge w:val="restart"/>
                  <w:vAlign w:val="center"/>
                </w:tcPr>
                <w:p w14:paraId="3E5D8D46">
                  <w:pPr>
                    <w:keepNext w:val="0"/>
                    <w:keepLines w:val="0"/>
                    <w:pageBreakBefore w:val="0"/>
                    <w:kinsoku/>
                    <w:wordWrap/>
                    <w:overflowPunct/>
                    <w:topLinePunct w:val="0"/>
                    <w:autoSpaceDE w:val="0"/>
                    <w:autoSpaceDN w:val="0"/>
                    <w:bidi w:val="0"/>
                    <w:adjustRightInd w:val="0"/>
                    <w:snapToGrid w:val="0"/>
                    <w:jc w:val="center"/>
                    <w:textAlignment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井号</w:t>
                  </w:r>
                </w:p>
              </w:tc>
              <w:tc>
                <w:tcPr>
                  <w:tcW w:w="3995" w:type="pct"/>
                  <w:gridSpan w:val="4"/>
                  <w:vAlign w:val="center"/>
                </w:tcPr>
                <w:p w14:paraId="260183FB">
                  <w:pPr>
                    <w:keepNext w:val="0"/>
                    <w:keepLines w:val="0"/>
                    <w:pageBreakBefore w:val="0"/>
                    <w:kinsoku/>
                    <w:wordWrap/>
                    <w:overflowPunct/>
                    <w:topLinePunct w:val="0"/>
                    <w:autoSpaceDE w:val="0"/>
                    <w:autoSpaceDN w:val="0"/>
                    <w:bidi w:val="0"/>
                    <w:adjustRightInd w:val="0"/>
                    <w:snapToGrid w:val="0"/>
                    <w:jc w:val="center"/>
                    <w:textAlignment w:val="center"/>
                    <w:rPr>
                      <w:rFonts w:ascii="Times New Roman" w:hAnsi="Times New Roman" w:eastAsia="宋体" w:cs="Times New Roman"/>
                      <w:b/>
                      <w:bCs/>
                      <w:color w:val="000000" w:themeColor="text1"/>
                      <w:highlight w:val="none"/>
                      <w:lang w:eastAsia="zh-CN" w:bidi="ar"/>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井位坐标</w:t>
                  </w:r>
                </w:p>
              </w:tc>
            </w:tr>
            <w:tr w14:paraId="7572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4" w:type="pct"/>
                  <w:vMerge w:val="continue"/>
                  <w:vAlign w:val="center"/>
                </w:tcPr>
                <w:p w14:paraId="54E693B1">
                  <w:pPr>
                    <w:keepNext w:val="0"/>
                    <w:keepLines w:val="0"/>
                    <w:pageBreakBefore w:val="0"/>
                    <w:kinsoku/>
                    <w:wordWrap/>
                    <w:overflowPunct/>
                    <w:topLinePunct w:val="0"/>
                    <w:autoSpaceDE w:val="0"/>
                    <w:autoSpaceDN w:val="0"/>
                    <w:bidi w:val="0"/>
                    <w:adjustRightInd w:val="0"/>
                    <w:snapToGrid w:val="0"/>
                    <w:jc w:val="center"/>
                    <w:rPr>
                      <w:rFonts w:ascii="Times New Roman" w:hAnsi="Times New Roman" w:eastAsia="宋体" w:cs="Times New Roman"/>
                      <w:b/>
                      <w:bCs/>
                      <w:color w:val="000000" w:themeColor="text1"/>
                      <w:highlight w:val="none"/>
                      <w14:textFill>
                        <w14:solidFill>
                          <w14:schemeClr w14:val="tx1"/>
                        </w14:solidFill>
                      </w14:textFill>
                    </w:rPr>
                  </w:pPr>
                </w:p>
              </w:tc>
              <w:tc>
                <w:tcPr>
                  <w:tcW w:w="884" w:type="pct"/>
                  <w:vAlign w:val="center"/>
                </w:tcPr>
                <w:p w14:paraId="2CBCE184">
                  <w:pPr>
                    <w:keepNext w:val="0"/>
                    <w:keepLines w:val="0"/>
                    <w:pageBreakBefore w:val="0"/>
                    <w:kinsoku/>
                    <w:wordWrap/>
                    <w:overflowPunct/>
                    <w:topLinePunct w:val="0"/>
                    <w:autoSpaceDE w:val="0"/>
                    <w:autoSpaceDN w:val="0"/>
                    <w:bidi w:val="0"/>
                    <w:adjustRightInd w:val="0"/>
                    <w:snapToGrid w:val="0"/>
                    <w:jc w:val="center"/>
                    <w:textAlignment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X</w:t>
                  </w:r>
                </w:p>
              </w:tc>
              <w:tc>
                <w:tcPr>
                  <w:tcW w:w="1036" w:type="pct"/>
                  <w:vAlign w:val="center"/>
                </w:tcPr>
                <w:p w14:paraId="6524543A">
                  <w:pPr>
                    <w:keepNext w:val="0"/>
                    <w:keepLines w:val="0"/>
                    <w:pageBreakBefore w:val="0"/>
                    <w:kinsoku/>
                    <w:wordWrap/>
                    <w:overflowPunct/>
                    <w:topLinePunct w:val="0"/>
                    <w:autoSpaceDE w:val="0"/>
                    <w:autoSpaceDN w:val="0"/>
                    <w:bidi w:val="0"/>
                    <w:adjustRightInd w:val="0"/>
                    <w:snapToGrid w:val="0"/>
                    <w:jc w:val="center"/>
                    <w:textAlignment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Y</w:t>
                  </w:r>
                </w:p>
              </w:tc>
              <w:tc>
                <w:tcPr>
                  <w:tcW w:w="1028" w:type="pct"/>
                  <w:vAlign w:val="center"/>
                </w:tcPr>
                <w:p w14:paraId="3DC015A7">
                  <w:pPr>
                    <w:keepNext w:val="0"/>
                    <w:keepLines w:val="0"/>
                    <w:pageBreakBefore w:val="0"/>
                    <w:kinsoku/>
                    <w:wordWrap/>
                    <w:overflowPunct/>
                    <w:topLinePunct w:val="0"/>
                    <w:autoSpaceDE w:val="0"/>
                    <w:autoSpaceDN w:val="0"/>
                    <w:bidi w:val="0"/>
                    <w:adjustRightInd w:val="0"/>
                    <w:snapToGrid w:val="0"/>
                    <w:jc w:val="center"/>
                    <w:textAlignment w:val="center"/>
                    <w:rPr>
                      <w:rFonts w:ascii="Times New Roman" w:hAnsi="Times New Roman" w:eastAsia="宋体" w:cs="Times New Roman"/>
                      <w:b/>
                      <w:bCs/>
                      <w:color w:val="000000" w:themeColor="text1"/>
                      <w:highlight w:val="none"/>
                      <w:lang w:eastAsia="zh-CN" w:bidi="ar"/>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经度（E）</w:t>
                  </w:r>
                </w:p>
              </w:tc>
              <w:tc>
                <w:tcPr>
                  <w:tcW w:w="1046" w:type="pct"/>
                  <w:vAlign w:val="center"/>
                </w:tcPr>
                <w:p w14:paraId="0D0B86AE">
                  <w:pPr>
                    <w:keepNext w:val="0"/>
                    <w:keepLines w:val="0"/>
                    <w:pageBreakBefore w:val="0"/>
                    <w:kinsoku/>
                    <w:wordWrap/>
                    <w:overflowPunct/>
                    <w:topLinePunct w:val="0"/>
                    <w:autoSpaceDE w:val="0"/>
                    <w:autoSpaceDN w:val="0"/>
                    <w:bidi w:val="0"/>
                    <w:adjustRightInd w:val="0"/>
                    <w:snapToGrid w:val="0"/>
                    <w:jc w:val="center"/>
                    <w:textAlignment w:val="center"/>
                    <w:rPr>
                      <w:rFonts w:ascii="Times New Roman" w:hAnsi="Times New Roman" w:eastAsia="宋体" w:cs="Times New Roman"/>
                      <w:b/>
                      <w:bCs/>
                      <w:color w:val="000000" w:themeColor="text1"/>
                      <w:highlight w:val="none"/>
                      <w:lang w:eastAsia="zh-CN" w:bidi="ar"/>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纬度（N）</w:t>
                  </w:r>
                </w:p>
              </w:tc>
            </w:tr>
            <w:tr w14:paraId="66A2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4" w:type="pct"/>
                  <w:vAlign w:val="center"/>
                </w:tcPr>
                <w:p w14:paraId="4E4BF121">
                  <w:pPr>
                    <w:keepNext w:val="0"/>
                    <w:keepLines w:val="0"/>
                    <w:pageBreakBefore w:val="0"/>
                    <w:kinsoku/>
                    <w:wordWrap/>
                    <w:overflowPunct/>
                    <w:topLinePunct w:val="0"/>
                    <w:autoSpaceDE w:val="0"/>
                    <w:autoSpaceDN w:val="0"/>
                    <w:bidi w:val="0"/>
                    <w:adjustRightInd w:val="0"/>
                    <w:snapToGrid w:val="0"/>
                    <w:jc w:val="center"/>
                    <w:textAlignment w:val="top"/>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吉</w:t>
                  </w:r>
                  <w:r>
                    <w:rPr>
                      <w:rFonts w:ascii="Times New Roman" w:hAnsi="Times New Roman" w:eastAsia="宋体" w:cs="Times New Roman"/>
                      <w:color w:val="000000" w:themeColor="text1"/>
                      <w:highlight w:val="none"/>
                      <w:lang w:eastAsia="zh-CN" w:bidi="ar"/>
                      <w14:textFill>
                        <w14:solidFill>
                          <w14:schemeClr w14:val="tx1"/>
                        </w14:solidFill>
                      </w14:textFill>
                    </w:rPr>
                    <w:t>阜</w:t>
                  </w: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1</w:t>
                  </w:r>
                  <w:r>
                    <w:rPr>
                      <w:rFonts w:ascii="Times New Roman" w:hAnsi="Times New Roman" w:eastAsia="宋体" w:cs="Times New Roman"/>
                      <w:color w:val="000000" w:themeColor="text1"/>
                      <w:highlight w:val="none"/>
                      <w:lang w:eastAsia="zh-CN" w:bidi="ar"/>
                      <w14:textFill>
                        <w14:solidFill>
                          <w14:schemeClr w14:val="tx1"/>
                        </w14:solidFill>
                      </w14:textFill>
                    </w:rPr>
                    <w:t>03H</w:t>
                  </w:r>
                </w:p>
              </w:tc>
              <w:tc>
                <w:tcPr>
                  <w:tcW w:w="884" w:type="pct"/>
                  <w:vAlign w:val="center"/>
                </w:tcPr>
                <w:p w14:paraId="526E645E">
                  <w:pPr>
                    <w:pStyle w:val="4"/>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pPr>
                  <w:r>
                    <w:rPr>
                      <w:rFonts w:hint="eastAsia"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t>4878379.09</w:t>
                  </w:r>
                </w:p>
              </w:tc>
              <w:tc>
                <w:tcPr>
                  <w:tcW w:w="1036" w:type="pct"/>
                  <w:vAlign w:val="center"/>
                </w:tcPr>
                <w:p w14:paraId="700D3AC5">
                  <w:pPr>
                    <w:pStyle w:val="4"/>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t>156</w:t>
                  </w:r>
                  <w:r>
                    <w:rPr>
                      <w:rFonts w:hint="eastAsia"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t>53578.32</w:t>
                  </w:r>
                </w:p>
              </w:tc>
              <w:tc>
                <w:tcPr>
                  <w:tcW w:w="1706" w:type="dxa"/>
                  <w:vAlign w:val="center"/>
                </w:tcPr>
                <w:p w14:paraId="4694827D">
                  <w:pPr>
                    <w:pStyle w:val="4"/>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88.915582397</w:t>
                  </w:r>
                </w:p>
              </w:tc>
              <w:tc>
                <w:tcPr>
                  <w:tcW w:w="1738" w:type="dxa"/>
                  <w:vAlign w:val="center"/>
                </w:tcPr>
                <w:p w14:paraId="4A5ED70B">
                  <w:pPr>
                    <w:pStyle w:val="4"/>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44.024928779</w:t>
                  </w:r>
                </w:p>
              </w:tc>
            </w:tr>
            <w:tr w14:paraId="7282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04" w:type="pct"/>
                  <w:vAlign w:val="center"/>
                </w:tcPr>
                <w:p w14:paraId="04B1DCF1">
                  <w:pPr>
                    <w:keepNext w:val="0"/>
                    <w:keepLines w:val="0"/>
                    <w:pageBreakBefore w:val="0"/>
                    <w:kinsoku/>
                    <w:wordWrap/>
                    <w:overflowPunct/>
                    <w:topLinePunct w:val="0"/>
                    <w:autoSpaceDE w:val="0"/>
                    <w:autoSpaceDN w:val="0"/>
                    <w:bidi w:val="0"/>
                    <w:adjustRightInd w:val="0"/>
                    <w:snapToGrid w:val="0"/>
                    <w:jc w:val="center"/>
                    <w:textAlignment w:val="top"/>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吉</w:t>
                  </w:r>
                  <w:r>
                    <w:rPr>
                      <w:rFonts w:ascii="Times New Roman" w:hAnsi="Times New Roman" w:eastAsia="宋体" w:cs="Times New Roman"/>
                      <w:color w:val="000000" w:themeColor="text1"/>
                      <w:highlight w:val="none"/>
                      <w:lang w:eastAsia="zh-CN" w:bidi="ar"/>
                      <w14:textFill>
                        <w14:solidFill>
                          <w14:schemeClr w14:val="tx1"/>
                        </w14:solidFill>
                      </w14:textFill>
                    </w:rPr>
                    <w:t>阜</w:t>
                  </w: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1001</w:t>
                  </w:r>
                  <w:r>
                    <w:rPr>
                      <w:rFonts w:ascii="Times New Roman" w:hAnsi="Times New Roman" w:eastAsia="宋体" w:cs="Times New Roman"/>
                      <w:color w:val="000000" w:themeColor="text1"/>
                      <w:highlight w:val="none"/>
                      <w:lang w:eastAsia="zh-CN" w:bidi="ar"/>
                      <w14:textFill>
                        <w14:solidFill>
                          <w14:schemeClr w14:val="tx1"/>
                        </w14:solidFill>
                      </w14:textFill>
                    </w:rPr>
                    <w:t>H</w:t>
                  </w:r>
                </w:p>
              </w:tc>
              <w:tc>
                <w:tcPr>
                  <w:tcW w:w="884" w:type="pct"/>
                  <w:vAlign w:val="center"/>
                </w:tcPr>
                <w:p w14:paraId="3675C053">
                  <w:pPr>
                    <w:pStyle w:val="4"/>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t>4876264.3</w:t>
                  </w:r>
                  <w:r>
                    <w:rPr>
                      <w:rFonts w:hint="eastAsia"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t>0</w:t>
                  </w:r>
                </w:p>
              </w:tc>
              <w:tc>
                <w:tcPr>
                  <w:tcW w:w="1036" w:type="pct"/>
                  <w:vAlign w:val="center"/>
                </w:tcPr>
                <w:p w14:paraId="5E600186">
                  <w:pPr>
                    <w:pStyle w:val="4"/>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Arial" w:cs="Times New Roman"/>
                      <w:snapToGrid w:val="0"/>
                      <w:color w:val="000000" w:themeColor="text1"/>
                      <w:kern w:val="0"/>
                      <w:sz w:val="21"/>
                      <w:szCs w:val="21"/>
                      <w:lang w:val="en-US" w:eastAsia="zh-CN" w:bidi="ar-SA"/>
                      <w14:textFill>
                        <w14:solidFill>
                          <w14:schemeClr w14:val="tx1"/>
                        </w14:solidFill>
                      </w14:textFill>
                    </w:rPr>
                    <w:t>15654106.23</w:t>
                  </w:r>
                </w:p>
              </w:tc>
              <w:tc>
                <w:tcPr>
                  <w:tcW w:w="1706" w:type="dxa"/>
                  <w:vAlign w:val="center"/>
                </w:tcPr>
                <w:p w14:paraId="24275590">
                  <w:pPr>
                    <w:pStyle w:val="4"/>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88.921548775</w:t>
                  </w:r>
                </w:p>
              </w:tc>
              <w:tc>
                <w:tcPr>
                  <w:tcW w:w="1738" w:type="dxa"/>
                  <w:vAlign w:val="center"/>
                </w:tcPr>
                <w:p w14:paraId="140A2DA9">
                  <w:pPr>
                    <w:pStyle w:val="4"/>
                    <w:keepNext w:val="0"/>
                    <w:keepLines w:val="0"/>
                    <w:pageBreakBefore w:val="0"/>
                    <w:widowControl w:val="0"/>
                    <w:kinsoku w:val="0"/>
                    <w:wordWrap/>
                    <w:overflowPunct/>
                    <w:topLinePunct w:val="0"/>
                    <w:autoSpaceDE w:val="0"/>
                    <w:autoSpaceDN w:val="0"/>
                    <w:bidi w:val="0"/>
                    <w:adjustRightInd w:val="0"/>
                    <w:snapToGrid w:val="0"/>
                    <w:spacing w:line="240" w:lineRule="auto"/>
                    <w:ind w:left="0" w:leftChars="0" w:right="0" w:rightChars="0" w:firstLine="0" w:firstLineChars="0"/>
                    <w:jc w:val="center"/>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44.005796086</w:t>
                  </w:r>
                </w:p>
              </w:tc>
            </w:tr>
          </w:tbl>
          <w:p w14:paraId="6F071361">
            <w:pPr>
              <w:pStyle w:val="4"/>
              <w:widowControl w:val="0"/>
              <w:kinsoku/>
              <w:ind w:firstLine="0" w:firstLineChars="0"/>
              <w:jc w:val="both"/>
              <w:rPr>
                <w:rFonts w:ascii="Times New Roman" w:hAnsi="Times New Roman" w:cs="Times New Roman"/>
                <w:color w:val="000000" w:themeColor="text1"/>
                <w:highlight w:val="none"/>
                <w14:textFill>
                  <w14:solidFill>
                    <w14:schemeClr w14:val="tx1"/>
                  </w14:solidFill>
                </w14:textFill>
              </w:rPr>
            </w:pPr>
          </w:p>
        </w:tc>
      </w:tr>
      <w:tr w14:paraId="68A8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45FDECCD">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2" w:name="OLE_LINK38"/>
            <w:bookmarkStart w:id="3" w:name="_Hlk136793942"/>
            <w:r>
              <w:rPr>
                <w:rFonts w:hint="default" w:ascii="Times New Roman" w:hAnsi="Times New Roman" w:eastAsia="宋体" w:cs="Times New Roman"/>
                <w:color w:val="000000" w:themeColor="text1"/>
                <w:sz w:val="24"/>
                <w:szCs w:val="24"/>
                <w:highlight w:val="none"/>
                <w14:textFill>
                  <w14:solidFill>
                    <w14:schemeClr w14:val="tx1"/>
                  </w14:solidFill>
                </w14:textFill>
              </w:rPr>
              <w:t>项目组成及规模</w:t>
            </w:r>
            <w:bookmarkEnd w:id="2"/>
          </w:p>
        </w:tc>
        <w:tc>
          <w:tcPr>
            <w:tcW w:w="8387" w:type="dxa"/>
            <w:tcBorders>
              <w:bottom w:val="single" w:color="auto" w:sz="4" w:space="0"/>
            </w:tcBorders>
          </w:tcPr>
          <w:p w14:paraId="397257E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1.项目概况</w:t>
            </w:r>
          </w:p>
          <w:p w14:paraId="72A3142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项目名称：准噶尔盆地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吉康油田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吉阜103H、吉阜1001H</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井钻试工程项目</w:t>
            </w:r>
          </w:p>
          <w:p w14:paraId="754A0BB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建设单位：中国石油天然气股份有限公司吐哈油田分公司准东采油管理区</w:t>
            </w:r>
          </w:p>
          <w:p w14:paraId="34AF5D3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建设地点：新疆昌吉回族自治州</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吉木萨尔县三台镇</w:t>
            </w:r>
            <w:r>
              <w:rPr>
                <w:rFonts w:hint="eastAsia" w:ascii="Times New Roman" w:hAnsi="Times New Roman" w:cs="Times New Roman"/>
                <w:color w:val="000000" w:themeColor="text1"/>
                <w:spacing w:val="6"/>
                <w:sz w:val="24"/>
                <w:szCs w:val="24"/>
                <w:highlight w:val="none"/>
                <w:lang w:val="en-US" w:eastAsia="zh-CN"/>
                <w14:textFill>
                  <w14:solidFill>
                    <w14:schemeClr w14:val="tx1"/>
                  </w14:solidFill>
                </w14:textFill>
              </w:rPr>
              <w:t>羌塔寺村（</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吉阜103H井</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位于村东北侧方位、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吉阜1001H井</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位于村东侧方位</w:t>
            </w:r>
            <w:r>
              <w:rPr>
                <w:rFonts w:hint="eastAsia" w:ascii="Times New Roman" w:hAnsi="Times New Roman" w:cs="Times New Roman"/>
                <w:color w:val="000000" w:themeColor="text1"/>
                <w:spacing w:val="6"/>
                <w:sz w:val="24"/>
                <w:szCs w:val="24"/>
                <w:highlight w:val="none"/>
                <w:lang w:val="en-US" w:eastAsia="zh-CN"/>
                <w14:textFill>
                  <w14:solidFill>
                    <w14:schemeClr w14:val="tx1"/>
                  </w14:solidFill>
                </w14:textFill>
              </w:rPr>
              <w:t>）</w:t>
            </w:r>
          </w:p>
          <w:p w14:paraId="4696FD3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建设性质：新建</w:t>
            </w:r>
          </w:p>
          <w:p w14:paraId="297BF2D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工程投资及环保投资：项目总投资38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65.5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万元，其中环保投资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万元，占工程总投资的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6.34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3207BED">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2.建设内容及规模</w:t>
            </w:r>
          </w:p>
          <w:p w14:paraId="603EE7B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工程建设内容为新钻2口评价井，完井后进行试油，获取有关技术参数。项目主要建设内容包括钻前工程、钻井工程、试油工程。项目环评仅适用于工程钻试期，钻试结束后即封井或转为开发井。纳入区块产能开发工程中的，须另行组织区块及运营期环境影响评价。</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本项目工程组成详见表2-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Start w:id="4" w:name="OLE_LINK39"/>
          </w:p>
          <w:p w14:paraId="684B8522">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w:t>
            </w: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2-2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14:textFill>
                  <w14:solidFill>
                    <w14:schemeClr w14:val="tx1"/>
                  </w14:solidFill>
                </w14:textFill>
              </w:rPr>
              <w:t>工程组成一览表</w:t>
            </w:r>
          </w:p>
          <w:bookmarkEnd w:id="4"/>
          <w:tbl>
            <w:tblPr>
              <w:tblStyle w:val="16"/>
              <w:tblW w:w="821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7" w:type="dxa"/>
                <w:bottom w:w="0" w:type="dxa"/>
                <w:right w:w="57" w:type="dxa"/>
              </w:tblCellMar>
            </w:tblPr>
            <w:tblGrid>
              <w:gridCol w:w="669"/>
              <w:gridCol w:w="340"/>
              <w:gridCol w:w="769"/>
              <w:gridCol w:w="6441"/>
            </w:tblGrid>
            <w:tr w14:paraId="49C050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tblHeader/>
                <w:jc w:val="center"/>
              </w:trPr>
              <w:tc>
                <w:tcPr>
                  <w:tcW w:w="669" w:type="dxa"/>
                  <w:tcBorders>
                    <w:bottom w:val="single" w:color="auto" w:sz="4" w:space="0"/>
                    <w:right w:val="single" w:color="auto" w:sz="4" w:space="0"/>
                  </w:tcBorders>
                  <w:vAlign w:val="center"/>
                </w:tcPr>
                <w:p w14:paraId="343F51A7">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highlight w:val="none"/>
                      <w14:textFill>
                        <w14:solidFill>
                          <w14:schemeClr w14:val="tx1"/>
                        </w14:solidFill>
                      </w14:textFill>
                    </w:rPr>
                  </w:pPr>
                  <w:bookmarkStart w:id="5" w:name="OLE_LINK54"/>
                  <w:bookmarkStart w:id="6" w:name="_Ref19637151"/>
                  <w:bookmarkStart w:id="7" w:name="_Hlk176172371"/>
                  <w:r>
                    <w:rPr>
                      <w:rFonts w:hint="default" w:ascii="Times New Roman" w:hAnsi="Times New Roman" w:eastAsia="宋体" w:cs="Times New Roman"/>
                      <w:b/>
                      <w:bCs/>
                      <w:color w:val="000000" w:themeColor="text1"/>
                      <w:highlight w:val="none"/>
                      <w14:textFill>
                        <w14:solidFill>
                          <w14:schemeClr w14:val="tx1"/>
                        </w14:solidFill>
                      </w14:textFill>
                    </w:rPr>
                    <w:t>工程组成</w:t>
                  </w:r>
                </w:p>
              </w:tc>
              <w:tc>
                <w:tcPr>
                  <w:tcW w:w="7550" w:type="dxa"/>
                  <w:gridSpan w:val="3"/>
                  <w:tcBorders>
                    <w:left w:val="single" w:color="auto" w:sz="4" w:space="0"/>
                    <w:bottom w:val="single" w:color="auto" w:sz="4" w:space="0"/>
                  </w:tcBorders>
                  <w:vAlign w:val="center"/>
                </w:tcPr>
                <w:p w14:paraId="7C2C4782">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工程内容</w:t>
                  </w:r>
                </w:p>
              </w:tc>
            </w:tr>
            <w:tr w14:paraId="7250A5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restart"/>
                  <w:tcBorders>
                    <w:top w:val="single" w:color="auto" w:sz="4" w:space="0"/>
                    <w:bottom w:val="single" w:color="auto" w:sz="4" w:space="0"/>
                    <w:right w:val="single" w:color="auto" w:sz="4" w:space="0"/>
                  </w:tcBorders>
                  <w:vAlign w:val="center"/>
                </w:tcPr>
                <w:p w14:paraId="71D34AD7">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主体工程</w:t>
                  </w: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51EAFEA9">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钻前工程</w:t>
                  </w:r>
                </w:p>
              </w:tc>
              <w:tc>
                <w:tcPr>
                  <w:tcW w:w="6441" w:type="dxa"/>
                  <w:tcBorders>
                    <w:top w:val="single" w:color="auto" w:sz="4" w:space="0"/>
                    <w:left w:val="single" w:color="auto" w:sz="4" w:space="0"/>
                    <w:bottom w:val="single" w:color="auto" w:sz="4" w:space="0"/>
                  </w:tcBorders>
                  <w:vAlign w:val="center"/>
                </w:tcPr>
                <w:p w14:paraId="3F386A3E">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进行“三通一平”，修建钻井设备基础、场地平整及临时场区划分；生活营地搭建（将营地建设纳入钻前统筹规划）；钻机及其配套设备搬迁、安装等。</w:t>
                  </w:r>
                </w:p>
              </w:tc>
            </w:tr>
            <w:tr w14:paraId="665DC0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1AFCB01B">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bookmarkStart w:id="8" w:name="_Hlk186369386"/>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6AFCC383">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钻井工程</w:t>
                  </w:r>
                </w:p>
              </w:tc>
              <w:tc>
                <w:tcPr>
                  <w:tcW w:w="6441" w:type="dxa"/>
                  <w:tcBorders>
                    <w:top w:val="single" w:color="auto" w:sz="4" w:space="0"/>
                    <w:left w:val="single" w:color="auto" w:sz="4" w:space="0"/>
                    <w:bottom w:val="single" w:color="auto" w:sz="4" w:space="0"/>
                  </w:tcBorders>
                  <w:vAlign w:val="center"/>
                </w:tcPr>
                <w:p w14:paraId="7DE57245">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吉阜103H、吉阜1001H井</w:t>
                  </w:r>
                  <w:r>
                    <w:rPr>
                      <w:rFonts w:hint="default" w:ascii="Times New Roman" w:hAnsi="Times New Roman" w:eastAsia="宋体" w:cs="Times New Roman"/>
                      <w:color w:val="000000" w:themeColor="text1"/>
                      <w:sz w:val="21"/>
                      <w:szCs w:val="21"/>
                      <w14:textFill>
                        <w14:solidFill>
                          <w14:schemeClr w14:val="tx1"/>
                        </w14:solidFill>
                      </w14:textFill>
                    </w:rPr>
                    <w:t>均为预探井，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其中吉阜103H</w:t>
                  </w:r>
                  <w:r>
                    <w:rPr>
                      <w:rFonts w:hint="default" w:ascii="Times New Roman" w:hAnsi="Times New Roman" w:eastAsia="宋体" w:cs="Times New Roman"/>
                      <w:color w:val="000000" w:themeColor="text1"/>
                      <w:sz w:val="21"/>
                      <w:szCs w:val="21"/>
                      <w14:textFill>
                        <w14:solidFill>
                          <w14:schemeClr w14:val="tx1"/>
                        </w14:solidFill>
                      </w14:textFill>
                    </w:rPr>
                    <w:t>井型为直井，设计井深为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3980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钻井期为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14:textFill>
                        <w14:solidFill>
                          <w14:schemeClr w14:val="tx1"/>
                        </w14:solidFill>
                      </w14:textFill>
                    </w:rPr>
                    <w:t>0天</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吉阜1001H</w:t>
                  </w:r>
                  <w:r>
                    <w:rPr>
                      <w:rFonts w:hint="default" w:ascii="Times New Roman" w:hAnsi="Times New Roman" w:eastAsia="宋体" w:cs="Times New Roman"/>
                      <w:color w:val="000000" w:themeColor="text1"/>
                      <w:sz w:val="21"/>
                      <w:szCs w:val="21"/>
                      <w14:textFill>
                        <w14:solidFill>
                          <w14:schemeClr w14:val="tx1"/>
                        </w14:solidFill>
                      </w14:textFill>
                    </w:rPr>
                    <w:t>井型为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水平</w:t>
                  </w:r>
                  <w:r>
                    <w:rPr>
                      <w:rFonts w:hint="default" w:ascii="Times New Roman" w:hAnsi="Times New Roman" w:eastAsia="宋体" w:cs="Times New Roman"/>
                      <w:color w:val="000000" w:themeColor="text1"/>
                      <w:sz w:val="21"/>
                      <w:szCs w:val="21"/>
                      <w14:textFill>
                        <w14:solidFill>
                          <w14:schemeClr w14:val="tx1"/>
                        </w14:solidFill>
                      </w14:textFill>
                    </w:rPr>
                    <w:t>井，设计井深为</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248</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钻井期为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0天。</w:t>
                  </w:r>
                </w:p>
              </w:tc>
            </w:tr>
            <w:bookmarkEnd w:id="8"/>
            <w:tr w14:paraId="7D0770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35B546D9">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066BCDCC">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试油工程</w:t>
                  </w:r>
                </w:p>
              </w:tc>
              <w:tc>
                <w:tcPr>
                  <w:tcW w:w="6441" w:type="dxa"/>
                  <w:tcBorders>
                    <w:top w:val="single" w:color="auto" w:sz="4" w:space="0"/>
                    <w:left w:val="single" w:color="auto" w:sz="4" w:space="0"/>
                    <w:bottom w:val="single" w:color="auto" w:sz="4" w:space="0"/>
                  </w:tcBorders>
                  <w:vAlign w:val="center"/>
                </w:tcPr>
                <w:p w14:paraId="70C2D237">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主要包括试油准备、储层改造和试油，对完钻井进行通井、洗井、试压、射孔、诱喷、压裂、求产等工序，并配套洗井液注入泵等试油设备，记录油气产量；试油期为300天</w:t>
                  </w:r>
                </w:p>
              </w:tc>
            </w:tr>
            <w:tr w14:paraId="6C7F71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216B4E01">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2C9C39BB">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完井</w:t>
                  </w:r>
                  <w:r>
                    <w:rPr>
                      <w:rFonts w:hint="default" w:ascii="Times New Roman" w:hAnsi="Times New Roman" w:eastAsia="宋体" w:cs="Times New Roman"/>
                      <w:color w:val="000000" w:themeColor="text1"/>
                      <w:highlight w:val="none"/>
                      <w:lang w:eastAsia="zh-CN"/>
                      <w14:textFill>
                        <w14:solidFill>
                          <w14:schemeClr w14:val="tx1"/>
                        </w14:solidFill>
                      </w14:textFill>
                    </w:rPr>
                    <w:t>工程</w:t>
                  </w:r>
                </w:p>
              </w:tc>
              <w:tc>
                <w:tcPr>
                  <w:tcW w:w="6441" w:type="dxa"/>
                  <w:tcBorders>
                    <w:top w:val="single" w:color="auto" w:sz="4" w:space="0"/>
                    <w:left w:val="single" w:color="auto" w:sz="4" w:space="0"/>
                    <w:bottom w:val="single" w:color="auto" w:sz="4" w:space="0"/>
                  </w:tcBorders>
                  <w:vAlign w:val="center"/>
                </w:tcPr>
                <w:p w14:paraId="005F8BB6">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根据试油结果进行关井或封井作业，最后撤去所有生产设施，清理、平整井场及场地恢复</w:t>
                  </w:r>
                </w:p>
              </w:tc>
            </w:tr>
            <w:tr w14:paraId="482AC3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restart"/>
                  <w:tcBorders>
                    <w:top w:val="single" w:color="auto" w:sz="4" w:space="0"/>
                    <w:right w:val="single" w:color="auto" w:sz="4" w:space="0"/>
                  </w:tcBorders>
                  <w:vAlign w:val="center"/>
                </w:tcPr>
                <w:p w14:paraId="70287D90">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辅助工程</w:t>
                  </w: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5C65F951">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放喷设施</w:t>
                  </w:r>
                </w:p>
              </w:tc>
              <w:tc>
                <w:tcPr>
                  <w:tcW w:w="6441" w:type="dxa"/>
                  <w:tcBorders>
                    <w:top w:val="single" w:color="auto" w:sz="4" w:space="0"/>
                    <w:left w:val="single" w:color="auto" w:sz="4" w:space="0"/>
                    <w:bottom w:val="single" w:color="auto" w:sz="4" w:space="0"/>
                  </w:tcBorders>
                  <w:vAlign w:val="center"/>
                </w:tcPr>
                <w:p w14:paraId="4F1A89F1">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各钻井左右两侧各设置1条放喷管线，试油井口两侧分别设置放喷、压井管线。</w:t>
                  </w:r>
                </w:p>
              </w:tc>
            </w:tr>
            <w:tr w14:paraId="513444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right w:val="single" w:color="auto" w:sz="4" w:space="0"/>
                  </w:tcBorders>
                  <w:vAlign w:val="center"/>
                </w:tcPr>
                <w:p w14:paraId="2B9B2DB7">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7B359700">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井控系统</w:t>
                  </w:r>
                </w:p>
              </w:tc>
              <w:tc>
                <w:tcPr>
                  <w:tcW w:w="6441" w:type="dxa"/>
                  <w:tcBorders>
                    <w:top w:val="single" w:color="auto" w:sz="4" w:space="0"/>
                    <w:left w:val="single" w:color="auto" w:sz="4" w:space="0"/>
                    <w:bottom w:val="single" w:color="auto" w:sz="4" w:space="0"/>
                  </w:tcBorders>
                  <w:vAlign w:val="center"/>
                </w:tcPr>
                <w:p w14:paraId="51EECCD1">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各钻井、试油井口设置1套井控系统，防止钻井及试油时产生井喷</w:t>
                  </w:r>
                </w:p>
              </w:tc>
            </w:tr>
            <w:tr w14:paraId="0BBDBD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right w:val="single" w:color="auto" w:sz="4" w:space="0"/>
                  </w:tcBorders>
                  <w:vAlign w:val="center"/>
                </w:tcPr>
                <w:p w14:paraId="5D338190">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1BFE6694">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钻井动力系统</w:t>
                  </w:r>
                </w:p>
              </w:tc>
              <w:tc>
                <w:tcPr>
                  <w:tcW w:w="6441" w:type="dxa"/>
                  <w:tcBorders>
                    <w:top w:val="single" w:color="auto" w:sz="4" w:space="0"/>
                    <w:left w:val="single" w:color="auto" w:sz="4" w:space="0"/>
                    <w:bottom w:val="single" w:color="auto" w:sz="4" w:space="0"/>
                  </w:tcBorders>
                  <w:vAlign w:val="center"/>
                </w:tcPr>
                <w:p w14:paraId="09B1F983">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各井场设置柴油机为动力系统</w:t>
                  </w:r>
                </w:p>
              </w:tc>
            </w:tr>
            <w:tr w14:paraId="1BA5C7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right w:val="single" w:color="auto" w:sz="4" w:space="0"/>
                  </w:tcBorders>
                  <w:vAlign w:val="center"/>
                </w:tcPr>
                <w:p w14:paraId="091AD594">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65804397">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不落地系统</w:t>
                  </w:r>
                </w:p>
              </w:tc>
              <w:tc>
                <w:tcPr>
                  <w:tcW w:w="6441" w:type="dxa"/>
                  <w:tcBorders>
                    <w:top w:val="single" w:color="auto" w:sz="4" w:space="0"/>
                    <w:left w:val="single" w:color="auto" w:sz="4" w:space="0"/>
                    <w:bottom w:val="single" w:color="auto" w:sz="4" w:space="0"/>
                  </w:tcBorders>
                  <w:vAlign w:val="center"/>
                </w:tcPr>
                <w:p w14:paraId="04ADD3DF">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各钻井设置1套钻井液不落地设备</w:t>
                  </w:r>
                </w:p>
              </w:tc>
            </w:tr>
            <w:tr w14:paraId="44D763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right w:val="single" w:color="auto" w:sz="4" w:space="0"/>
                  </w:tcBorders>
                  <w:vAlign w:val="center"/>
                </w:tcPr>
                <w:p w14:paraId="41E69A76">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46C079F5">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生活营地</w:t>
                  </w:r>
                </w:p>
              </w:tc>
              <w:tc>
                <w:tcPr>
                  <w:tcW w:w="6441" w:type="dxa"/>
                  <w:tcBorders>
                    <w:top w:val="single" w:color="auto" w:sz="4" w:space="0"/>
                    <w:left w:val="single" w:color="auto" w:sz="4" w:space="0"/>
                    <w:bottom w:val="single" w:color="auto" w:sz="4" w:space="0"/>
                  </w:tcBorders>
                  <w:vAlign w:val="center"/>
                </w:tcPr>
                <w:p w14:paraId="611384B8">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各井场分别设1个生活营地，临时占地2400m</w:t>
                  </w:r>
                  <w:r>
                    <w:rPr>
                      <w:rFonts w:hint="default" w:ascii="Times New Roman" w:hAnsi="Times New Roman" w:eastAsia="宋体" w:cs="Times New Roman"/>
                      <w:color w:val="000000" w:themeColor="text1"/>
                      <w:highlight w:val="none"/>
                      <w:vertAlign w:val="superscript"/>
                      <w:lang w:eastAsia="zh-CN"/>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，本项目共占地4800m</w:t>
                  </w:r>
                  <w:r>
                    <w:rPr>
                      <w:rFonts w:hint="default" w:ascii="Times New Roman" w:hAnsi="Times New Roman" w:eastAsia="宋体" w:cs="Times New Roman"/>
                      <w:color w:val="000000" w:themeColor="text1"/>
                      <w:highlight w:val="none"/>
                      <w:vertAlign w:val="superscript"/>
                      <w:lang w:eastAsia="zh-CN"/>
                      <w14:textFill>
                        <w14:solidFill>
                          <w14:schemeClr w14:val="tx1"/>
                        </w14:solidFill>
                      </w14:textFill>
                    </w:rPr>
                    <w:t>2</w:t>
                  </w:r>
                </w:p>
              </w:tc>
            </w:tr>
            <w:tr w14:paraId="258B92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right w:val="single" w:color="auto" w:sz="4" w:space="0"/>
                  </w:tcBorders>
                  <w:vAlign w:val="center"/>
                </w:tcPr>
                <w:p w14:paraId="1600E71C">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3BAEE5C7">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油品储存区</w:t>
                  </w:r>
                </w:p>
              </w:tc>
              <w:tc>
                <w:tcPr>
                  <w:tcW w:w="6441" w:type="dxa"/>
                  <w:tcBorders>
                    <w:top w:val="single" w:color="auto" w:sz="4" w:space="0"/>
                    <w:left w:val="single" w:color="auto" w:sz="4" w:space="0"/>
                    <w:bottom w:val="single" w:color="auto" w:sz="4" w:space="0"/>
                  </w:tcBorders>
                  <w:vAlign w:val="center"/>
                </w:tcPr>
                <w:p w14:paraId="3FB1DD82">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各个钻井场均设置一处油品储存区，油品储存区进行重点防渗</w:t>
                  </w:r>
                </w:p>
              </w:tc>
            </w:tr>
            <w:bookmarkEnd w:id="5"/>
            <w:tr w14:paraId="4C88D3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restart"/>
                  <w:tcBorders>
                    <w:top w:val="single" w:color="auto" w:sz="4" w:space="0"/>
                    <w:bottom w:val="single" w:color="auto" w:sz="4" w:space="0"/>
                    <w:right w:val="single" w:color="auto" w:sz="4" w:space="0"/>
                  </w:tcBorders>
                  <w:vAlign w:val="center"/>
                </w:tcPr>
                <w:p w14:paraId="767B5805">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公用工程</w:t>
                  </w: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74ECAE46">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供配电</w:t>
                  </w:r>
                </w:p>
              </w:tc>
              <w:tc>
                <w:tcPr>
                  <w:tcW w:w="6441" w:type="dxa"/>
                  <w:tcBorders>
                    <w:top w:val="single" w:color="auto" w:sz="4" w:space="0"/>
                    <w:left w:val="single" w:color="auto" w:sz="4" w:space="0"/>
                    <w:bottom w:val="single" w:color="auto" w:sz="4" w:space="0"/>
                  </w:tcBorders>
                  <w:vAlign w:val="center"/>
                </w:tcPr>
                <w:p w14:paraId="36E6BA60">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优先使用电网供电，备用</w:t>
                  </w:r>
                  <w:r>
                    <w:rPr>
                      <w:rFonts w:hint="default" w:ascii="Times New Roman" w:hAnsi="Times New Roman" w:eastAsia="宋体" w:cs="Times New Roman"/>
                      <w:color w:val="000000" w:themeColor="text1"/>
                      <w:highlight w:val="none"/>
                      <w:lang w:eastAsia="zh-CN"/>
                      <w14:textFill>
                        <w14:solidFill>
                          <w14:schemeClr w14:val="tx1"/>
                        </w14:solidFill>
                      </w14:textFill>
                    </w:rPr>
                    <w:t>柴油发电机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应急</w:t>
                  </w:r>
                  <w:r>
                    <w:rPr>
                      <w:rFonts w:hint="default" w:ascii="Times New Roman" w:hAnsi="Times New Roman" w:eastAsia="宋体" w:cs="Times New Roman"/>
                      <w:color w:val="000000" w:themeColor="text1"/>
                      <w:highlight w:val="none"/>
                      <w:lang w:eastAsia="zh-CN"/>
                      <w14:textFill>
                        <w14:solidFill>
                          <w14:schemeClr w14:val="tx1"/>
                        </w14:solidFill>
                      </w14:textFill>
                    </w:rPr>
                    <w:t>供电</w:t>
                  </w:r>
                </w:p>
              </w:tc>
            </w:tr>
            <w:tr w14:paraId="518B96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38384B1A">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62A5E9E7">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给水</w:t>
                  </w:r>
                </w:p>
              </w:tc>
              <w:tc>
                <w:tcPr>
                  <w:tcW w:w="6441" w:type="dxa"/>
                  <w:tcBorders>
                    <w:top w:val="single" w:color="auto" w:sz="4" w:space="0"/>
                    <w:left w:val="single" w:color="auto" w:sz="4" w:space="0"/>
                    <w:bottom w:val="single" w:color="auto" w:sz="4" w:space="0"/>
                  </w:tcBorders>
                  <w:vAlign w:val="center"/>
                </w:tcPr>
                <w:p w14:paraId="120B2B5F">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各钻试场项目用水从就近村庄拉运至钻试场</w:t>
                  </w:r>
                </w:p>
              </w:tc>
            </w:tr>
            <w:tr w14:paraId="2E87E3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732A03DF">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2DE372EE">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供热</w:t>
                  </w:r>
                </w:p>
              </w:tc>
              <w:tc>
                <w:tcPr>
                  <w:tcW w:w="6441" w:type="dxa"/>
                  <w:tcBorders>
                    <w:top w:val="single" w:color="auto" w:sz="4" w:space="0"/>
                    <w:left w:val="single" w:color="auto" w:sz="4" w:space="0"/>
                    <w:bottom w:val="single" w:color="auto" w:sz="4" w:space="0"/>
                  </w:tcBorders>
                  <w:vAlign w:val="center"/>
                </w:tcPr>
                <w:p w14:paraId="09BCE41D">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冬季施工阶段，本项目各井场新建1台2.5t/h的生物质蒸汽锅炉，对井口、泥浆罐、水罐、钻井平台通过管线进行保温</w:t>
                  </w:r>
                </w:p>
              </w:tc>
            </w:tr>
            <w:tr w14:paraId="2F4793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2E253F34">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65F66F87">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道路</w:t>
                  </w:r>
                </w:p>
              </w:tc>
              <w:tc>
                <w:tcPr>
                  <w:tcW w:w="6441" w:type="dxa"/>
                  <w:tcBorders>
                    <w:top w:val="single" w:color="auto" w:sz="4" w:space="0"/>
                    <w:left w:val="single" w:color="auto" w:sz="4" w:space="0"/>
                    <w:bottom w:val="single" w:color="auto" w:sz="4" w:space="0"/>
                  </w:tcBorders>
                  <w:vAlign w:val="center"/>
                </w:tcPr>
                <w:p w14:paraId="3A216C61">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修建可到达井场的简易道路，</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吉阜103H井</w:t>
                  </w:r>
                  <w:r>
                    <w:rPr>
                      <w:rFonts w:hint="default" w:ascii="Times New Roman" w:hAnsi="Times New Roman" w:eastAsia="宋体" w:cs="Times New Roman"/>
                      <w:color w:val="000000" w:themeColor="text1"/>
                      <w:highlight w:val="none"/>
                      <w:lang w:eastAsia="zh-CN"/>
                      <w14:textFill>
                        <w14:solidFill>
                          <w14:schemeClr w14:val="tx1"/>
                        </w14:solidFill>
                      </w14:textFill>
                    </w:rPr>
                    <w:t>临时道路</w:t>
                  </w:r>
                  <w:r>
                    <w:rPr>
                      <w:rFonts w:hint="default" w:ascii="Times New Roman" w:hAnsi="Times New Roman" w:eastAsia="宋体" w:cs="Times New Roman"/>
                      <w:color w:val="000000" w:themeColor="text1"/>
                      <w:highlight w:val="none"/>
                      <w:lang w:val="en-US" w:eastAsia="zh-CN"/>
                      <w14:textFill>
                        <w14:solidFill>
                          <w14:schemeClr w14:val="tx1"/>
                        </w14:solidFill>
                      </w14:textFill>
                    </w:rPr>
                    <w:t>658</w:t>
                  </w:r>
                  <w:r>
                    <w:rPr>
                      <w:rFonts w:hint="default" w:ascii="Times New Roman" w:hAnsi="Times New Roman" w:eastAsia="宋体" w:cs="Times New Roman"/>
                      <w:color w:val="000000" w:themeColor="text1"/>
                      <w:highlight w:val="none"/>
                      <w:lang w:eastAsia="zh-CN"/>
                      <w14:textFill>
                        <w14:solidFill>
                          <w14:schemeClr w14:val="tx1"/>
                        </w14:solidFill>
                      </w14:textFill>
                    </w:rPr>
                    <w:t>m，宽度</w:t>
                  </w:r>
                  <w:r>
                    <w:rPr>
                      <w:rFonts w:hint="default" w:ascii="Times New Roman" w:hAnsi="Times New Roman" w:eastAsia="宋体" w:cs="Times New Roman"/>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highlight w:val="none"/>
                      <w:lang w:eastAsia="zh-CN"/>
                      <w14:textFill>
                        <w14:solidFill>
                          <w14:schemeClr w14:val="tx1"/>
                        </w14:solidFill>
                      </w14:textFill>
                    </w:rPr>
                    <w:t>m；</w:t>
                  </w:r>
                  <w:r>
                    <w:rPr>
                      <w:rFonts w:hint="default" w:ascii="Times New Roman" w:hAnsi="Times New Roman" w:eastAsia="宋体" w:cs="Times New Roman"/>
                      <w:color w:val="000000" w:themeColor="text1"/>
                      <w:highlight w:val="none"/>
                      <w:lang w:val="en-US" w:eastAsia="zh-CN"/>
                      <w14:textFill>
                        <w14:solidFill>
                          <w14:schemeClr w14:val="tx1"/>
                        </w14:solidFill>
                      </w14:textFill>
                    </w:rPr>
                    <w:t>吉阜1001H井</w:t>
                  </w:r>
                  <w:r>
                    <w:rPr>
                      <w:rFonts w:hint="default" w:ascii="Times New Roman" w:hAnsi="Times New Roman" w:eastAsia="宋体" w:cs="Times New Roman"/>
                      <w:color w:val="000000" w:themeColor="text1"/>
                      <w:highlight w:val="none"/>
                      <w:lang w:eastAsia="zh-CN"/>
                      <w14:textFill>
                        <w14:solidFill>
                          <w14:schemeClr w14:val="tx1"/>
                        </w14:solidFill>
                      </w14:textFill>
                    </w:rPr>
                    <w:t>临时道路</w:t>
                  </w:r>
                  <w:r>
                    <w:rPr>
                      <w:rFonts w:hint="default" w:ascii="Times New Roman" w:hAnsi="Times New Roman" w:eastAsia="宋体" w:cs="Times New Roman"/>
                      <w:color w:val="000000" w:themeColor="text1"/>
                      <w:highlight w:val="none"/>
                      <w:lang w:val="en-US" w:eastAsia="zh-CN"/>
                      <w14:textFill>
                        <w14:solidFill>
                          <w14:schemeClr w14:val="tx1"/>
                        </w14:solidFill>
                      </w14:textFill>
                    </w:rPr>
                    <w:t>600</w:t>
                  </w:r>
                  <w:r>
                    <w:rPr>
                      <w:rFonts w:hint="default" w:ascii="Times New Roman" w:hAnsi="Times New Roman" w:eastAsia="宋体" w:cs="Times New Roman"/>
                      <w:color w:val="000000" w:themeColor="text1"/>
                      <w:highlight w:val="none"/>
                      <w:lang w:eastAsia="zh-CN"/>
                      <w14:textFill>
                        <w14:solidFill>
                          <w14:schemeClr w14:val="tx1"/>
                        </w14:solidFill>
                      </w14:textFill>
                    </w:rPr>
                    <w:t>m，宽度</w:t>
                  </w:r>
                  <w:r>
                    <w:rPr>
                      <w:rFonts w:hint="default" w:ascii="Times New Roman" w:hAnsi="Times New Roman" w:eastAsia="宋体" w:cs="Times New Roman"/>
                      <w:color w:val="000000" w:themeColor="text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highlight w:val="none"/>
                      <w:lang w:eastAsia="zh-CN"/>
                      <w14:textFill>
                        <w14:solidFill>
                          <w14:schemeClr w14:val="tx1"/>
                        </w14:solidFill>
                      </w14:textFill>
                    </w:rPr>
                    <w:t>m。道路占地面积</w:t>
                  </w:r>
                  <w:r>
                    <w:rPr>
                      <w:rFonts w:hint="default" w:ascii="Times New Roman" w:hAnsi="Times New Roman" w:eastAsia="宋体" w:cs="Times New Roman"/>
                      <w:color w:val="000000" w:themeColor="text1"/>
                      <w:highlight w:val="none"/>
                      <w:lang w:val="en-US" w:eastAsia="zh-CN"/>
                      <w14:textFill>
                        <w14:solidFill>
                          <w14:schemeClr w14:val="tx1"/>
                        </w14:solidFill>
                      </w14:textFill>
                    </w:rPr>
                    <w:t>13606</w:t>
                  </w:r>
                  <w:r>
                    <w:rPr>
                      <w:rFonts w:hint="default" w:ascii="Times New Roman" w:hAnsi="Times New Roman" w:eastAsia="宋体" w:cs="Times New Roman"/>
                      <w:color w:val="000000" w:themeColor="text1"/>
                      <w:highlight w:val="none"/>
                      <w:lang w:eastAsia="zh-CN"/>
                      <w14:textFill>
                        <w14:solidFill>
                          <w14:schemeClr w14:val="tx1"/>
                        </w14:solidFill>
                      </w14:textFill>
                    </w:rPr>
                    <w:t>m</w:t>
                  </w:r>
                  <w:r>
                    <w:rPr>
                      <w:rFonts w:hint="default" w:ascii="Times New Roman" w:hAnsi="Times New Roman" w:eastAsia="宋体" w:cs="Times New Roman"/>
                      <w:color w:val="000000" w:themeColor="text1"/>
                      <w:highlight w:val="none"/>
                      <w:vertAlign w:val="superscript"/>
                      <w:lang w:eastAsia="zh-CN"/>
                      <w14:textFill>
                        <w14:solidFill>
                          <w14:schemeClr w14:val="tx1"/>
                        </w14:solidFill>
                      </w14:textFill>
                    </w:rPr>
                    <w:t>2</w:t>
                  </w:r>
                </w:p>
              </w:tc>
            </w:tr>
            <w:tr w14:paraId="2C26C7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67DFC8C2">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0F259F2F">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消防</w:t>
                  </w:r>
                </w:p>
              </w:tc>
              <w:tc>
                <w:tcPr>
                  <w:tcW w:w="6441" w:type="dxa"/>
                  <w:tcBorders>
                    <w:top w:val="single" w:color="auto" w:sz="4" w:space="0"/>
                    <w:left w:val="single" w:color="auto" w:sz="4" w:space="0"/>
                    <w:bottom w:val="single" w:color="auto" w:sz="4" w:space="0"/>
                  </w:tcBorders>
                  <w:vAlign w:val="center"/>
                </w:tcPr>
                <w:p w14:paraId="31588659">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各井场按规范配置一定数量的消防器材</w:t>
                  </w:r>
                </w:p>
              </w:tc>
            </w:tr>
            <w:tr w14:paraId="7FD62A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restart"/>
                  <w:tcBorders>
                    <w:top w:val="single" w:color="auto" w:sz="4" w:space="0"/>
                    <w:right w:val="single" w:color="auto" w:sz="4" w:space="0"/>
                  </w:tcBorders>
                  <w:vAlign w:val="center"/>
                </w:tcPr>
                <w:p w14:paraId="66C4D695">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储运工程</w:t>
                  </w: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2868F855">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钻井、固井材料储存区</w:t>
                  </w:r>
                </w:p>
              </w:tc>
              <w:tc>
                <w:tcPr>
                  <w:tcW w:w="6441" w:type="dxa"/>
                  <w:tcBorders>
                    <w:top w:val="single" w:color="auto" w:sz="4" w:space="0"/>
                    <w:left w:val="single" w:color="auto" w:sz="4" w:space="0"/>
                    <w:bottom w:val="single" w:color="auto" w:sz="4" w:space="0"/>
                  </w:tcBorders>
                  <w:vAlign w:val="center"/>
                </w:tcPr>
                <w:p w14:paraId="5E0BA56D">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各井场内设置1处材料堆存区，</w:t>
                  </w:r>
                  <w:r>
                    <w:rPr>
                      <w:rFonts w:hint="default" w:ascii="Times New Roman" w:hAnsi="Times New Roman" w:eastAsia="宋体" w:cs="Times New Roman"/>
                      <w:color w:val="000000" w:themeColor="text1"/>
                      <w:highlight w:val="none"/>
                      <w:lang w:val="en-US" w:eastAsia="zh-CN"/>
                      <w14:textFill>
                        <w14:solidFill>
                          <w14:schemeClr w14:val="tx1"/>
                        </w14:solidFill>
                      </w14:textFill>
                    </w:rPr>
                    <w:t>冬季</w:t>
                  </w:r>
                  <w:r>
                    <w:rPr>
                      <w:rFonts w:hint="default" w:ascii="Times New Roman" w:hAnsi="Times New Roman" w:eastAsia="宋体" w:cs="Times New Roman"/>
                      <w:color w:val="000000" w:themeColor="text1"/>
                      <w:highlight w:val="none"/>
                      <w:lang w:eastAsia="zh-CN"/>
                      <w14:textFill>
                        <w14:solidFill>
                          <w14:schemeClr w14:val="tx1"/>
                        </w14:solidFill>
                      </w14:textFill>
                    </w:rPr>
                    <w:t>修建保温棚，泥浆材料下铺上盖，地面防渗处理</w:t>
                  </w:r>
                </w:p>
              </w:tc>
            </w:tr>
            <w:tr w14:paraId="5849D6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right w:val="single" w:color="auto" w:sz="4" w:space="0"/>
                  </w:tcBorders>
                  <w:vAlign w:val="center"/>
                </w:tcPr>
                <w:p w14:paraId="562B48E6">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55988C20">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危险废物临时贮存间</w:t>
                  </w:r>
                </w:p>
              </w:tc>
              <w:tc>
                <w:tcPr>
                  <w:tcW w:w="6441" w:type="dxa"/>
                  <w:tcBorders>
                    <w:top w:val="single" w:color="auto" w:sz="4" w:space="0"/>
                    <w:left w:val="single" w:color="auto" w:sz="4" w:space="0"/>
                    <w:bottom w:val="single" w:color="auto" w:sz="4" w:space="0"/>
                  </w:tcBorders>
                  <w:vAlign w:val="center"/>
                </w:tcPr>
                <w:p w14:paraId="58448908">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按照《危险废物贮存污染控制标准》（GB18597-2023）等的相关要求在</w:t>
                  </w:r>
                  <w:r>
                    <w:rPr>
                      <w:rFonts w:hint="default" w:ascii="Times New Roman" w:hAnsi="Times New Roman" w:eastAsia="宋体" w:cs="Times New Roman"/>
                      <w:color w:val="000000" w:themeColor="text1"/>
                      <w:lang w:val="en-US" w:eastAsia="zh-CN"/>
                      <w14:textFill>
                        <w14:solidFill>
                          <w14:schemeClr w14:val="tx1"/>
                        </w14:solidFill>
                      </w14:textFill>
                    </w:rPr>
                    <w:t>钻井井场</w:t>
                  </w:r>
                  <w:r>
                    <w:rPr>
                      <w:rFonts w:hint="default" w:ascii="Times New Roman" w:hAnsi="Times New Roman" w:eastAsia="宋体" w:cs="Times New Roman"/>
                      <w:color w:val="000000" w:themeColor="text1"/>
                      <w:lang w:eastAsia="zh-CN"/>
                      <w14:textFill>
                        <w14:solidFill>
                          <w14:schemeClr w14:val="tx1"/>
                        </w14:solidFill>
                      </w14:textFill>
                    </w:rPr>
                    <w:t>设置的1座危险废物临时贮存间，其内部有效容积不低于50m³；地面防渗性能按重点防渗区执行，严格采用2mm厚HDPE防渗膜（满足等效黏土防渗层Mb≥6.0m，K≤1.0×10⁻⁷cm/s）；内部针对不同类别的危险废物，设置防渗导流隔挡进行分区隔离，分区隔离高度不低于0.5m。</w:t>
                  </w:r>
                </w:p>
              </w:tc>
            </w:tr>
            <w:tr w14:paraId="2A159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right w:val="single" w:color="auto" w:sz="4" w:space="0"/>
                  </w:tcBorders>
                  <w:vAlign w:val="center"/>
                </w:tcPr>
                <w:p w14:paraId="23C3D544">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2AD95F68">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油</w:t>
                  </w:r>
                  <w:r>
                    <w:rPr>
                      <w:rFonts w:hint="default" w:ascii="Times New Roman" w:hAnsi="Times New Roman" w:eastAsia="宋体" w:cs="Times New Roman"/>
                      <w:color w:val="000000" w:themeColor="text1"/>
                      <w:highlight w:val="none"/>
                      <w14:textFill>
                        <w14:solidFill>
                          <w14:schemeClr w14:val="tx1"/>
                        </w14:solidFill>
                      </w14:textFill>
                    </w:rPr>
                    <w:t>罐区</w:t>
                  </w:r>
                </w:p>
              </w:tc>
              <w:tc>
                <w:tcPr>
                  <w:tcW w:w="6441" w:type="dxa"/>
                  <w:tcBorders>
                    <w:top w:val="single" w:color="auto" w:sz="4" w:space="0"/>
                    <w:left w:val="single" w:color="auto" w:sz="4" w:space="0"/>
                    <w:bottom w:val="single" w:color="auto" w:sz="4" w:space="0"/>
                  </w:tcBorders>
                  <w:vAlign w:val="center"/>
                </w:tcPr>
                <w:p w14:paraId="702DDA1E">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每个井场内设置1个60m</w:t>
                  </w:r>
                  <w:r>
                    <w:rPr>
                      <w:rFonts w:hint="default" w:ascii="Times New Roman" w:hAnsi="Times New Roman" w:eastAsia="宋体" w:cs="Times New Roman"/>
                      <w:color w:val="000000" w:themeColor="text1"/>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highlight w:val="none"/>
                      <w:lang w:eastAsia="zh-CN"/>
                      <w14:textFill>
                        <w14:solidFill>
                          <w14:schemeClr w14:val="tx1"/>
                        </w14:solidFill>
                      </w14:textFill>
                    </w:rPr>
                    <w:t>原油临时储罐，设置围堰；底部防渗，防渗性能不应低于6.0m厚渗透系数为1.0×10</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highlight w:val="none"/>
                      <w:lang w:eastAsia="zh-CN"/>
                      <w14:textFill>
                        <w14:solidFill>
                          <w14:schemeClr w14:val="tx1"/>
                        </w14:solidFill>
                      </w14:textFill>
                    </w:rPr>
                    <w:t>cm/s的黏土层</w:t>
                  </w:r>
                </w:p>
              </w:tc>
            </w:tr>
            <w:tr w14:paraId="45D13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bottom w:val="single" w:color="auto" w:sz="4" w:space="0"/>
                    <w:right w:val="single" w:color="auto" w:sz="4" w:space="0"/>
                  </w:tcBorders>
                  <w:vAlign w:val="center"/>
                </w:tcPr>
                <w:p w14:paraId="19B72C8B">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23349E46">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泥浆储备罐区</w:t>
                  </w:r>
                </w:p>
              </w:tc>
              <w:tc>
                <w:tcPr>
                  <w:tcW w:w="6441" w:type="dxa"/>
                  <w:tcBorders>
                    <w:top w:val="single" w:color="auto" w:sz="4" w:space="0"/>
                    <w:left w:val="single" w:color="auto" w:sz="4" w:space="0"/>
                    <w:bottom w:val="single" w:color="auto" w:sz="4" w:space="0"/>
                  </w:tcBorders>
                  <w:vAlign w:val="center"/>
                </w:tcPr>
                <w:p w14:paraId="34A8ABBD">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位于泥浆循环系统区域，用于储备压井泥浆。罐区周边设置围堰</w:t>
                  </w:r>
                </w:p>
              </w:tc>
            </w:tr>
            <w:tr w14:paraId="39F6EF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restart"/>
                  <w:tcBorders>
                    <w:top w:val="single" w:color="auto" w:sz="4" w:space="0"/>
                    <w:bottom w:val="single" w:color="auto" w:sz="4" w:space="0"/>
                    <w:right w:val="single" w:color="auto" w:sz="4" w:space="0"/>
                  </w:tcBorders>
                  <w:vAlign w:val="center"/>
                </w:tcPr>
                <w:p w14:paraId="052B4EA3">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环保工程</w:t>
                  </w:r>
                </w:p>
              </w:tc>
              <w:tc>
                <w:tcPr>
                  <w:tcW w:w="340" w:type="dxa"/>
                  <w:vMerge w:val="restart"/>
                  <w:tcBorders>
                    <w:top w:val="single" w:color="auto" w:sz="4" w:space="0"/>
                    <w:left w:val="single" w:color="auto" w:sz="4" w:space="0"/>
                    <w:bottom w:val="single" w:color="auto" w:sz="4" w:space="0"/>
                    <w:right w:val="single" w:color="auto" w:sz="4" w:space="0"/>
                  </w:tcBorders>
                  <w:vAlign w:val="center"/>
                </w:tcPr>
                <w:p w14:paraId="69748680">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废气</w:t>
                  </w:r>
                </w:p>
              </w:tc>
              <w:tc>
                <w:tcPr>
                  <w:tcW w:w="769" w:type="dxa"/>
                  <w:tcBorders>
                    <w:top w:val="single" w:color="auto" w:sz="4" w:space="0"/>
                    <w:left w:val="single" w:color="auto" w:sz="4" w:space="0"/>
                    <w:bottom w:val="single" w:color="auto" w:sz="4" w:space="0"/>
                    <w:right w:val="single" w:color="auto" w:sz="4" w:space="0"/>
                  </w:tcBorders>
                  <w:vAlign w:val="center"/>
                </w:tcPr>
                <w:p w14:paraId="3658BAB0">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伴生气</w:t>
                  </w:r>
                </w:p>
              </w:tc>
              <w:tc>
                <w:tcPr>
                  <w:tcW w:w="6441" w:type="dxa"/>
                  <w:tcBorders>
                    <w:top w:val="single" w:color="auto" w:sz="4" w:space="0"/>
                    <w:left w:val="single" w:color="auto" w:sz="4" w:space="0"/>
                    <w:bottom w:val="single" w:color="auto" w:sz="4" w:space="0"/>
                  </w:tcBorders>
                  <w:vAlign w:val="center"/>
                </w:tcPr>
                <w:p w14:paraId="04FEB1C8">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伴生气通过排气管线充分燃烧后放空</w:t>
                  </w:r>
                </w:p>
              </w:tc>
            </w:tr>
            <w:tr w14:paraId="4B8929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515BEF0F">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340" w:type="dxa"/>
                  <w:vMerge w:val="continue"/>
                  <w:tcBorders>
                    <w:top w:val="single" w:color="auto" w:sz="4" w:space="0"/>
                    <w:left w:val="single" w:color="auto" w:sz="4" w:space="0"/>
                    <w:bottom w:val="single" w:color="auto" w:sz="4" w:space="0"/>
                    <w:right w:val="single" w:color="auto" w:sz="4" w:space="0"/>
                  </w:tcBorders>
                  <w:vAlign w:val="center"/>
                </w:tcPr>
                <w:p w14:paraId="4EEEF820">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769" w:type="dxa"/>
                  <w:tcBorders>
                    <w:top w:val="single" w:color="auto" w:sz="4" w:space="0"/>
                    <w:left w:val="single" w:color="auto" w:sz="4" w:space="0"/>
                    <w:bottom w:val="single" w:color="auto" w:sz="4" w:space="0"/>
                    <w:right w:val="single" w:color="auto" w:sz="4" w:space="0"/>
                  </w:tcBorders>
                  <w:vAlign w:val="center"/>
                </w:tcPr>
                <w:p w14:paraId="40B1D01F">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施工扬尘</w:t>
                  </w:r>
                </w:p>
              </w:tc>
              <w:tc>
                <w:tcPr>
                  <w:tcW w:w="6441" w:type="dxa"/>
                  <w:tcBorders>
                    <w:top w:val="single" w:color="auto" w:sz="4" w:space="0"/>
                    <w:left w:val="single" w:color="auto" w:sz="4" w:space="0"/>
                    <w:bottom w:val="single" w:color="auto" w:sz="4" w:space="0"/>
                  </w:tcBorders>
                  <w:vAlign w:val="center"/>
                </w:tcPr>
                <w:p w14:paraId="008A0FB4">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对易起尘物料进行遮盖；加强车辆管理等措施；场区洒水抑尘措施</w:t>
                  </w:r>
                </w:p>
              </w:tc>
            </w:tr>
            <w:tr w14:paraId="058A8F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67F9E96A">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340" w:type="dxa"/>
                  <w:vMerge w:val="continue"/>
                  <w:tcBorders>
                    <w:top w:val="single" w:color="auto" w:sz="4" w:space="0"/>
                    <w:left w:val="single" w:color="auto" w:sz="4" w:space="0"/>
                    <w:bottom w:val="single" w:color="auto" w:sz="4" w:space="0"/>
                    <w:right w:val="single" w:color="auto" w:sz="4" w:space="0"/>
                  </w:tcBorders>
                  <w:vAlign w:val="center"/>
                </w:tcPr>
                <w:p w14:paraId="797C6431">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769" w:type="dxa"/>
                  <w:tcBorders>
                    <w:top w:val="single" w:color="auto" w:sz="4" w:space="0"/>
                    <w:left w:val="single" w:color="auto" w:sz="4" w:space="0"/>
                    <w:bottom w:val="single" w:color="auto" w:sz="4" w:space="0"/>
                    <w:right w:val="single" w:color="auto" w:sz="4" w:space="0"/>
                  </w:tcBorders>
                  <w:vAlign w:val="center"/>
                </w:tcPr>
                <w:p w14:paraId="49366899">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柴油发电机废气</w:t>
                  </w:r>
                </w:p>
              </w:tc>
              <w:tc>
                <w:tcPr>
                  <w:tcW w:w="6441" w:type="dxa"/>
                  <w:tcBorders>
                    <w:top w:val="single" w:color="auto" w:sz="4" w:space="0"/>
                    <w:left w:val="single" w:color="auto" w:sz="4" w:space="0"/>
                    <w:bottom w:val="single" w:color="auto" w:sz="4" w:space="0"/>
                  </w:tcBorders>
                  <w:vAlign w:val="center"/>
                </w:tcPr>
                <w:p w14:paraId="4757920B">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废气产生量较少，属无组织排放</w:t>
                  </w:r>
                </w:p>
              </w:tc>
            </w:tr>
            <w:tr w14:paraId="2EDA0F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2FAB5ED8">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340" w:type="dxa"/>
                  <w:vMerge w:val="restart"/>
                  <w:tcBorders>
                    <w:top w:val="single" w:color="auto" w:sz="4" w:space="0"/>
                    <w:left w:val="single" w:color="auto" w:sz="4" w:space="0"/>
                    <w:bottom w:val="single" w:color="auto" w:sz="4" w:space="0"/>
                    <w:right w:val="single" w:color="auto" w:sz="4" w:space="0"/>
                  </w:tcBorders>
                  <w:vAlign w:val="center"/>
                </w:tcPr>
                <w:p w14:paraId="5C625FCE">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废水</w:t>
                  </w:r>
                </w:p>
              </w:tc>
              <w:tc>
                <w:tcPr>
                  <w:tcW w:w="769" w:type="dxa"/>
                  <w:tcBorders>
                    <w:top w:val="single" w:color="auto" w:sz="4" w:space="0"/>
                    <w:left w:val="single" w:color="auto" w:sz="4" w:space="0"/>
                    <w:bottom w:val="single" w:color="auto" w:sz="4" w:space="0"/>
                    <w:right w:val="single" w:color="auto" w:sz="4" w:space="0"/>
                  </w:tcBorders>
                  <w:vAlign w:val="center"/>
                </w:tcPr>
                <w:p w14:paraId="45024BC9">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生活污水</w:t>
                  </w:r>
                </w:p>
              </w:tc>
              <w:tc>
                <w:tcPr>
                  <w:tcW w:w="6441" w:type="dxa"/>
                  <w:tcBorders>
                    <w:top w:val="single" w:color="auto" w:sz="4" w:space="0"/>
                    <w:left w:val="single" w:color="auto" w:sz="4" w:space="0"/>
                    <w:bottom w:val="single" w:color="auto" w:sz="4" w:space="0"/>
                  </w:tcBorders>
                  <w:vAlign w:val="center"/>
                </w:tcPr>
                <w:p w14:paraId="042231B8">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生活污水排至已做防渗措施的生活污水坑，定期由吸污车抽出并拉运至吉木萨尔县城污水处理厂处理</w:t>
                  </w:r>
                </w:p>
              </w:tc>
            </w:tr>
            <w:tr w14:paraId="25C363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7E85E992">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340" w:type="dxa"/>
                  <w:vMerge w:val="continue"/>
                  <w:tcBorders>
                    <w:top w:val="single" w:color="auto" w:sz="4" w:space="0"/>
                    <w:left w:val="single" w:color="auto" w:sz="4" w:space="0"/>
                    <w:bottom w:val="single" w:color="auto" w:sz="4" w:space="0"/>
                    <w:right w:val="single" w:color="auto" w:sz="4" w:space="0"/>
                  </w:tcBorders>
                  <w:vAlign w:val="center"/>
                </w:tcPr>
                <w:p w14:paraId="725E8244">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769" w:type="dxa"/>
                  <w:tcBorders>
                    <w:top w:val="single" w:color="auto" w:sz="4" w:space="0"/>
                    <w:left w:val="single" w:color="auto" w:sz="4" w:space="0"/>
                    <w:bottom w:val="single" w:color="auto" w:sz="4" w:space="0"/>
                    <w:right w:val="single" w:color="auto" w:sz="4" w:space="0"/>
                  </w:tcBorders>
                  <w:vAlign w:val="center"/>
                </w:tcPr>
                <w:p w14:paraId="2EB87133">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洗井废水和压裂返排液</w:t>
                  </w:r>
                </w:p>
              </w:tc>
              <w:tc>
                <w:tcPr>
                  <w:tcW w:w="6441" w:type="dxa"/>
                  <w:tcBorders>
                    <w:top w:val="single" w:color="auto" w:sz="4" w:space="0"/>
                    <w:left w:val="single" w:color="auto" w:sz="4" w:space="0"/>
                    <w:bottom w:val="single" w:color="auto" w:sz="4" w:space="0"/>
                  </w:tcBorders>
                  <w:vAlign w:val="center"/>
                </w:tcPr>
                <w:p w14:paraId="74DB8D29">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项目井下作业废水采取带罐作业，井下作业废水全部回收，拉运至</w:t>
                  </w:r>
                  <w:r>
                    <w:rPr>
                      <w:rFonts w:hint="eastAsia" w:ascii="Times New Roman" w:hAnsi="Times New Roman" w:eastAsia="宋体" w:cs="Times New Roman"/>
                      <w:color w:val="000000" w:themeColor="text1"/>
                      <w:highlight w:val="none"/>
                      <w:lang w:eastAsia="zh-CN"/>
                      <w14:textFill>
                        <w14:solidFill>
                          <w14:schemeClr w14:val="tx1"/>
                        </w14:solidFill>
                      </w14:textFill>
                    </w:rPr>
                    <w:t>吉康</w:t>
                  </w:r>
                  <w:r>
                    <w:rPr>
                      <w:rFonts w:hint="default" w:ascii="Times New Roman" w:hAnsi="Times New Roman" w:eastAsia="宋体" w:cs="Times New Roman"/>
                      <w:color w:val="000000" w:themeColor="text1"/>
                      <w:highlight w:val="none"/>
                      <w:lang w:eastAsia="zh-CN"/>
                      <w14:textFill>
                        <w14:solidFill>
                          <w14:schemeClr w14:val="tx1"/>
                        </w14:solidFill>
                      </w14:textFill>
                    </w:rPr>
                    <w:t>脱水站</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处理达标后</w:t>
                  </w:r>
                  <w:r>
                    <w:rPr>
                      <w:rFonts w:hint="default" w:ascii="Times New Roman" w:hAnsi="Times New Roman" w:eastAsia="宋体" w:cs="Times New Roman"/>
                      <w:color w:val="000000" w:themeColor="text1"/>
                      <w:highlight w:val="none"/>
                      <w:lang w:eastAsia="zh-CN"/>
                      <w14:textFill>
                        <w14:solidFill>
                          <w14:schemeClr w14:val="tx1"/>
                        </w14:solidFill>
                      </w14:textFill>
                    </w:rPr>
                    <w:t>回注油藏</w:t>
                  </w:r>
                </w:p>
              </w:tc>
            </w:tr>
            <w:tr w14:paraId="5D89B6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53D54D34">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340" w:type="dxa"/>
                  <w:tcBorders>
                    <w:top w:val="single" w:color="auto" w:sz="4" w:space="0"/>
                    <w:left w:val="single" w:color="auto" w:sz="4" w:space="0"/>
                    <w:bottom w:val="single" w:color="auto" w:sz="4" w:space="0"/>
                    <w:right w:val="single" w:color="auto" w:sz="4" w:space="0"/>
                  </w:tcBorders>
                  <w:vAlign w:val="center"/>
                </w:tcPr>
                <w:p w14:paraId="38FFA90B">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噪声</w:t>
                  </w:r>
                </w:p>
              </w:tc>
              <w:tc>
                <w:tcPr>
                  <w:tcW w:w="769" w:type="dxa"/>
                  <w:tcBorders>
                    <w:top w:val="single" w:color="auto" w:sz="4" w:space="0"/>
                    <w:left w:val="single" w:color="auto" w:sz="4" w:space="0"/>
                    <w:bottom w:val="single" w:color="auto" w:sz="4" w:space="0"/>
                    <w:right w:val="single" w:color="auto" w:sz="4" w:space="0"/>
                  </w:tcBorders>
                  <w:vAlign w:val="center"/>
                </w:tcPr>
                <w:p w14:paraId="4304ED14">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钻试设备运行噪声</w:t>
                  </w:r>
                </w:p>
              </w:tc>
              <w:tc>
                <w:tcPr>
                  <w:tcW w:w="6441" w:type="dxa"/>
                  <w:tcBorders>
                    <w:top w:val="single" w:color="auto" w:sz="4" w:space="0"/>
                    <w:left w:val="single" w:color="auto" w:sz="4" w:space="0"/>
                    <w:bottom w:val="single" w:color="auto" w:sz="4" w:space="0"/>
                  </w:tcBorders>
                  <w:vAlign w:val="center"/>
                </w:tcPr>
                <w:p w14:paraId="2F07E931">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基础</w:t>
                  </w:r>
                  <w:r>
                    <w:rPr>
                      <w:rFonts w:hint="default" w:ascii="Times New Roman" w:hAnsi="Times New Roman" w:eastAsia="宋体" w:cs="Times New Roman"/>
                      <w:color w:val="000000" w:themeColor="text1"/>
                      <w:highlight w:val="none"/>
                      <w:lang w:eastAsia="zh-CN"/>
                      <w14:textFill>
                        <w14:solidFill>
                          <w14:schemeClr w14:val="tx1"/>
                        </w14:solidFill>
                      </w14:textFill>
                    </w:rPr>
                    <w:t>减振措施，加强设备维护</w:t>
                  </w:r>
                </w:p>
              </w:tc>
            </w:tr>
            <w:tr w14:paraId="4DB14A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07395A17">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340" w:type="dxa"/>
                  <w:vMerge w:val="restart"/>
                  <w:tcBorders>
                    <w:top w:val="single" w:color="auto" w:sz="4" w:space="0"/>
                    <w:left w:val="single" w:color="auto" w:sz="4" w:space="0"/>
                    <w:bottom w:val="single" w:color="auto" w:sz="4" w:space="0"/>
                    <w:right w:val="single" w:color="auto" w:sz="4" w:space="0"/>
                  </w:tcBorders>
                  <w:vAlign w:val="center"/>
                </w:tcPr>
                <w:p w14:paraId="3E41C600">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固体废物</w:t>
                  </w:r>
                </w:p>
              </w:tc>
              <w:tc>
                <w:tcPr>
                  <w:tcW w:w="769" w:type="dxa"/>
                  <w:tcBorders>
                    <w:top w:val="single" w:color="auto" w:sz="4" w:space="0"/>
                    <w:left w:val="single" w:color="auto" w:sz="4" w:space="0"/>
                    <w:bottom w:val="single" w:color="auto" w:sz="4" w:space="0"/>
                    <w:right w:val="single" w:color="auto" w:sz="4" w:space="0"/>
                  </w:tcBorders>
                  <w:vAlign w:val="center"/>
                </w:tcPr>
                <w:p w14:paraId="7C55B6D4">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落地油</w:t>
                  </w:r>
                </w:p>
              </w:tc>
              <w:tc>
                <w:tcPr>
                  <w:tcW w:w="6441" w:type="dxa"/>
                  <w:tcBorders>
                    <w:top w:val="single" w:color="auto" w:sz="4" w:space="0"/>
                    <w:left w:val="single" w:color="auto" w:sz="4" w:space="0"/>
                    <w:bottom w:val="single" w:color="auto" w:sz="4" w:space="0"/>
                  </w:tcBorders>
                  <w:vAlign w:val="center"/>
                </w:tcPr>
                <w:p w14:paraId="7F53D221">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本项目井下作业时带罐作业，落地油100%回收</w:t>
                  </w:r>
                </w:p>
              </w:tc>
            </w:tr>
            <w:tr w14:paraId="2045AF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2586DCB8">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340" w:type="dxa"/>
                  <w:vMerge w:val="continue"/>
                  <w:tcBorders>
                    <w:left w:val="single" w:color="auto" w:sz="4" w:space="0"/>
                    <w:right w:val="single" w:color="auto" w:sz="4" w:space="0"/>
                  </w:tcBorders>
                  <w:vAlign w:val="center"/>
                </w:tcPr>
                <w:p w14:paraId="41CE473A">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769" w:type="dxa"/>
                  <w:tcBorders>
                    <w:top w:val="single" w:color="auto" w:sz="4" w:space="0"/>
                    <w:left w:val="single" w:color="auto" w:sz="4" w:space="0"/>
                    <w:right w:val="single" w:color="auto" w:sz="4" w:space="0"/>
                  </w:tcBorders>
                  <w:vAlign w:val="center"/>
                </w:tcPr>
                <w:p w14:paraId="218F4162">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钻井岩屑</w:t>
                  </w:r>
                </w:p>
              </w:tc>
              <w:tc>
                <w:tcPr>
                  <w:tcW w:w="6441" w:type="dxa"/>
                  <w:tcBorders>
                    <w:top w:val="single" w:color="auto" w:sz="4" w:space="0"/>
                    <w:left w:val="single" w:color="auto" w:sz="4" w:space="0"/>
                    <w:bottom w:val="single" w:color="auto" w:sz="4" w:space="0"/>
                  </w:tcBorders>
                  <w:vAlign w:val="center"/>
                </w:tcPr>
                <w:p w14:paraId="0FCC00C1">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本项目钻井过程中采用分段钻井液体系：</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吉阜103H、吉阜1001H井钻井</w:t>
                  </w:r>
                  <w:r>
                    <w:rPr>
                      <w:rFonts w:hint="default" w:ascii="Times New Roman" w:hAnsi="Times New Roman" w:eastAsia="宋体" w:cs="Times New Roman"/>
                      <w:color w:val="000000" w:themeColor="text1"/>
                      <w:sz w:val="21"/>
                      <w:szCs w:val="21"/>
                      <w:highlight w:val="none"/>
                      <w14:textFill>
                        <w14:solidFill>
                          <w14:schemeClr w14:val="tx1"/>
                        </w14:solidFill>
                      </w14:textFill>
                    </w:rPr>
                    <w:t>导眼段、一开段采用水基钻井液，</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吉阜103H井</w:t>
                  </w:r>
                  <w:r>
                    <w:rPr>
                      <w:rFonts w:hint="default" w:ascii="Times New Roman" w:hAnsi="Times New Roman" w:eastAsia="宋体" w:cs="Times New Roman"/>
                      <w:color w:val="000000" w:themeColor="text1"/>
                      <w:sz w:val="21"/>
                      <w:szCs w:val="21"/>
                      <w:highlight w:val="none"/>
                      <w14:textFill>
                        <w14:solidFill>
                          <w14:schemeClr w14:val="tx1"/>
                        </w14:solidFill>
                      </w14:textFill>
                    </w:rPr>
                    <w:t>二开段</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三开段</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及吉阜1001H井二开段</w:t>
                  </w:r>
                  <w:r>
                    <w:rPr>
                      <w:rFonts w:hint="default" w:ascii="Times New Roman" w:hAnsi="Times New Roman" w:eastAsia="宋体" w:cs="Times New Roman"/>
                      <w:color w:val="000000" w:themeColor="text1"/>
                      <w:sz w:val="21"/>
                      <w:szCs w:val="21"/>
                      <w:highlight w:val="none"/>
                      <w14:textFill>
                        <w14:solidFill>
                          <w14:schemeClr w14:val="tx1"/>
                        </w14:solidFill>
                      </w14:textFill>
                    </w:rPr>
                    <w:t>采用油基钻井液</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钻井作业全过程配套使用钻井液不落地处理设备，钻井过程中分离出的液相回收后循环用于钻井施工。</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其中</w:t>
                  </w:r>
                  <w:r>
                    <w:rPr>
                      <w:rFonts w:hint="default" w:ascii="Times New Roman" w:hAnsi="Times New Roman" w:eastAsia="宋体" w:cs="Times New Roman"/>
                      <w:snapToGrid/>
                      <w:color w:val="000000" w:themeColor="text1"/>
                      <w:kern w:val="2"/>
                      <w:lang w:eastAsia="zh-CN"/>
                      <w14:textFill>
                        <w14:solidFill>
                          <w14:schemeClr w14:val="tx1"/>
                        </w14:solidFill>
                      </w14:textFill>
                    </w:rPr>
                    <w:t>废弃水基钻井泥浆及岩屑，经“泥浆不落地”设备处理后，</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由建设单位负责监管，及时联系并委托具有相应环保处理能力的第三方单位。物料在井场暂存期间均处于密闭储罐内，随后由第三方单位采用密封车辆外运至其处理基地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后续的检测、资源化利用或最终处置均由第三方单位依法依规在场外实施</w:t>
                  </w:r>
                  <w:r>
                    <w:rPr>
                      <w:rFonts w:hint="default" w:ascii="Times New Roman" w:hAnsi="Times New Roman" w:eastAsia="宋体" w:cs="Times New Roman"/>
                      <w:color w:val="000000" w:themeColor="text1"/>
                      <w:sz w:val="21"/>
                      <w:szCs w:val="21"/>
                      <w:highlight w:val="none"/>
                      <w14:textFill>
                        <w14:solidFill>
                          <w14:schemeClr w14:val="tx1"/>
                        </w14:solidFill>
                      </w14:textFill>
                    </w:rPr>
                    <w:t>。油基钻井岩屑属于危险废物，暂存于油基钻井岩屑</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储存槽</w:t>
                  </w:r>
                  <w:r>
                    <w:rPr>
                      <w:rFonts w:hint="default" w:ascii="Times New Roman" w:hAnsi="Times New Roman" w:eastAsia="宋体" w:cs="Times New Roman"/>
                      <w:color w:val="000000" w:themeColor="text1"/>
                      <w:sz w:val="21"/>
                      <w:szCs w:val="21"/>
                      <w:highlight w:val="none"/>
                      <w14:textFill>
                        <w14:solidFill>
                          <w14:schemeClr w14:val="tx1"/>
                        </w14:solidFill>
                      </w14:textFill>
                    </w:rPr>
                    <w:t>内，后由具有危险废物接收、转运和处置资质的</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单位</w:t>
                  </w:r>
                  <w:r>
                    <w:rPr>
                      <w:rFonts w:hint="default" w:ascii="Times New Roman" w:hAnsi="Times New Roman" w:eastAsia="宋体" w:cs="Times New Roman"/>
                      <w:color w:val="000000" w:themeColor="text1"/>
                      <w:sz w:val="21"/>
                      <w:szCs w:val="21"/>
                      <w:highlight w:val="none"/>
                      <w14:textFill>
                        <w14:solidFill>
                          <w14:schemeClr w14:val="tx1"/>
                        </w14:solidFill>
                      </w14:textFill>
                    </w:rPr>
                    <w:t>负责接收、运输及无害化处置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r>
            <w:tr w14:paraId="44EE0B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2C751998">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340" w:type="dxa"/>
                  <w:vMerge w:val="continue"/>
                  <w:tcBorders>
                    <w:top w:val="single" w:color="auto" w:sz="4" w:space="0"/>
                    <w:left w:val="single" w:color="auto" w:sz="4" w:space="0"/>
                    <w:bottom w:val="single" w:color="auto" w:sz="4" w:space="0"/>
                    <w:right w:val="single" w:color="auto" w:sz="4" w:space="0"/>
                  </w:tcBorders>
                  <w:vAlign w:val="center"/>
                </w:tcPr>
                <w:p w14:paraId="2363ADD1">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769" w:type="dxa"/>
                  <w:tcBorders>
                    <w:top w:val="single" w:color="auto" w:sz="4" w:space="0"/>
                    <w:left w:val="single" w:color="auto" w:sz="4" w:space="0"/>
                    <w:bottom w:val="single" w:color="auto" w:sz="4" w:space="0"/>
                    <w:right w:val="single" w:color="auto" w:sz="4" w:space="0"/>
                  </w:tcBorders>
                  <w:vAlign w:val="center"/>
                </w:tcPr>
                <w:p w14:paraId="420FFD59">
                  <w:pPr>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废防渗材料、废润滑油、废润滑油桶</w:t>
                  </w:r>
                </w:p>
              </w:tc>
              <w:tc>
                <w:tcPr>
                  <w:tcW w:w="6441" w:type="dxa"/>
                  <w:tcBorders>
                    <w:top w:val="single" w:color="auto" w:sz="4" w:space="0"/>
                    <w:left w:val="single" w:color="auto" w:sz="4" w:space="0"/>
                    <w:bottom w:val="single" w:color="auto" w:sz="4" w:space="0"/>
                  </w:tcBorders>
                  <w:vAlign w:val="center"/>
                </w:tcPr>
                <w:p w14:paraId="7A7711AD">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施工过程中产生的沾油废防渗材料、设备检修与维护过程中产生的废润滑油及废润滑油桶均属于危险废物，沾油废防渗材料、废润滑油和废润滑油桶分区暂存在井场设置的危险废物贮存库，定期由具有相应危险废物处置资质的单位进行接收、转运和处置</w:t>
                  </w:r>
                  <w:r>
                    <w:rPr>
                      <w:rFonts w:hint="eastAsia" w:ascii="Times New Roman" w:hAnsi="Times New Roman" w:eastAsia="宋体" w:cs="Times New Roman"/>
                      <w:color w:val="000000" w:themeColor="text1"/>
                      <w:highlight w:val="none"/>
                      <w:lang w:eastAsia="zh-CN"/>
                      <w14:textFill>
                        <w14:solidFill>
                          <w14:schemeClr w14:val="tx1"/>
                        </w14:solidFill>
                      </w14:textFill>
                    </w:rPr>
                    <w:t>。</w:t>
                  </w:r>
                </w:p>
              </w:tc>
            </w:tr>
            <w:tr w14:paraId="5F77B0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7B3F6F80">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340" w:type="dxa"/>
                  <w:vMerge w:val="continue"/>
                  <w:tcBorders>
                    <w:top w:val="single" w:color="auto" w:sz="4" w:space="0"/>
                    <w:left w:val="single" w:color="auto" w:sz="4" w:space="0"/>
                    <w:bottom w:val="single" w:color="auto" w:sz="4" w:space="0"/>
                    <w:right w:val="single" w:color="auto" w:sz="4" w:space="0"/>
                  </w:tcBorders>
                  <w:vAlign w:val="center"/>
                </w:tcPr>
                <w:p w14:paraId="4BA584ED">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769" w:type="dxa"/>
                  <w:tcBorders>
                    <w:top w:val="single" w:color="auto" w:sz="4" w:space="0"/>
                    <w:left w:val="single" w:color="auto" w:sz="4" w:space="0"/>
                    <w:bottom w:val="single" w:color="auto" w:sz="4" w:space="0"/>
                    <w:right w:val="single" w:color="auto" w:sz="4" w:space="0"/>
                  </w:tcBorders>
                  <w:vAlign w:val="center"/>
                </w:tcPr>
                <w:p w14:paraId="27E942A7">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生活垃圾</w:t>
                  </w:r>
                </w:p>
              </w:tc>
              <w:tc>
                <w:tcPr>
                  <w:tcW w:w="6441" w:type="dxa"/>
                  <w:tcBorders>
                    <w:top w:val="single" w:color="auto" w:sz="4" w:space="0"/>
                    <w:left w:val="single" w:color="auto" w:sz="4" w:space="0"/>
                    <w:bottom w:val="single" w:color="auto" w:sz="4" w:space="0"/>
                  </w:tcBorders>
                  <w:vAlign w:val="center"/>
                </w:tcPr>
                <w:p w14:paraId="3AAED03E">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井场和生活营地均设有垃圾箱暂存生活垃圾，集中收集后委托第三方拉运至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highlight w:val="none"/>
                      <w:lang w:eastAsia="zh-CN"/>
                      <w14:textFill>
                        <w14:solidFill>
                          <w14:schemeClr w14:val="tx1"/>
                        </w14:solidFill>
                      </w14:textFill>
                    </w:rPr>
                    <w:t>垃圾场处理</w:t>
                  </w:r>
                </w:p>
              </w:tc>
            </w:tr>
            <w:tr w14:paraId="6155E92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0DBF6BED">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039C245D">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生态措施</w:t>
                  </w:r>
                </w:p>
              </w:tc>
              <w:tc>
                <w:tcPr>
                  <w:tcW w:w="6441" w:type="dxa"/>
                  <w:tcBorders>
                    <w:top w:val="single" w:color="auto" w:sz="4" w:space="0"/>
                    <w:left w:val="single" w:color="auto" w:sz="4" w:space="0"/>
                    <w:bottom w:val="single" w:color="auto" w:sz="4" w:space="0"/>
                  </w:tcBorders>
                  <w:vAlign w:val="center"/>
                </w:tcPr>
                <w:p w14:paraId="182BBF48">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施工结束后及时对临时占地进行清理、平整，植被自然恢复</w:t>
                  </w:r>
                </w:p>
              </w:tc>
            </w:tr>
            <w:tr w14:paraId="2DB1C9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37DF29C8">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0752AD9C">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H</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S监测</w:t>
                  </w:r>
                </w:p>
              </w:tc>
              <w:tc>
                <w:tcPr>
                  <w:tcW w:w="6441" w:type="dxa"/>
                  <w:tcBorders>
                    <w:top w:val="single" w:color="auto" w:sz="4" w:space="0"/>
                    <w:left w:val="single" w:color="auto" w:sz="4" w:space="0"/>
                    <w:bottom w:val="single" w:color="auto" w:sz="4" w:space="0"/>
                  </w:tcBorders>
                  <w:vAlign w:val="center"/>
                </w:tcPr>
                <w:p w14:paraId="09DAE5E2">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井场按规范设置H</w:t>
                  </w:r>
                  <w:r>
                    <w:rPr>
                      <w:rFonts w:hint="default" w:ascii="Times New Roman" w:hAnsi="Times New Roman" w:eastAsia="宋体" w:cs="Times New Roman"/>
                      <w:color w:val="000000" w:themeColor="text1"/>
                      <w:highlight w:val="none"/>
                      <w:vertAlign w:val="subscript"/>
                      <w:lang w:eastAsia="zh-CN"/>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S监测仪</w:t>
                  </w:r>
                </w:p>
              </w:tc>
            </w:tr>
            <w:tr w14:paraId="2A460F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vMerge w:val="continue"/>
                  <w:tcBorders>
                    <w:top w:val="single" w:color="auto" w:sz="4" w:space="0"/>
                    <w:bottom w:val="single" w:color="auto" w:sz="4" w:space="0"/>
                    <w:right w:val="single" w:color="auto" w:sz="4" w:space="0"/>
                  </w:tcBorders>
                  <w:vAlign w:val="center"/>
                </w:tcPr>
                <w:p w14:paraId="1879AE51">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109" w:type="dxa"/>
                  <w:gridSpan w:val="2"/>
                  <w:tcBorders>
                    <w:top w:val="single" w:color="auto" w:sz="4" w:space="0"/>
                    <w:left w:val="single" w:color="auto" w:sz="4" w:space="0"/>
                    <w:bottom w:val="single" w:color="auto" w:sz="4" w:space="0"/>
                    <w:right w:val="single" w:color="auto" w:sz="4" w:space="0"/>
                  </w:tcBorders>
                  <w:vAlign w:val="center"/>
                </w:tcPr>
                <w:p w14:paraId="0F2129AD">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环境风险</w:t>
                  </w:r>
                </w:p>
              </w:tc>
              <w:tc>
                <w:tcPr>
                  <w:tcW w:w="6441" w:type="dxa"/>
                  <w:tcBorders>
                    <w:top w:val="single" w:color="auto" w:sz="4" w:space="0"/>
                    <w:left w:val="single" w:color="auto" w:sz="4" w:space="0"/>
                    <w:bottom w:val="single" w:color="auto" w:sz="4" w:space="0"/>
                  </w:tcBorders>
                  <w:vAlign w:val="center"/>
                </w:tcPr>
                <w:p w14:paraId="064899EF">
                  <w:pPr>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安装井控装置；防止井喷；柴油罐、原油储罐等储罐底部铺设防渗材料或设置围堰，防止泄漏；硫化氢监测；对事故状态下，放喷液进行有效收集，防止污染周围地下水和土壤</w:t>
                  </w:r>
                </w:p>
              </w:tc>
            </w:tr>
            <w:tr w14:paraId="67AC36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0" w:hRule="atLeast"/>
                <w:jc w:val="center"/>
              </w:trPr>
              <w:tc>
                <w:tcPr>
                  <w:tcW w:w="669" w:type="dxa"/>
                  <w:tcBorders>
                    <w:right w:val="single" w:color="auto" w:sz="4" w:space="0"/>
                  </w:tcBorders>
                  <w:vAlign w:val="center"/>
                </w:tcPr>
                <w:p w14:paraId="5CC441F9">
                  <w:pPr>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依托工程</w:t>
                  </w:r>
                </w:p>
              </w:tc>
              <w:tc>
                <w:tcPr>
                  <w:tcW w:w="1109" w:type="dxa"/>
                  <w:gridSpan w:val="2"/>
                  <w:tcBorders>
                    <w:top w:val="single" w:color="auto" w:sz="4" w:space="0"/>
                    <w:left w:val="single" w:color="auto" w:sz="4" w:space="0"/>
                    <w:right w:val="single" w:color="auto" w:sz="4" w:space="0"/>
                  </w:tcBorders>
                  <w:vAlign w:val="center"/>
                </w:tcPr>
                <w:p w14:paraId="7023D5FB">
                  <w:pPr>
                    <w:pStyle w:val="22"/>
                    <w:keepNext w:val="0"/>
                    <w:keepLines w:val="0"/>
                    <w:pageBreakBefore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pacing w:val="6"/>
                      <w:sz w:val="21"/>
                      <w:szCs w:val="21"/>
                      <w:highlight w:val="none"/>
                      <w:lang w:eastAsia="zh-CN"/>
                      <w14:textFill>
                        <w14:solidFill>
                          <w14:schemeClr w14:val="tx1"/>
                        </w14:solidFill>
                      </w14:textFill>
                    </w:rPr>
                    <w:t>吉康</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脱水站</w:t>
                  </w:r>
                </w:p>
              </w:tc>
              <w:tc>
                <w:tcPr>
                  <w:tcW w:w="6441" w:type="dxa"/>
                  <w:tcBorders>
                    <w:top w:val="single" w:color="auto" w:sz="4" w:space="0"/>
                    <w:left w:val="single" w:color="auto" w:sz="4" w:space="0"/>
                  </w:tcBorders>
                  <w:vAlign w:val="center"/>
                </w:tcPr>
                <w:p w14:paraId="29D4E6EF">
                  <w:pPr>
                    <w:pStyle w:val="22"/>
                    <w:keepNext w:val="0"/>
                    <w:keepLines w:val="0"/>
                    <w:pageBreakBefore w:val="0"/>
                    <w:kinsoku/>
                    <w:wordWrap/>
                    <w:overflowPunct/>
                    <w:topLinePunct w:val="0"/>
                    <w:autoSpaceDE w:val="0"/>
                    <w:autoSpaceDN w:val="0"/>
                    <w:bidi w:val="0"/>
                    <w:adjustRightInd w:val="0"/>
                    <w:snapToGrid w:val="0"/>
                    <w:spacing w:line="240" w:lineRule="auto"/>
                    <w:ind w:left="0"/>
                    <w:jc w:val="both"/>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本项目试油期带罐作业，井下作业废水拉运至</w:t>
                  </w:r>
                  <w:r>
                    <w:rPr>
                      <w:rFonts w:hint="eastAsia" w:ascii="Times New Roman" w:hAnsi="Times New Roman" w:cs="Times New Roman"/>
                      <w:color w:val="000000" w:themeColor="text1"/>
                      <w:spacing w:val="6"/>
                      <w:sz w:val="21"/>
                      <w:szCs w:val="21"/>
                      <w:highlight w:val="none"/>
                      <w:lang w:eastAsia="zh-CN"/>
                      <w14:textFill>
                        <w14:solidFill>
                          <w14:schemeClr w14:val="tx1"/>
                        </w14:solidFill>
                      </w14:textFill>
                    </w:rPr>
                    <w:t>吉康</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脱水站并处理达标后，全部回注油藏。</w:t>
                  </w: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试油期原油入</w:t>
                  </w: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罐，拉运至</w:t>
                  </w:r>
                  <w:r>
                    <w:rPr>
                      <w:rFonts w:hint="eastAsia" w:ascii="Times New Roman" w:hAnsi="Times New Roman" w:cs="Times New Roman"/>
                      <w:color w:val="000000" w:themeColor="text1"/>
                      <w:spacing w:val="8"/>
                      <w:sz w:val="21"/>
                      <w:szCs w:val="21"/>
                      <w:highlight w:val="none"/>
                      <w:lang w:eastAsia="zh-CN"/>
                      <w14:textFill>
                        <w14:solidFill>
                          <w14:schemeClr w14:val="tx1"/>
                        </w14:solidFill>
                      </w14:textFill>
                    </w:rPr>
                    <w:t>吉康</w:t>
                  </w: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脱水站进行处理</w:t>
                  </w:r>
                </w:p>
              </w:tc>
            </w:tr>
            <w:bookmarkEnd w:id="6"/>
            <w:bookmarkEnd w:id="7"/>
          </w:tbl>
          <w:p w14:paraId="49C40CBF">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3.钻前工程</w:t>
            </w:r>
          </w:p>
          <w:p w14:paraId="0129E5A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钻前工程包括井场平整、生活营地搭建、进场道路的铺设等。主要工程占地详见表2-3。</w:t>
            </w:r>
          </w:p>
          <w:p w14:paraId="3F5B676C">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表2-3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lang w:eastAsia="zh-CN"/>
                <w14:textFill>
                  <w14:solidFill>
                    <w14:schemeClr w14:val="tx1"/>
                  </w14:solidFill>
                </w14:textFill>
              </w:rPr>
              <w:t>主要工程占地情况一览表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891"/>
              <w:gridCol w:w="886"/>
              <w:gridCol w:w="886"/>
              <w:gridCol w:w="886"/>
              <w:gridCol w:w="886"/>
              <w:gridCol w:w="891"/>
              <w:gridCol w:w="1476"/>
            </w:tblGrid>
            <w:tr w14:paraId="28A9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vMerge w:val="restart"/>
                  <w:vAlign w:val="center"/>
                </w:tcPr>
                <w:p w14:paraId="309B5F78">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钻井名称</w:t>
                  </w:r>
                </w:p>
              </w:tc>
              <w:tc>
                <w:tcPr>
                  <w:tcW w:w="3264" w:type="pct"/>
                  <w:gridSpan w:val="6"/>
                  <w:noWrap/>
                  <w:vAlign w:val="center"/>
                </w:tcPr>
                <w:p w14:paraId="53AA5D9A">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占地面积（m</w:t>
                  </w:r>
                  <w:r>
                    <w:rPr>
                      <w:rFonts w:hint="default" w:ascii="Times New Roman" w:hAnsi="Times New Roman" w:eastAsia="宋体" w:cs="Times New Roman"/>
                      <w:b/>
                      <w:bCs/>
                      <w:color w:val="000000" w:themeColor="text1"/>
                      <w:highlight w:val="none"/>
                      <w:vertAlign w:val="superscript"/>
                      <w:lang w:eastAsia="zh-CN" w:bidi="ar"/>
                      <w14:textFill>
                        <w14:solidFill>
                          <w14:schemeClr w14:val="tx1"/>
                        </w14:solidFill>
                      </w14:textFill>
                    </w:rPr>
                    <w:t>2</w:t>
                  </w: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w:t>
                  </w:r>
                </w:p>
              </w:tc>
              <w:tc>
                <w:tcPr>
                  <w:tcW w:w="904" w:type="pct"/>
                  <w:vMerge w:val="restart"/>
                  <w:noWrap/>
                  <w:vAlign w:val="center"/>
                </w:tcPr>
                <w:p w14:paraId="49D5C313">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占地类型</w:t>
                  </w:r>
                </w:p>
              </w:tc>
            </w:tr>
            <w:tr w14:paraId="20E4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vMerge w:val="continue"/>
                  <w:vAlign w:val="center"/>
                </w:tcPr>
                <w:p w14:paraId="08A64BC3">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b/>
                      <w:bCs/>
                      <w:color w:val="000000" w:themeColor="text1"/>
                      <w:highlight w:val="none"/>
                      <w:lang w:eastAsia="zh-CN"/>
                      <w14:textFill>
                        <w14:solidFill>
                          <w14:schemeClr w14:val="tx1"/>
                        </w14:solidFill>
                      </w14:textFill>
                    </w:rPr>
                  </w:pPr>
                </w:p>
              </w:tc>
              <w:tc>
                <w:tcPr>
                  <w:tcW w:w="546" w:type="pct"/>
                  <w:noWrap/>
                  <w:vAlign w:val="center"/>
                </w:tcPr>
                <w:p w14:paraId="6EB536C7">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井场</w:t>
                  </w:r>
                </w:p>
              </w:tc>
              <w:tc>
                <w:tcPr>
                  <w:tcW w:w="543" w:type="pct"/>
                  <w:noWrap/>
                  <w:vAlign w:val="center"/>
                </w:tcPr>
                <w:p w14:paraId="39036050">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放喷管线</w:t>
                  </w:r>
                </w:p>
              </w:tc>
              <w:tc>
                <w:tcPr>
                  <w:tcW w:w="543" w:type="pct"/>
                  <w:noWrap/>
                  <w:vAlign w:val="center"/>
                </w:tcPr>
                <w:p w14:paraId="5192A5D1">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堆土区</w:t>
                  </w:r>
                </w:p>
              </w:tc>
              <w:tc>
                <w:tcPr>
                  <w:tcW w:w="543" w:type="pct"/>
                  <w:noWrap/>
                  <w:vAlign w:val="center"/>
                </w:tcPr>
                <w:p w14:paraId="01F02B15">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生活营地</w:t>
                  </w:r>
                </w:p>
              </w:tc>
              <w:tc>
                <w:tcPr>
                  <w:tcW w:w="543" w:type="pct"/>
                  <w:noWrap/>
                  <w:vAlign w:val="center"/>
                </w:tcPr>
                <w:p w14:paraId="75B1642C">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进场道路</w:t>
                  </w:r>
                </w:p>
              </w:tc>
              <w:tc>
                <w:tcPr>
                  <w:tcW w:w="545" w:type="pct"/>
                  <w:noWrap/>
                  <w:vAlign w:val="center"/>
                </w:tcPr>
                <w:p w14:paraId="315CD7E2">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合计</w:t>
                  </w:r>
                </w:p>
              </w:tc>
              <w:tc>
                <w:tcPr>
                  <w:tcW w:w="904" w:type="pct"/>
                  <w:vMerge w:val="continue"/>
                  <w:noWrap/>
                  <w:vAlign w:val="center"/>
                </w:tcPr>
                <w:p w14:paraId="51D2D93C">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p>
              </w:tc>
            </w:tr>
            <w:tr w14:paraId="2D74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vAlign w:val="center"/>
                </w:tcPr>
                <w:p w14:paraId="0001D7EB">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吉阜103</w:t>
                  </w:r>
                  <w:r>
                    <w:rPr>
                      <w:rFonts w:hint="default" w:ascii="Times New Roman" w:hAnsi="Times New Roman" w:eastAsia="宋体" w:cs="Times New Roman"/>
                      <w:color w:val="000000" w:themeColor="text1"/>
                      <w:highlight w:val="none"/>
                      <w:lang w:eastAsia="zh-CN" w:bidi="ar"/>
                      <w14:textFill>
                        <w14:solidFill>
                          <w14:schemeClr w14:val="tx1"/>
                        </w14:solidFill>
                      </w14:textFill>
                    </w:rPr>
                    <w:t>H</w:t>
                  </w:r>
                </w:p>
              </w:tc>
              <w:tc>
                <w:tcPr>
                  <w:tcW w:w="546" w:type="pct"/>
                  <w:noWrap/>
                  <w:vAlign w:val="center"/>
                </w:tcPr>
                <w:p w14:paraId="61C4F356">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12000</w:t>
                  </w:r>
                </w:p>
              </w:tc>
              <w:tc>
                <w:tcPr>
                  <w:tcW w:w="543" w:type="pct"/>
                  <w:noWrap/>
                  <w:vAlign w:val="center"/>
                </w:tcPr>
                <w:p w14:paraId="5BB82773">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125</w:t>
                  </w:r>
                </w:p>
              </w:tc>
              <w:tc>
                <w:tcPr>
                  <w:tcW w:w="543" w:type="pct"/>
                  <w:noWrap/>
                  <w:vAlign w:val="center"/>
                </w:tcPr>
                <w:p w14:paraId="42CE3C1F">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w:t>
                  </w:r>
                </w:p>
              </w:tc>
              <w:tc>
                <w:tcPr>
                  <w:tcW w:w="543" w:type="pct"/>
                  <w:noWrap/>
                  <w:vAlign w:val="center"/>
                </w:tcPr>
                <w:p w14:paraId="7CE546D4">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2400</w:t>
                  </w:r>
                </w:p>
              </w:tc>
              <w:tc>
                <w:tcPr>
                  <w:tcW w:w="543" w:type="pct"/>
                  <w:noWrap/>
                  <w:vAlign w:val="center"/>
                </w:tcPr>
                <w:p w14:paraId="02DB1D7E">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4606</w:t>
                  </w:r>
                </w:p>
              </w:tc>
              <w:tc>
                <w:tcPr>
                  <w:tcW w:w="545" w:type="pct"/>
                  <w:noWrap/>
                  <w:vAlign w:val="center"/>
                </w:tcPr>
                <w:p w14:paraId="2B072299">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19131</w:t>
                  </w:r>
                </w:p>
              </w:tc>
              <w:tc>
                <w:tcPr>
                  <w:tcW w:w="904" w:type="pct"/>
                  <w:noWrap/>
                  <w:vAlign w:val="center"/>
                </w:tcPr>
                <w:p w14:paraId="4BC7076C">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灌木林地</w:t>
                  </w:r>
                </w:p>
              </w:tc>
            </w:tr>
            <w:tr w14:paraId="6026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vAlign w:val="center"/>
                </w:tcPr>
                <w:p w14:paraId="6E6F76E8">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吉阜1001</w:t>
                  </w:r>
                  <w:r>
                    <w:rPr>
                      <w:rFonts w:hint="default" w:ascii="Times New Roman" w:hAnsi="Times New Roman" w:eastAsia="宋体" w:cs="Times New Roman"/>
                      <w:color w:val="000000" w:themeColor="text1"/>
                      <w:highlight w:val="none"/>
                      <w:lang w:eastAsia="zh-CN" w:bidi="ar"/>
                      <w14:textFill>
                        <w14:solidFill>
                          <w14:schemeClr w14:val="tx1"/>
                        </w14:solidFill>
                      </w14:textFill>
                    </w:rPr>
                    <w:t>H</w:t>
                  </w:r>
                </w:p>
              </w:tc>
              <w:tc>
                <w:tcPr>
                  <w:tcW w:w="546" w:type="pct"/>
                  <w:noWrap/>
                  <w:vAlign w:val="center"/>
                </w:tcPr>
                <w:p w14:paraId="453188C8">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12000</w:t>
                  </w:r>
                </w:p>
              </w:tc>
              <w:tc>
                <w:tcPr>
                  <w:tcW w:w="543" w:type="pct"/>
                  <w:noWrap/>
                  <w:vAlign w:val="center"/>
                </w:tcPr>
                <w:p w14:paraId="18594D15">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300</w:t>
                  </w:r>
                </w:p>
              </w:tc>
              <w:tc>
                <w:tcPr>
                  <w:tcW w:w="543" w:type="pct"/>
                  <w:noWrap/>
                  <w:vAlign w:val="center"/>
                </w:tcPr>
                <w:p w14:paraId="34EECBBD">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w:t>
                  </w:r>
                </w:p>
              </w:tc>
              <w:tc>
                <w:tcPr>
                  <w:tcW w:w="543" w:type="pct"/>
                  <w:noWrap/>
                  <w:vAlign w:val="center"/>
                </w:tcPr>
                <w:p w14:paraId="480AD279">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2400</w:t>
                  </w:r>
                </w:p>
              </w:tc>
              <w:tc>
                <w:tcPr>
                  <w:tcW w:w="543" w:type="pct"/>
                  <w:noWrap/>
                  <w:vAlign w:val="center"/>
                </w:tcPr>
                <w:p w14:paraId="62394A5D">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9000</w:t>
                  </w:r>
                </w:p>
              </w:tc>
              <w:tc>
                <w:tcPr>
                  <w:tcW w:w="545" w:type="pct"/>
                  <w:noWrap/>
                  <w:vAlign w:val="center"/>
                </w:tcPr>
                <w:p w14:paraId="4AE6CCE4">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23700</w:t>
                  </w:r>
                </w:p>
              </w:tc>
              <w:tc>
                <w:tcPr>
                  <w:tcW w:w="904" w:type="pct"/>
                  <w:noWrap/>
                  <w:vAlign w:val="center"/>
                </w:tcPr>
                <w:p w14:paraId="134F3161">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灌木林地</w:t>
                  </w:r>
                </w:p>
              </w:tc>
            </w:tr>
            <w:tr w14:paraId="33004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1" w:type="pct"/>
                  <w:noWrap/>
                  <w:vAlign w:val="center"/>
                </w:tcPr>
                <w:p w14:paraId="2FFEAFC1">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合计</w:t>
                  </w:r>
                </w:p>
              </w:tc>
              <w:tc>
                <w:tcPr>
                  <w:tcW w:w="546" w:type="pct"/>
                  <w:noWrap/>
                  <w:vAlign w:val="center"/>
                </w:tcPr>
                <w:p w14:paraId="58A95428">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24000</w:t>
                  </w:r>
                </w:p>
              </w:tc>
              <w:tc>
                <w:tcPr>
                  <w:tcW w:w="543" w:type="pct"/>
                  <w:noWrap/>
                  <w:vAlign w:val="center"/>
                </w:tcPr>
                <w:p w14:paraId="730E6296">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425</w:t>
                  </w:r>
                </w:p>
              </w:tc>
              <w:tc>
                <w:tcPr>
                  <w:tcW w:w="543" w:type="pct"/>
                  <w:noWrap/>
                  <w:vAlign w:val="center"/>
                </w:tcPr>
                <w:p w14:paraId="09E90F74">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w:t>
                  </w:r>
                </w:p>
              </w:tc>
              <w:tc>
                <w:tcPr>
                  <w:tcW w:w="543" w:type="pct"/>
                  <w:noWrap/>
                  <w:vAlign w:val="center"/>
                </w:tcPr>
                <w:p w14:paraId="4D028B77">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2"/>
                      <w:szCs w:val="22"/>
                      <w:highlight w:val="none"/>
                      <w:lang w:eastAsia="zh-CN" w:bidi="ar"/>
                      <w14:textFill>
                        <w14:solidFill>
                          <w14:schemeClr w14:val="tx1"/>
                        </w14:solidFill>
                      </w14:textFill>
                    </w:rPr>
                    <w:t>4800</w:t>
                  </w:r>
                </w:p>
              </w:tc>
              <w:tc>
                <w:tcPr>
                  <w:tcW w:w="543" w:type="pct"/>
                  <w:noWrap/>
                  <w:vAlign w:val="center"/>
                </w:tcPr>
                <w:p w14:paraId="75AD2227">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13606</w:t>
                  </w:r>
                </w:p>
              </w:tc>
              <w:tc>
                <w:tcPr>
                  <w:tcW w:w="545" w:type="pct"/>
                  <w:noWrap/>
                  <w:vAlign w:val="center"/>
                </w:tcPr>
                <w:p w14:paraId="0E042EC7">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42831</w:t>
                  </w:r>
                </w:p>
              </w:tc>
              <w:tc>
                <w:tcPr>
                  <w:tcW w:w="904" w:type="pct"/>
                  <w:noWrap/>
                  <w:vAlign w:val="center"/>
                </w:tcPr>
                <w:p w14:paraId="51833E77">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w:t>
                  </w:r>
                </w:p>
              </w:tc>
            </w:tr>
          </w:tbl>
          <w:p w14:paraId="2BE0CF9D">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上述临时占地类型为灌木林地，单井临时占地征用时间约为390天。探井钻试结束后根据试采结果确定后续是否进行开发，若无利用价值则永久封井，恢复地貌，若适宜开采，可转为生产井，则不进行封井，在井口安装采油树，并尽快开展产能开发建设环境影响评价工作，编制相应的环境影响评价文件，办理相应永久占地手续。</w:t>
            </w:r>
          </w:p>
          <w:p w14:paraId="6A8995BF">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4.钻井工程</w:t>
            </w:r>
          </w:p>
          <w:p w14:paraId="3B42A6D0">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4.1钻井基本参数</w:t>
            </w:r>
          </w:p>
          <w:p w14:paraId="07065F0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本次拟钻井主要技术参数见表2-4。</w:t>
            </w:r>
          </w:p>
          <w:p w14:paraId="1A77F40C">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表2-4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lang w:eastAsia="zh-CN"/>
                <w14:textFill>
                  <w14:solidFill>
                    <w14:schemeClr w14:val="tx1"/>
                  </w14:solidFill>
                </w14:textFill>
              </w:rPr>
              <w:t>钻井基本参数</w:t>
            </w:r>
          </w:p>
          <w:tbl>
            <w:tblPr>
              <w:tblStyle w:val="16"/>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98"/>
              <w:gridCol w:w="1209"/>
              <w:gridCol w:w="1135"/>
              <w:gridCol w:w="1281"/>
              <w:gridCol w:w="1134"/>
              <w:gridCol w:w="1153"/>
            </w:tblGrid>
            <w:tr w14:paraId="32C0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34" w:type="pct"/>
                  <w:vAlign w:val="center"/>
                </w:tcPr>
                <w:p w14:paraId="06DA30CD">
                  <w:pPr>
                    <w:keepNext w:val="0"/>
                    <w:keepLines w:val="0"/>
                    <w:pageBreakBefore w:val="0"/>
                    <w:widowControl/>
                    <w:kinsoku/>
                    <w:wordWrap/>
                    <w:overflowPunct/>
                    <w:topLinePunct w:val="0"/>
                    <w:autoSpaceDE w:val="0"/>
                    <w:autoSpaceDN w:val="0"/>
                    <w:bidi w:val="0"/>
                    <w:adjustRightInd w:val="0"/>
                    <w:snapToGrid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序号</w:t>
                  </w:r>
                </w:p>
              </w:tc>
              <w:tc>
                <w:tcPr>
                  <w:tcW w:w="922" w:type="pct"/>
                  <w:vAlign w:val="center"/>
                </w:tcPr>
                <w:p w14:paraId="7B8EE40A">
                  <w:pPr>
                    <w:keepNext w:val="0"/>
                    <w:keepLines w:val="0"/>
                    <w:pageBreakBefore w:val="0"/>
                    <w:widowControl/>
                    <w:kinsoku/>
                    <w:wordWrap/>
                    <w:overflowPunct/>
                    <w:topLinePunct w:val="0"/>
                    <w:autoSpaceDE w:val="0"/>
                    <w:autoSpaceDN w:val="0"/>
                    <w:bidi w:val="0"/>
                    <w:adjustRightInd w:val="0"/>
                    <w:snapToGrid w:val="0"/>
                    <w:jc w:val="center"/>
                    <w:textAlignment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井号</w:t>
                  </w:r>
                </w:p>
              </w:tc>
              <w:tc>
                <w:tcPr>
                  <w:tcW w:w="744" w:type="pct"/>
                  <w:vAlign w:val="center"/>
                </w:tcPr>
                <w:p w14:paraId="33CF3CFC">
                  <w:pPr>
                    <w:keepNext w:val="0"/>
                    <w:keepLines w:val="0"/>
                    <w:pageBreakBefore w:val="0"/>
                    <w:widowControl/>
                    <w:kinsoku/>
                    <w:wordWrap/>
                    <w:overflowPunct/>
                    <w:topLinePunct w:val="0"/>
                    <w:autoSpaceDE w:val="0"/>
                    <w:autoSpaceDN w:val="0"/>
                    <w:bidi w:val="0"/>
                    <w:adjustRightInd w:val="0"/>
                    <w:snapToGrid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井别</w:t>
                  </w:r>
                </w:p>
              </w:tc>
              <w:tc>
                <w:tcPr>
                  <w:tcW w:w="699" w:type="pct"/>
                  <w:vAlign w:val="center"/>
                </w:tcPr>
                <w:p w14:paraId="30635202">
                  <w:pPr>
                    <w:keepNext w:val="0"/>
                    <w:keepLines w:val="0"/>
                    <w:pageBreakBefore w:val="0"/>
                    <w:widowControl/>
                    <w:kinsoku/>
                    <w:wordWrap/>
                    <w:overflowPunct/>
                    <w:topLinePunct w:val="0"/>
                    <w:autoSpaceDE w:val="0"/>
                    <w:autoSpaceDN w:val="0"/>
                    <w:bidi w:val="0"/>
                    <w:adjustRightInd w:val="0"/>
                    <w:snapToGrid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井型</w:t>
                  </w:r>
                </w:p>
              </w:tc>
              <w:tc>
                <w:tcPr>
                  <w:tcW w:w="789" w:type="pct"/>
                  <w:vAlign w:val="center"/>
                </w:tcPr>
                <w:p w14:paraId="6D4DF4FC">
                  <w:pPr>
                    <w:keepNext w:val="0"/>
                    <w:keepLines w:val="0"/>
                    <w:pageBreakBefore w:val="0"/>
                    <w:widowControl/>
                    <w:kinsoku/>
                    <w:wordWrap/>
                    <w:overflowPunct/>
                    <w:topLinePunct w:val="0"/>
                    <w:autoSpaceDE w:val="0"/>
                    <w:autoSpaceDN w:val="0"/>
                    <w:bidi w:val="0"/>
                    <w:adjustRightInd w:val="0"/>
                    <w:snapToGrid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eastAsia" w:ascii="Times New Roman" w:hAnsi="Times New Roman" w:eastAsia="宋体" w:cs="Times New Roman"/>
                      <w:b/>
                      <w:bCs/>
                      <w:color w:val="000000" w:themeColor="text1"/>
                      <w:highlight w:val="none"/>
                      <w:lang w:eastAsia="zh-CN"/>
                      <w14:textFill>
                        <w14:solidFill>
                          <w14:schemeClr w14:val="tx1"/>
                        </w14:solidFill>
                      </w14:textFill>
                    </w:rPr>
                    <w:t>井身结构</w:t>
                  </w:r>
                </w:p>
              </w:tc>
              <w:tc>
                <w:tcPr>
                  <w:tcW w:w="698" w:type="pct"/>
                  <w:vAlign w:val="center"/>
                </w:tcPr>
                <w:p w14:paraId="62BC54B7">
                  <w:pPr>
                    <w:keepNext w:val="0"/>
                    <w:keepLines w:val="0"/>
                    <w:pageBreakBefore w:val="0"/>
                    <w:widowControl/>
                    <w:kinsoku/>
                    <w:wordWrap/>
                    <w:overflowPunct/>
                    <w:topLinePunct w:val="0"/>
                    <w:autoSpaceDE w:val="0"/>
                    <w:autoSpaceDN w:val="0"/>
                    <w:bidi w:val="0"/>
                    <w:adjustRightInd w:val="0"/>
                    <w:snapToGrid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设计井深</w:t>
                  </w:r>
                </w:p>
              </w:tc>
              <w:tc>
                <w:tcPr>
                  <w:tcW w:w="710" w:type="pct"/>
                  <w:vAlign w:val="center"/>
                </w:tcPr>
                <w:p w14:paraId="6E0AE358">
                  <w:pPr>
                    <w:keepNext w:val="0"/>
                    <w:keepLines w:val="0"/>
                    <w:pageBreakBefore w:val="0"/>
                    <w:widowControl/>
                    <w:kinsoku/>
                    <w:wordWrap/>
                    <w:overflowPunct/>
                    <w:topLinePunct w:val="0"/>
                    <w:autoSpaceDE w:val="0"/>
                    <w:autoSpaceDN w:val="0"/>
                    <w:bidi w:val="0"/>
                    <w:adjustRightInd w:val="0"/>
                    <w:snapToGrid w:val="0"/>
                    <w:jc w:val="center"/>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钻井周期</w:t>
                  </w:r>
                </w:p>
              </w:tc>
            </w:tr>
            <w:tr w14:paraId="3994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34" w:type="pct"/>
                  <w:vAlign w:val="center"/>
                </w:tcPr>
                <w:p w14:paraId="20B818BE">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922" w:type="pct"/>
                  <w:vAlign w:val="center"/>
                </w:tcPr>
                <w:p w14:paraId="5199E2ED">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吉阜1</w:t>
                  </w:r>
                  <w:r>
                    <w:rPr>
                      <w:rFonts w:hint="default" w:ascii="Times New Roman" w:hAnsi="Times New Roman" w:eastAsia="宋体" w:cs="Times New Roman"/>
                      <w:color w:val="000000" w:themeColor="text1"/>
                      <w:highlight w:val="none"/>
                      <w:lang w:eastAsia="zh-CN" w:bidi="ar"/>
                      <w14:textFill>
                        <w14:solidFill>
                          <w14:schemeClr w14:val="tx1"/>
                        </w14:solidFill>
                      </w14:textFill>
                    </w:rPr>
                    <w:t>03H</w:t>
                  </w:r>
                </w:p>
              </w:tc>
              <w:tc>
                <w:tcPr>
                  <w:tcW w:w="744" w:type="pct"/>
                  <w:vAlign w:val="center"/>
                </w:tcPr>
                <w:p w14:paraId="17A376E4">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评价井</w:t>
                  </w:r>
                </w:p>
              </w:tc>
              <w:tc>
                <w:tcPr>
                  <w:tcW w:w="699" w:type="pct"/>
                  <w:vAlign w:val="center"/>
                </w:tcPr>
                <w:p w14:paraId="7514C5AB">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直</w:t>
                  </w:r>
                  <w:r>
                    <w:rPr>
                      <w:rFonts w:hint="default" w:ascii="Times New Roman" w:hAnsi="Times New Roman" w:eastAsia="宋体" w:cs="Times New Roman"/>
                      <w:color w:val="000000" w:themeColor="text1"/>
                      <w:highlight w:val="none"/>
                      <w:lang w:eastAsia="zh-CN" w:bidi="ar"/>
                      <w14:textFill>
                        <w14:solidFill>
                          <w14:schemeClr w14:val="tx1"/>
                        </w14:solidFill>
                      </w14:textFill>
                    </w:rPr>
                    <w:t>井</w:t>
                  </w:r>
                </w:p>
              </w:tc>
              <w:tc>
                <w:tcPr>
                  <w:tcW w:w="789" w:type="pct"/>
                  <w:vAlign w:val="center"/>
                </w:tcPr>
                <w:p w14:paraId="38F01DD8">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三开</w:t>
                  </w:r>
                </w:p>
              </w:tc>
              <w:tc>
                <w:tcPr>
                  <w:tcW w:w="698" w:type="pct"/>
                  <w:vAlign w:val="center"/>
                </w:tcPr>
                <w:p w14:paraId="6EB5B085">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3980</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m</w:t>
                  </w:r>
                </w:p>
              </w:tc>
              <w:tc>
                <w:tcPr>
                  <w:tcW w:w="710" w:type="pct"/>
                  <w:vAlign w:val="center"/>
                </w:tcPr>
                <w:p w14:paraId="4B41E257">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9</w:t>
                  </w:r>
                  <w:r>
                    <w:rPr>
                      <w:rFonts w:hint="default" w:ascii="Times New Roman" w:hAnsi="Times New Roman" w:eastAsia="宋体" w:cs="Times New Roman"/>
                      <w:color w:val="000000" w:themeColor="text1"/>
                      <w:highlight w:val="none"/>
                      <w:lang w:eastAsia="zh-CN" w:bidi="ar"/>
                      <w14:textFill>
                        <w14:solidFill>
                          <w14:schemeClr w14:val="tx1"/>
                        </w14:solidFill>
                      </w14:textFill>
                    </w:rPr>
                    <w:t>0d</w:t>
                  </w:r>
                </w:p>
              </w:tc>
            </w:tr>
            <w:tr w14:paraId="72AD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434" w:type="pct"/>
                  <w:vAlign w:val="center"/>
                </w:tcPr>
                <w:p w14:paraId="241C4C78">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w:t>
                  </w:r>
                </w:p>
              </w:tc>
              <w:tc>
                <w:tcPr>
                  <w:tcW w:w="922" w:type="pct"/>
                  <w:vAlign w:val="center"/>
                </w:tcPr>
                <w:p w14:paraId="6CAE4A51">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吉阜1001</w:t>
                  </w:r>
                  <w:r>
                    <w:rPr>
                      <w:rFonts w:hint="default" w:ascii="Times New Roman" w:hAnsi="Times New Roman" w:eastAsia="宋体" w:cs="Times New Roman"/>
                      <w:color w:val="000000" w:themeColor="text1"/>
                      <w:highlight w:val="none"/>
                      <w:lang w:eastAsia="zh-CN" w:bidi="ar"/>
                      <w14:textFill>
                        <w14:solidFill>
                          <w14:schemeClr w14:val="tx1"/>
                        </w14:solidFill>
                      </w14:textFill>
                    </w:rPr>
                    <w:t>H</w:t>
                  </w:r>
                </w:p>
              </w:tc>
              <w:tc>
                <w:tcPr>
                  <w:tcW w:w="744" w:type="pct"/>
                  <w:vAlign w:val="center"/>
                </w:tcPr>
                <w:p w14:paraId="75660480">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评价井</w:t>
                  </w:r>
                </w:p>
              </w:tc>
              <w:tc>
                <w:tcPr>
                  <w:tcW w:w="699" w:type="pct"/>
                  <w:vAlign w:val="center"/>
                </w:tcPr>
                <w:p w14:paraId="65C7A519">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水平井</w:t>
                  </w:r>
                </w:p>
              </w:tc>
              <w:tc>
                <w:tcPr>
                  <w:tcW w:w="789" w:type="pct"/>
                  <w:vAlign w:val="center"/>
                </w:tcPr>
                <w:p w14:paraId="3715A100">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二</w:t>
                  </w:r>
                  <w:r>
                    <w:rPr>
                      <w:rFonts w:hint="default" w:ascii="Times New Roman" w:hAnsi="Times New Roman" w:eastAsia="宋体" w:cs="Times New Roman"/>
                      <w:color w:val="000000" w:themeColor="text1"/>
                      <w:highlight w:val="none"/>
                      <w:lang w:eastAsia="zh-CN" w:bidi="ar"/>
                      <w14:textFill>
                        <w14:solidFill>
                          <w14:schemeClr w14:val="tx1"/>
                        </w14:solidFill>
                      </w14:textFill>
                    </w:rPr>
                    <w:t>开</w:t>
                  </w:r>
                </w:p>
              </w:tc>
              <w:tc>
                <w:tcPr>
                  <w:tcW w:w="698" w:type="pct"/>
                  <w:vAlign w:val="center"/>
                </w:tcPr>
                <w:p w14:paraId="53CE4C93">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spacing w:val="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pacing w:val="4"/>
                      <w:highlight w:val="none"/>
                      <w:lang w:val="en-US" w:eastAsia="zh-CN"/>
                      <w14:textFill>
                        <w14:solidFill>
                          <w14:schemeClr w14:val="tx1"/>
                        </w14:solidFill>
                      </w14:textFill>
                    </w:rPr>
                    <w:t>248</w:t>
                  </w: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m</w:t>
                  </w:r>
                </w:p>
              </w:tc>
              <w:tc>
                <w:tcPr>
                  <w:tcW w:w="710" w:type="pct"/>
                  <w:vAlign w:val="center"/>
                </w:tcPr>
                <w:p w14:paraId="2C5C797F">
                  <w:pPr>
                    <w:keepNext w:val="0"/>
                    <w:keepLines w:val="0"/>
                    <w:pageBreakBefore w:val="0"/>
                    <w:widowControl/>
                    <w:kinsoku/>
                    <w:wordWrap/>
                    <w:overflowPunct/>
                    <w:topLinePunct w:val="0"/>
                    <w:autoSpaceDE w:val="0"/>
                    <w:autoSpaceDN w:val="0"/>
                    <w:bidi w:val="0"/>
                    <w:adjustRightInd w:val="0"/>
                    <w:snapToGrid w:val="0"/>
                    <w:jc w:val="center"/>
                    <w:textAlignment w:val="top"/>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7</w:t>
                  </w:r>
                  <w:r>
                    <w:rPr>
                      <w:rFonts w:hint="default" w:ascii="Times New Roman" w:hAnsi="Times New Roman" w:eastAsia="宋体" w:cs="Times New Roman"/>
                      <w:color w:val="000000" w:themeColor="text1"/>
                      <w:highlight w:val="none"/>
                      <w:lang w:eastAsia="zh-CN" w:bidi="ar"/>
                      <w14:textFill>
                        <w14:solidFill>
                          <w14:schemeClr w14:val="tx1"/>
                        </w14:solidFill>
                      </w14:textFill>
                    </w:rPr>
                    <w:t>0d</w:t>
                  </w:r>
                </w:p>
              </w:tc>
            </w:tr>
          </w:tbl>
          <w:p w14:paraId="106AFA06">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4.2井身结构</w:t>
            </w:r>
          </w:p>
          <w:p w14:paraId="730673B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本次拟钻井井身结构数据见表2-5，井身结构设计说明见表2-6，井身结构图见图2-1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59934FBC">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 xml:space="preserve">表2-5 </w:t>
            </w:r>
            <w:r>
              <w:rPr>
                <w:rFonts w:hint="eastAsia" w:ascii="Times New Roman" w:hAnsi="Times New Roman" w:cs="Times New Roman"/>
                <w:b/>
                <w:bCs/>
                <w:color w:val="000000" w:themeColor="text1"/>
                <w:spacing w:val="5"/>
                <w:sz w:val="21"/>
                <w:szCs w:val="21"/>
                <w:highlight w:val="none"/>
                <w:lang w:val="en-US" w:eastAsia="zh-CN"/>
                <w14:textFill>
                  <w14:solidFill>
                    <w14:schemeClr w14:val="tx1"/>
                  </w14:solidFill>
                </w14:textFill>
              </w:rPr>
              <w:t xml:space="preserve"> 吉阜103H</w:t>
            </w: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井身结构设计数据表</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6"/>
              <w:gridCol w:w="549"/>
              <w:gridCol w:w="1089"/>
              <w:gridCol w:w="1089"/>
              <w:gridCol w:w="1628"/>
              <w:gridCol w:w="1628"/>
              <w:gridCol w:w="1634"/>
            </w:tblGrid>
            <w:tr w14:paraId="7597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289" w:type="dxa"/>
                  <w:gridSpan w:val="7"/>
                  <w:vAlign w:val="center"/>
                </w:tcPr>
                <w:p w14:paraId="01B0A981">
                  <w:pPr>
                    <w:pStyle w:val="25"/>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eastAsia="宋体" w:cs="Times New Roman"/>
                      <w:b/>
                      <w:bCs/>
                      <w:color w:val="000000" w:themeColor="text1"/>
                      <w:sz w:val="21"/>
                      <w:szCs w:val="21"/>
                      <w:lang w:val="en-US" w:eastAsia="zh-CN"/>
                      <w14:textFill>
                        <w14:solidFill>
                          <w14:schemeClr w14:val="tx1"/>
                        </w14:solidFill>
                      </w14:textFill>
                    </w:rPr>
                    <w:t>吉阜103H井</w:t>
                  </w:r>
                </w:p>
              </w:tc>
            </w:tr>
            <w:tr w14:paraId="5CCA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Align w:val="center"/>
                </w:tcPr>
                <w:p w14:paraId="2C8DBB8F">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开钻</w:t>
                  </w:r>
                </w:p>
                <w:p w14:paraId="3B84E825">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次序</w:t>
                  </w:r>
                </w:p>
              </w:tc>
              <w:tc>
                <w:tcPr>
                  <w:tcW w:w="557" w:type="dxa"/>
                  <w:vAlign w:val="center"/>
                </w:tcPr>
                <w:p w14:paraId="275CCF8C">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井深</w:t>
                  </w:r>
                </w:p>
                <w:p w14:paraId="4DDEF1E4">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w:t>
                  </w:r>
                </w:p>
              </w:tc>
              <w:tc>
                <w:tcPr>
                  <w:tcW w:w="1106" w:type="dxa"/>
                  <w:vAlign w:val="center"/>
                </w:tcPr>
                <w:p w14:paraId="627EDF95">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钻头尺寸</w:t>
                  </w:r>
                </w:p>
                <w:p w14:paraId="79060FAF">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(mm)</w:t>
                  </w:r>
                </w:p>
              </w:tc>
              <w:tc>
                <w:tcPr>
                  <w:tcW w:w="1106" w:type="dxa"/>
                  <w:vAlign w:val="center"/>
                </w:tcPr>
                <w:p w14:paraId="55A58D23">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套管尺寸</w:t>
                  </w:r>
                </w:p>
                <w:p w14:paraId="1210D9E7">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(mm)</w:t>
                  </w:r>
                </w:p>
              </w:tc>
              <w:tc>
                <w:tcPr>
                  <w:tcW w:w="1653" w:type="dxa"/>
                  <w:vAlign w:val="center"/>
                </w:tcPr>
                <w:p w14:paraId="2CACD07D">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套管下入层位</w:t>
                  </w:r>
                </w:p>
              </w:tc>
              <w:tc>
                <w:tcPr>
                  <w:tcW w:w="1653" w:type="dxa"/>
                  <w:vAlign w:val="center"/>
                </w:tcPr>
                <w:p w14:paraId="477DF11C">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套管下入深度</w:t>
                  </w:r>
                </w:p>
                <w:p w14:paraId="6190991F">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w:t>
                  </w:r>
                </w:p>
              </w:tc>
              <w:tc>
                <w:tcPr>
                  <w:tcW w:w="1659" w:type="dxa"/>
                  <w:vAlign w:val="center"/>
                </w:tcPr>
                <w:p w14:paraId="402C3BCE">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环空水泥返深</w:t>
                  </w:r>
                </w:p>
                <w:p w14:paraId="05447016">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(m)</w:t>
                  </w:r>
                </w:p>
              </w:tc>
            </w:tr>
            <w:tr w14:paraId="380D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Align w:val="center"/>
                </w:tcPr>
                <w:p w14:paraId="558DE5A0">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导眼</w:t>
                  </w:r>
                </w:p>
              </w:tc>
              <w:tc>
                <w:tcPr>
                  <w:tcW w:w="557" w:type="dxa"/>
                  <w:vAlign w:val="center"/>
                </w:tcPr>
                <w:p w14:paraId="01083F57">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50</w:t>
                  </w:r>
                </w:p>
              </w:tc>
              <w:tc>
                <w:tcPr>
                  <w:tcW w:w="1106" w:type="dxa"/>
                  <w:vAlign w:val="center"/>
                </w:tcPr>
                <w:p w14:paraId="15345FE7">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Φ660</w:t>
                  </w:r>
                </w:p>
              </w:tc>
              <w:tc>
                <w:tcPr>
                  <w:tcW w:w="1106" w:type="dxa"/>
                  <w:vAlign w:val="center"/>
                </w:tcPr>
                <w:p w14:paraId="678CF89D">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Φ508</w:t>
                  </w:r>
                </w:p>
              </w:tc>
              <w:tc>
                <w:tcPr>
                  <w:tcW w:w="1653" w:type="dxa"/>
                  <w:vAlign w:val="center"/>
                </w:tcPr>
                <w:p w14:paraId="3D3CA9AB">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Q</w:t>
                  </w:r>
                </w:p>
              </w:tc>
              <w:tc>
                <w:tcPr>
                  <w:tcW w:w="1653" w:type="dxa"/>
                  <w:vAlign w:val="center"/>
                </w:tcPr>
                <w:p w14:paraId="58D0B9B5">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50</w:t>
                  </w:r>
                </w:p>
              </w:tc>
              <w:tc>
                <w:tcPr>
                  <w:tcW w:w="1659" w:type="dxa"/>
                  <w:vAlign w:val="center"/>
                </w:tcPr>
                <w:p w14:paraId="262B23A7">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r>
            <w:tr w14:paraId="16A8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Align w:val="center"/>
                </w:tcPr>
                <w:p w14:paraId="00F3E7D8">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一开</w:t>
                  </w:r>
                </w:p>
              </w:tc>
              <w:tc>
                <w:tcPr>
                  <w:tcW w:w="557" w:type="dxa"/>
                  <w:vAlign w:val="center"/>
                </w:tcPr>
                <w:p w14:paraId="3DED3D53">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750</w:t>
                  </w:r>
                </w:p>
              </w:tc>
              <w:tc>
                <w:tcPr>
                  <w:tcW w:w="1106" w:type="dxa"/>
                  <w:vAlign w:val="center"/>
                </w:tcPr>
                <w:p w14:paraId="17EF5EF1">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Φ444.5</w:t>
                  </w:r>
                </w:p>
              </w:tc>
              <w:tc>
                <w:tcPr>
                  <w:tcW w:w="1106" w:type="dxa"/>
                  <w:vAlign w:val="center"/>
                </w:tcPr>
                <w:p w14:paraId="7C11DEEA">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Φ339.7</w:t>
                  </w:r>
                </w:p>
              </w:tc>
              <w:tc>
                <w:tcPr>
                  <w:tcW w:w="1653" w:type="dxa"/>
                  <w:vAlign w:val="center"/>
                </w:tcPr>
                <w:p w14:paraId="06860D07">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E</w:t>
                  </w:r>
                </w:p>
              </w:tc>
              <w:tc>
                <w:tcPr>
                  <w:tcW w:w="1653" w:type="dxa"/>
                  <w:vAlign w:val="center"/>
                </w:tcPr>
                <w:p w14:paraId="3A53D99A">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750</w:t>
                  </w:r>
                </w:p>
              </w:tc>
              <w:tc>
                <w:tcPr>
                  <w:tcW w:w="1659" w:type="dxa"/>
                  <w:vAlign w:val="center"/>
                </w:tcPr>
                <w:p w14:paraId="450E6F96">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r>
            <w:tr w14:paraId="3C2A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Align w:val="center"/>
                </w:tcPr>
                <w:p w14:paraId="3A891794">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二开</w:t>
                  </w:r>
                </w:p>
              </w:tc>
              <w:tc>
                <w:tcPr>
                  <w:tcW w:w="557" w:type="dxa"/>
                  <w:vAlign w:val="center"/>
                </w:tcPr>
                <w:p w14:paraId="5E475DD4">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2870</w:t>
                  </w:r>
                </w:p>
              </w:tc>
              <w:tc>
                <w:tcPr>
                  <w:tcW w:w="1106" w:type="dxa"/>
                  <w:vAlign w:val="center"/>
                </w:tcPr>
                <w:p w14:paraId="0C07AF50">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Φ311</w:t>
                  </w:r>
                </w:p>
              </w:tc>
              <w:tc>
                <w:tcPr>
                  <w:tcW w:w="1106" w:type="dxa"/>
                  <w:vAlign w:val="center"/>
                </w:tcPr>
                <w:p w14:paraId="7735D494">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Φ244.5</w:t>
                  </w:r>
                </w:p>
              </w:tc>
              <w:tc>
                <w:tcPr>
                  <w:tcW w:w="1653" w:type="dxa"/>
                  <w:vAlign w:val="center"/>
                </w:tcPr>
                <w:p w14:paraId="0124AF42">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T</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j</w:t>
                  </w:r>
                </w:p>
              </w:tc>
              <w:tc>
                <w:tcPr>
                  <w:tcW w:w="1653" w:type="dxa"/>
                  <w:vAlign w:val="center"/>
                </w:tcPr>
                <w:p w14:paraId="2BA54B9F">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2870</w:t>
                  </w:r>
                </w:p>
              </w:tc>
              <w:tc>
                <w:tcPr>
                  <w:tcW w:w="1659" w:type="dxa"/>
                  <w:vAlign w:val="center"/>
                </w:tcPr>
                <w:p w14:paraId="5A195CEE">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r>
            <w:tr w14:paraId="7DF7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Align w:val="center"/>
                </w:tcPr>
                <w:p w14:paraId="5545E8C7">
                  <w:pPr>
                    <w:pStyle w:val="25"/>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eastAsia="宋体" w:cs="Times New Roman"/>
                      <w:b/>
                      <w:bCs/>
                      <w:color w:val="000000" w:themeColor="text1"/>
                      <w:sz w:val="21"/>
                      <w:szCs w:val="21"/>
                      <w:lang w:val="en-US" w:eastAsia="zh-CN"/>
                      <w14:textFill>
                        <w14:solidFill>
                          <w14:schemeClr w14:val="tx1"/>
                        </w14:solidFill>
                      </w14:textFill>
                    </w:rPr>
                    <w:t>三</w:t>
                  </w:r>
                  <w:r>
                    <w:rPr>
                      <w:rFonts w:hint="default" w:ascii="Times New Roman" w:hAnsi="Times New Roman" w:eastAsia="宋体" w:cs="Times New Roman"/>
                      <w:b/>
                      <w:bCs/>
                      <w:color w:val="000000" w:themeColor="text1"/>
                      <w:sz w:val="21"/>
                      <w:szCs w:val="21"/>
                      <w14:textFill>
                        <w14:solidFill>
                          <w14:schemeClr w14:val="tx1"/>
                        </w14:solidFill>
                      </w14:textFill>
                    </w:rPr>
                    <w:t>开</w:t>
                  </w:r>
                </w:p>
              </w:tc>
              <w:tc>
                <w:tcPr>
                  <w:tcW w:w="557" w:type="dxa"/>
                  <w:vAlign w:val="center"/>
                </w:tcPr>
                <w:p w14:paraId="024EFAAC">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3980</w:t>
                  </w:r>
                </w:p>
              </w:tc>
              <w:tc>
                <w:tcPr>
                  <w:tcW w:w="1106" w:type="dxa"/>
                  <w:vAlign w:val="center"/>
                </w:tcPr>
                <w:p w14:paraId="01EC0BD0">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Φ216</w:t>
                  </w:r>
                </w:p>
              </w:tc>
              <w:tc>
                <w:tcPr>
                  <w:tcW w:w="1106" w:type="dxa"/>
                  <w:vAlign w:val="center"/>
                </w:tcPr>
                <w:p w14:paraId="793BF356">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653" w:type="dxa"/>
                  <w:vAlign w:val="center"/>
                </w:tcPr>
                <w:p w14:paraId="0AD9E0B1">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653" w:type="dxa"/>
                  <w:vAlign w:val="center"/>
                </w:tcPr>
                <w:p w14:paraId="110D576B">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659" w:type="dxa"/>
                  <w:vAlign w:val="center"/>
                </w:tcPr>
                <w:p w14:paraId="6DA3AE27">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r w14:paraId="6D74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289" w:type="dxa"/>
                  <w:gridSpan w:val="7"/>
                  <w:vAlign w:val="center"/>
                </w:tcPr>
                <w:p w14:paraId="403F1B9D">
                  <w:pPr>
                    <w:pStyle w:val="25"/>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eastAsia="宋体" w:cs="Times New Roman"/>
                      <w:b/>
                      <w:bCs/>
                      <w:color w:val="000000" w:themeColor="text1"/>
                      <w:sz w:val="21"/>
                      <w:szCs w:val="21"/>
                      <w:lang w:val="en-US" w:eastAsia="zh-CN"/>
                      <w14:textFill>
                        <w14:solidFill>
                          <w14:schemeClr w14:val="tx1"/>
                        </w14:solidFill>
                      </w14:textFill>
                    </w:rPr>
                    <w:t>吉阜1001H井</w:t>
                  </w:r>
                </w:p>
              </w:tc>
            </w:tr>
            <w:tr w14:paraId="1854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Align w:val="center"/>
                </w:tcPr>
                <w:p w14:paraId="5875D84A">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开钻</w:t>
                  </w:r>
                </w:p>
                <w:p w14:paraId="24C12BF9">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次序</w:t>
                  </w:r>
                </w:p>
              </w:tc>
              <w:tc>
                <w:tcPr>
                  <w:tcW w:w="557" w:type="dxa"/>
                  <w:vAlign w:val="center"/>
                </w:tcPr>
                <w:p w14:paraId="76AE9870">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井深</w:t>
                  </w:r>
                </w:p>
                <w:p w14:paraId="4A888BA0">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106" w:type="dxa"/>
                  <w:vAlign w:val="center"/>
                </w:tcPr>
                <w:p w14:paraId="163E1252">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钻头尺寸</w:t>
                  </w:r>
                </w:p>
                <w:p w14:paraId="3F5BAF1A">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(mm)</w:t>
                  </w:r>
                </w:p>
              </w:tc>
              <w:tc>
                <w:tcPr>
                  <w:tcW w:w="1106" w:type="dxa"/>
                  <w:vAlign w:val="center"/>
                </w:tcPr>
                <w:p w14:paraId="3C7E7EB4">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套管尺寸</w:t>
                  </w:r>
                </w:p>
                <w:p w14:paraId="3236A7D0">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(mm)</w:t>
                  </w:r>
                </w:p>
              </w:tc>
              <w:tc>
                <w:tcPr>
                  <w:tcW w:w="1653" w:type="dxa"/>
                  <w:vAlign w:val="center"/>
                </w:tcPr>
                <w:p w14:paraId="646DCA2A">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套管下入层位</w:t>
                  </w:r>
                </w:p>
              </w:tc>
              <w:tc>
                <w:tcPr>
                  <w:tcW w:w="1653" w:type="dxa"/>
                  <w:vAlign w:val="center"/>
                </w:tcPr>
                <w:p w14:paraId="30B38E60">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套管下入深度</w:t>
                  </w:r>
                </w:p>
                <w:p w14:paraId="1FA8B083">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c>
                <w:tcPr>
                  <w:tcW w:w="1659" w:type="dxa"/>
                  <w:vAlign w:val="center"/>
                </w:tcPr>
                <w:p w14:paraId="2B318435">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环空水泥返深</w:t>
                  </w:r>
                </w:p>
                <w:p w14:paraId="4869B14E">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(m)</w:t>
                  </w:r>
                </w:p>
              </w:tc>
            </w:tr>
            <w:tr w14:paraId="33FEF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Align w:val="center"/>
                </w:tcPr>
                <w:p w14:paraId="3ED1E750">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导眼</w:t>
                  </w:r>
                </w:p>
              </w:tc>
              <w:tc>
                <w:tcPr>
                  <w:tcW w:w="557" w:type="dxa"/>
                  <w:vAlign w:val="center"/>
                </w:tcPr>
                <w:p w14:paraId="49308288">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50</w:t>
                  </w:r>
                </w:p>
              </w:tc>
              <w:tc>
                <w:tcPr>
                  <w:tcW w:w="1106" w:type="dxa"/>
                  <w:vAlign w:val="center"/>
                </w:tcPr>
                <w:p w14:paraId="319EC5CB">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Φ660</w:t>
                  </w:r>
                </w:p>
              </w:tc>
              <w:tc>
                <w:tcPr>
                  <w:tcW w:w="1106" w:type="dxa"/>
                  <w:vAlign w:val="center"/>
                </w:tcPr>
                <w:p w14:paraId="6F7C6EA2">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Φ508</w:t>
                  </w:r>
                </w:p>
              </w:tc>
              <w:tc>
                <w:tcPr>
                  <w:tcW w:w="1653" w:type="dxa"/>
                  <w:vAlign w:val="center"/>
                </w:tcPr>
                <w:p w14:paraId="3E4C00D9">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Q</w:t>
                  </w:r>
                </w:p>
              </w:tc>
              <w:tc>
                <w:tcPr>
                  <w:tcW w:w="1653" w:type="dxa"/>
                  <w:vAlign w:val="center"/>
                </w:tcPr>
                <w:p w14:paraId="6C2E0A65">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50</w:t>
                  </w:r>
                </w:p>
              </w:tc>
              <w:tc>
                <w:tcPr>
                  <w:tcW w:w="1659" w:type="dxa"/>
                  <w:vAlign w:val="center"/>
                </w:tcPr>
                <w:p w14:paraId="2A3111B6">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r>
            <w:tr w14:paraId="70BB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Align w:val="center"/>
                </w:tcPr>
                <w:p w14:paraId="31768898">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一开</w:t>
                  </w:r>
                </w:p>
              </w:tc>
              <w:tc>
                <w:tcPr>
                  <w:tcW w:w="557" w:type="dxa"/>
                  <w:vAlign w:val="center"/>
                </w:tcPr>
                <w:p w14:paraId="337177A3">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750</w:t>
                  </w:r>
                </w:p>
              </w:tc>
              <w:tc>
                <w:tcPr>
                  <w:tcW w:w="1106" w:type="dxa"/>
                  <w:vAlign w:val="center"/>
                </w:tcPr>
                <w:p w14:paraId="53AC5B47">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Φ375</w:t>
                  </w:r>
                </w:p>
              </w:tc>
              <w:tc>
                <w:tcPr>
                  <w:tcW w:w="1106" w:type="dxa"/>
                  <w:vAlign w:val="center"/>
                </w:tcPr>
                <w:p w14:paraId="1DCD5A1D">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Φ273</w:t>
                  </w:r>
                </w:p>
              </w:tc>
              <w:tc>
                <w:tcPr>
                  <w:tcW w:w="1653" w:type="dxa"/>
                  <w:vAlign w:val="center"/>
                </w:tcPr>
                <w:p w14:paraId="2A62C968">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E</w:t>
                  </w:r>
                </w:p>
              </w:tc>
              <w:tc>
                <w:tcPr>
                  <w:tcW w:w="1653" w:type="dxa"/>
                  <w:vAlign w:val="center"/>
                </w:tcPr>
                <w:p w14:paraId="64A36BAB">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750</w:t>
                  </w:r>
                </w:p>
              </w:tc>
              <w:tc>
                <w:tcPr>
                  <w:tcW w:w="1659" w:type="dxa"/>
                  <w:vAlign w:val="center"/>
                </w:tcPr>
                <w:p w14:paraId="26D40F5D">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p>
              </w:tc>
            </w:tr>
            <w:tr w14:paraId="075B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Merge w:val="restart"/>
                  <w:vAlign w:val="center"/>
                </w:tcPr>
                <w:p w14:paraId="247B8019">
                  <w:pPr>
                    <w:pStyle w:val="25"/>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二开</w:t>
                  </w:r>
                </w:p>
              </w:tc>
              <w:tc>
                <w:tcPr>
                  <w:tcW w:w="557" w:type="dxa"/>
                  <w:vAlign w:val="center"/>
                </w:tcPr>
                <w:p w14:paraId="39090888">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3443.76</w:t>
                  </w:r>
                </w:p>
              </w:tc>
              <w:tc>
                <w:tcPr>
                  <w:tcW w:w="1106" w:type="dxa"/>
                  <w:vAlign w:val="center"/>
                </w:tcPr>
                <w:p w14:paraId="5A43984A">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Φ241</w:t>
                  </w:r>
                </w:p>
              </w:tc>
              <w:tc>
                <w:tcPr>
                  <w:tcW w:w="1106" w:type="dxa"/>
                  <w:vMerge w:val="restart"/>
                  <w:vAlign w:val="center"/>
                </w:tcPr>
                <w:p w14:paraId="1463BD0E">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Φ139.7</w:t>
                  </w:r>
                </w:p>
              </w:tc>
              <w:tc>
                <w:tcPr>
                  <w:tcW w:w="1653" w:type="dxa"/>
                  <w:vMerge w:val="restart"/>
                  <w:vAlign w:val="center"/>
                </w:tcPr>
                <w:p w14:paraId="504C4D22">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P</w:t>
                  </w:r>
                  <w:r>
                    <w:rPr>
                      <w:rFonts w:hint="default" w:ascii="Times New Roman" w:hAnsi="Times New Roman" w:eastAsia="宋体" w:cs="Times New Roman"/>
                      <w:b w:val="0"/>
                      <w:bCs w:val="0"/>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wt</w:t>
                  </w:r>
                </w:p>
              </w:tc>
              <w:tc>
                <w:tcPr>
                  <w:tcW w:w="1653" w:type="dxa"/>
                  <w:vMerge w:val="restart"/>
                  <w:vAlign w:val="center"/>
                </w:tcPr>
                <w:p w14:paraId="2BD82E64">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5248.44</w:t>
                  </w:r>
                </w:p>
              </w:tc>
              <w:tc>
                <w:tcPr>
                  <w:tcW w:w="1659" w:type="dxa"/>
                  <w:vMerge w:val="restart"/>
                  <w:vAlign w:val="center"/>
                </w:tcPr>
                <w:p w14:paraId="112CC9E8">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抗盐0</w:t>
                  </w:r>
                </w:p>
                <w:p w14:paraId="050BFD17">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抗盐增韧3000</w:t>
                  </w:r>
                </w:p>
              </w:tc>
            </w:tr>
            <w:tr w14:paraId="15E0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5" w:type="dxa"/>
                  <w:vMerge w:val="continue"/>
                  <w:vAlign w:val="center"/>
                </w:tcPr>
                <w:p w14:paraId="44D06BBB">
                  <w:pPr>
                    <w:pStyle w:val="25"/>
                    <w:rPr>
                      <w:rFonts w:hint="default" w:ascii="Times New Roman" w:hAnsi="Times New Roman" w:eastAsia="宋体" w:cs="Times New Roman"/>
                      <w:color w:val="000000" w:themeColor="text1"/>
                      <w:sz w:val="21"/>
                      <w:szCs w:val="21"/>
                      <w14:textFill>
                        <w14:solidFill>
                          <w14:schemeClr w14:val="tx1"/>
                        </w14:solidFill>
                      </w14:textFill>
                    </w:rPr>
                  </w:pPr>
                </w:p>
              </w:tc>
              <w:tc>
                <w:tcPr>
                  <w:tcW w:w="557" w:type="dxa"/>
                  <w:vAlign w:val="center"/>
                </w:tcPr>
                <w:p w14:paraId="737D7CA3">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5248.44</w:t>
                  </w:r>
                </w:p>
              </w:tc>
              <w:tc>
                <w:tcPr>
                  <w:tcW w:w="1106" w:type="dxa"/>
                  <w:vAlign w:val="center"/>
                </w:tcPr>
                <w:p w14:paraId="0A8655DE">
                  <w:pPr>
                    <w:pStyle w:val="25"/>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Φ216</w:t>
                  </w:r>
                </w:p>
              </w:tc>
              <w:tc>
                <w:tcPr>
                  <w:tcW w:w="1106" w:type="dxa"/>
                  <w:vMerge w:val="continue"/>
                  <w:vAlign w:val="center"/>
                </w:tcPr>
                <w:p w14:paraId="5C706810">
                  <w:pPr>
                    <w:pStyle w:val="25"/>
                    <w:rPr>
                      <w:rFonts w:hint="default" w:ascii="Times New Roman" w:hAnsi="Times New Roman" w:eastAsia="宋体" w:cs="Times New Roman"/>
                      <w:color w:val="000000" w:themeColor="text1"/>
                      <w:sz w:val="21"/>
                      <w:szCs w:val="21"/>
                      <w14:textFill>
                        <w14:solidFill>
                          <w14:schemeClr w14:val="tx1"/>
                        </w14:solidFill>
                      </w14:textFill>
                    </w:rPr>
                  </w:pPr>
                </w:p>
              </w:tc>
              <w:tc>
                <w:tcPr>
                  <w:tcW w:w="1653" w:type="dxa"/>
                  <w:vMerge w:val="continue"/>
                  <w:vAlign w:val="center"/>
                </w:tcPr>
                <w:p w14:paraId="59C7D482">
                  <w:pPr>
                    <w:pStyle w:val="25"/>
                    <w:rPr>
                      <w:rFonts w:hint="default" w:ascii="Times New Roman" w:hAnsi="Times New Roman" w:eastAsia="宋体" w:cs="Times New Roman"/>
                      <w:color w:val="000000" w:themeColor="text1"/>
                      <w:sz w:val="21"/>
                      <w:szCs w:val="21"/>
                      <w14:textFill>
                        <w14:solidFill>
                          <w14:schemeClr w14:val="tx1"/>
                        </w14:solidFill>
                      </w14:textFill>
                    </w:rPr>
                  </w:pPr>
                </w:p>
              </w:tc>
              <w:tc>
                <w:tcPr>
                  <w:tcW w:w="1653" w:type="dxa"/>
                  <w:vMerge w:val="continue"/>
                  <w:vAlign w:val="center"/>
                </w:tcPr>
                <w:p w14:paraId="26BB71E3">
                  <w:pPr>
                    <w:pStyle w:val="25"/>
                    <w:rPr>
                      <w:rFonts w:hint="default" w:ascii="Times New Roman" w:hAnsi="Times New Roman" w:eastAsia="宋体" w:cs="Times New Roman"/>
                      <w:color w:val="000000" w:themeColor="text1"/>
                      <w:sz w:val="21"/>
                      <w:szCs w:val="21"/>
                      <w14:textFill>
                        <w14:solidFill>
                          <w14:schemeClr w14:val="tx1"/>
                        </w14:solidFill>
                      </w14:textFill>
                    </w:rPr>
                  </w:pPr>
                </w:p>
              </w:tc>
              <w:tc>
                <w:tcPr>
                  <w:tcW w:w="1659" w:type="dxa"/>
                  <w:vMerge w:val="continue"/>
                  <w:vAlign w:val="center"/>
                </w:tcPr>
                <w:p w14:paraId="01CA90CE">
                  <w:pPr>
                    <w:pStyle w:val="25"/>
                    <w:rPr>
                      <w:rFonts w:hint="default" w:ascii="Times New Roman" w:hAnsi="Times New Roman" w:eastAsia="宋体" w:cs="Times New Roman"/>
                      <w:color w:val="000000" w:themeColor="text1"/>
                      <w:sz w:val="21"/>
                      <w:szCs w:val="21"/>
                      <w14:textFill>
                        <w14:solidFill>
                          <w14:schemeClr w14:val="tx1"/>
                        </w14:solidFill>
                      </w14:textFill>
                    </w:rPr>
                  </w:pPr>
                </w:p>
              </w:tc>
            </w:tr>
          </w:tbl>
          <w:p w14:paraId="529BE603">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 xml:space="preserve">表2-6 </w:t>
            </w:r>
            <w:r>
              <w:rPr>
                <w:rFonts w:hint="eastAsia" w:ascii="Times New Roman" w:hAnsi="Times New Roman" w:cs="Times New Roman"/>
                <w:b/>
                <w:bCs/>
                <w:color w:val="000000" w:themeColor="text1"/>
                <w:spacing w:val="5"/>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井身结构设计说明表</w:t>
            </w:r>
          </w:p>
          <w:tbl>
            <w:tblPr>
              <w:tblStyle w:val="16"/>
              <w:tblW w:w="8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588"/>
              <w:gridCol w:w="1022"/>
              <w:gridCol w:w="5783"/>
            </w:tblGrid>
            <w:tr w14:paraId="432F7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 w:type="dxa"/>
                  <w:noWrap w:val="0"/>
                  <w:vAlign w:val="center"/>
                </w:tcPr>
                <w:p w14:paraId="25200E3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井号</w:t>
                  </w:r>
                </w:p>
              </w:tc>
              <w:tc>
                <w:tcPr>
                  <w:tcW w:w="588" w:type="dxa"/>
                  <w:noWrap w:val="0"/>
                  <w:vAlign w:val="center"/>
                </w:tcPr>
                <w:p w14:paraId="1CCD9D2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开钻次序</w:t>
                  </w:r>
                </w:p>
              </w:tc>
              <w:tc>
                <w:tcPr>
                  <w:tcW w:w="1022" w:type="dxa"/>
                  <w:noWrap w:val="0"/>
                  <w:vAlign w:val="center"/>
                </w:tcPr>
                <w:p w14:paraId="782B9DB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套管尺寸</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mm</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c>
                <w:tcPr>
                  <w:tcW w:w="5783" w:type="dxa"/>
                  <w:noWrap w:val="0"/>
                  <w:vAlign w:val="center"/>
                </w:tcPr>
                <w:p w14:paraId="5FD1C8C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设计说明</w:t>
                  </w:r>
                </w:p>
              </w:tc>
            </w:tr>
            <w:tr w14:paraId="1856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 w:type="dxa"/>
                  <w:vMerge w:val="restart"/>
                  <w:noWrap w:val="0"/>
                  <w:vAlign w:val="center"/>
                </w:tcPr>
                <w:p w14:paraId="4B3061B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吉阜103H</w:t>
                  </w:r>
                </w:p>
              </w:tc>
              <w:tc>
                <w:tcPr>
                  <w:tcW w:w="588" w:type="dxa"/>
                  <w:noWrap w:val="0"/>
                  <w:vAlign w:val="center"/>
                </w:tcPr>
                <w:p w14:paraId="582E7D0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导眼</w:t>
                  </w:r>
                </w:p>
              </w:tc>
              <w:tc>
                <w:tcPr>
                  <w:tcW w:w="1022" w:type="dxa"/>
                  <w:noWrap w:val="0"/>
                  <w:vAlign w:val="center"/>
                </w:tcPr>
                <w:p w14:paraId="4250D15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Φ508</w:t>
                  </w:r>
                </w:p>
              </w:tc>
              <w:tc>
                <w:tcPr>
                  <w:tcW w:w="5783" w:type="dxa"/>
                  <w:noWrap w:val="0"/>
                  <w:vAlign w:val="center"/>
                </w:tcPr>
                <w:p w14:paraId="7F8FB71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用Φ660mm钻头打导眼</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0m，下入Φ508mm的导管固井，水泥返至地面。</w:t>
                  </w:r>
                </w:p>
              </w:tc>
            </w:tr>
            <w:tr w14:paraId="1431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 w:type="dxa"/>
                  <w:vMerge w:val="continue"/>
                  <w:noWrap w:val="0"/>
                  <w:vAlign w:val="center"/>
                </w:tcPr>
                <w:p w14:paraId="337A243C">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588" w:type="dxa"/>
                  <w:noWrap w:val="0"/>
                  <w:vAlign w:val="center"/>
                </w:tcPr>
                <w:p w14:paraId="3243715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一开</w:t>
                  </w:r>
                </w:p>
              </w:tc>
              <w:tc>
                <w:tcPr>
                  <w:tcW w:w="1022" w:type="dxa"/>
                  <w:noWrap w:val="0"/>
                  <w:vAlign w:val="center"/>
                </w:tcPr>
                <w:p w14:paraId="338AC54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339.7</w:t>
                  </w:r>
                </w:p>
              </w:tc>
              <w:tc>
                <w:tcPr>
                  <w:tcW w:w="5783" w:type="dxa"/>
                  <w:noWrap w:val="0"/>
                  <w:vAlign w:val="center"/>
                </w:tcPr>
                <w:p w14:paraId="674BA0C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用Φ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444.</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5mm钻头一开，钻穿砾石层至少20m，钻至井深</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75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0m左右，下入Φ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339.7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mm表层套管，</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常规</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水泥返至地面。</w:t>
                  </w:r>
                </w:p>
                <w:p w14:paraId="48AA4E6E">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lang w:val="en-US" w:eastAsia="en-US"/>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表套下深原则：钻穿砾石层至少20m，封固砾岩，避免漏塌。</w:t>
                  </w:r>
                </w:p>
              </w:tc>
            </w:tr>
            <w:tr w14:paraId="37D6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 w:type="dxa"/>
                  <w:vMerge w:val="continue"/>
                  <w:noWrap w:val="0"/>
                  <w:vAlign w:val="center"/>
                </w:tcPr>
                <w:p w14:paraId="758074E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588" w:type="dxa"/>
                  <w:noWrap w:val="0"/>
                  <w:vAlign w:val="center"/>
                </w:tcPr>
                <w:p w14:paraId="16E75A2A">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二开</w:t>
                  </w:r>
                </w:p>
              </w:tc>
              <w:tc>
                <w:tcPr>
                  <w:tcW w:w="1022" w:type="dxa"/>
                  <w:noWrap w:val="0"/>
                  <w:vAlign w:val="center"/>
                </w:tcPr>
                <w:p w14:paraId="5EFC0FB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244.5</w:t>
                  </w:r>
                </w:p>
              </w:tc>
              <w:tc>
                <w:tcPr>
                  <w:tcW w:w="5783" w:type="dxa"/>
                  <w:noWrap w:val="0"/>
                  <w:vAlign w:val="center"/>
                </w:tcPr>
                <w:p w14:paraId="2DFC5E1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用Ф</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311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mm钻头</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二</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开，</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钻至井深2870m左右，</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下入Φ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244.5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mm技术套管，</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抗盐</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水泥返至地面。</w:t>
                  </w:r>
                </w:p>
                <w:p w14:paraId="4E48B02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lang w:val="en-US" w:eastAsia="en-US"/>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技术套管下深原则：钻穿烧房沟组进入韭菜园组30m左右，为三开安全钻进提供安全保障。</w:t>
                  </w:r>
                </w:p>
              </w:tc>
            </w:tr>
            <w:tr w14:paraId="4D8B7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 w:type="dxa"/>
                  <w:vMerge w:val="continue"/>
                  <w:noWrap w:val="0"/>
                  <w:vAlign w:val="center"/>
                </w:tcPr>
                <w:p w14:paraId="6F50970F">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588" w:type="dxa"/>
                  <w:noWrap w:val="0"/>
                  <w:vAlign w:val="center"/>
                </w:tcPr>
                <w:p w14:paraId="4605E9C5">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三开</w:t>
                  </w:r>
                </w:p>
              </w:tc>
              <w:tc>
                <w:tcPr>
                  <w:tcW w:w="1022" w:type="dxa"/>
                  <w:noWrap w:val="0"/>
                  <w:vAlign w:val="center"/>
                </w:tcPr>
                <w:p w14:paraId="16D3F72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5783" w:type="dxa"/>
                  <w:noWrap w:val="0"/>
                  <w:vAlign w:val="center"/>
                </w:tcPr>
                <w:p w14:paraId="638B089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lang w:val="en-US" w:eastAsia="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用Ф216mm钻头</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三</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开，</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钻至井深3980m完钻，根据油气显示情况再决定是否实施水平井。</w:t>
                  </w:r>
                </w:p>
              </w:tc>
            </w:tr>
            <w:tr w14:paraId="14B6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 w:type="dxa"/>
                  <w:vMerge w:val="restart"/>
                  <w:noWrap w:val="0"/>
                  <w:vAlign w:val="center"/>
                </w:tcPr>
                <w:p w14:paraId="12DD12F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吉阜1001H</w:t>
                  </w:r>
                </w:p>
              </w:tc>
              <w:tc>
                <w:tcPr>
                  <w:tcW w:w="588" w:type="dxa"/>
                  <w:shd w:val="clear" w:color="auto" w:fill="auto"/>
                  <w:noWrap w:val="0"/>
                  <w:vAlign w:val="center"/>
                </w:tcPr>
                <w:p w14:paraId="3F69A856">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napToGrid w:val="0"/>
                      <w:color w:val="000000" w:themeColor="text1"/>
                      <w:kern w:val="0"/>
                      <w:sz w:val="21"/>
                      <w:szCs w:val="21"/>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导眼</w:t>
                  </w:r>
                </w:p>
              </w:tc>
              <w:tc>
                <w:tcPr>
                  <w:tcW w:w="1022" w:type="dxa"/>
                  <w:shd w:val="clear" w:color="auto" w:fill="auto"/>
                  <w:noWrap w:val="0"/>
                  <w:vAlign w:val="center"/>
                </w:tcPr>
                <w:p w14:paraId="4C0E988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000000" w:themeColor="text1"/>
                      <w:sz w:val="21"/>
                      <w:szCs w:val="21"/>
                      <w:highlight w:val="none"/>
                      <w:lang w:val="zh-CN" w:eastAsia="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Φ508</w:t>
                  </w:r>
                </w:p>
              </w:tc>
              <w:tc>
                <w:tcPr>
                  <w:tcW w:w="5783" w:type="dxa"/>
                  <w:noWrap w:val="0"/>
                  <w:vAlign w:val="center"/>
                </w:tcPr>
                <w:p w14:paraId="5F3C359D">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用Φ660mm钻头打导眼</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0m，下入Φ508mm的导管固井，水泥返至地面。</w:t>
                  </w:r>
                </w:p>
              </w:tc>
            </w:tr>
            <w:tr w14:paraId="746E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 w:type="dxa"/>
                  <w:vMerge w:val="continue"/>
                  <w:noWrap w:val="0"/>
                  <w:vAlign w:val="center"/>
                </w:tcPr>
                <w:p w14:paraId="71DD70A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588" w:type="dxa"/>
                  <w:shd w:val="clear" w:color="auto" w:fill="auto"/>
                  <w:noWrap w:val="0"/>
                  <w:vAlign w:val="center"/>
                </w:tcPr>
                <w:p w14:paraId="09047F11">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napToGrid w:val="0"/>
                      <w:color w:val="000000" w:themeColor="text1"/>
                      <w:kern w:val="0"/>
                      <w:sz w:val="21"/>
                      <w:szCs w:val="21"/>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一开</w:t>
                  </w:r>
                </w:p>
              </w:tc>
              <w:tc>
                <w:tcPr>
                  <w:tcW w:w="1022" w:type="dxa"/>
                  <w:shd w:val="clear" w:color="auto" w:fill="auto"/>
                  <w:noWrap w:val="0"/>
                  <w:vAlign w:val="center"/>
                </w:tcPr>
                <w:p w14:paraId="5B55F998">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000000" w:themeColor="text1"/>
                      <w:sz w:val="21"/>
                      <w:szCs w:val="21"/>
                      <w:highlight w:val="none"/>
                      <w:lang w:val="zh-CN" w:eastAsia="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273</w:t>
                  </w:r>
                </w:p>
              </w:tc>
              <w:tc>
                <w:tcPr>
                  <w:tcW w:w="5783" w:type="dxa"/>
                  <w:noWrap w:val="0"/>
                  <w:vAlign w:val="center"/>
                </w:tcPr>
                <w:p w14:paraId="676184C9">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用Φ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37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5mm钻头一开，钻穿砾石层至少20m，钻至井深</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75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0m左右，下入Φ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273</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mm表层套管，水泥返至地面。</w:t>
                  </w:r>
                </w:p>
                <w:p w14:paraId="65B6F5F3">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表套下深原则：钻穿砾石层至少20m，封固砾岩，避免漏塌。</w:t>
                  </w:r>
                </w:p>
              </w:tc>
            </w:tr>
            <w:tr w14:paraId="4A95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07" w:type="dxa"/>
                  <w:vMerge w:val="continue"/>
                  <w:noWrap w:val="0"/>
                  <w:vAlign w:val="center"/>
                </w:tcPr>
                <w:p w14:paraId="2F567EF7">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588" w:type="dxa"/>
                  <w:shd w:val="clear" w:color="auto" w:fill="auto"/>
                  <w:noWrap w:val="0"/>
                  <w:vAlign w:val="center"/>
                </w:tcPr>
                <w:p w14:paraId="505CD0F4">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snapToGrid w:val="0"/>
                      <w:color w:val="000000" w:themeColor="text1"/>
                      <w:kern w:val="0"/>
                      <w:sz w:val="21"/>
                      <w:szCs w:val="21"/>
                      <w:lang w:val="zh-CN" w:eastAsia="en-US" w:bidi="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二开</w:t>
                  </w:r>
                </w:p>
              </w:tc>
              <w:tc>
                <w:tcPr>
                  <w:tcW w:w="1022" w:type="dxa"/>
                  <w:shd w:val="clear" w:color="auto" w:fill="auto"/>
                  <w:noWrap w:val="0"/>
                  <w:vAlign w:val="center"/>
                </w:tcPr>
                <w:p w14:paraId="47E7AC60">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b w:val="0"/>
                      <w:bCs w:val="0"/>
                      <w:color w:val="000000" w:themeColor="text1"/>
                      <w:sz w:val="21"/>
                      <w:szCs w:val="21"/>
                      <w:highlight w:val="none"/>
                      <w:lang w:val="zh-CN" w:eastAsia="en-US"/>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139.7</w:t>
                  </w:r>
                </w:p>
              </w:tc>
              <w:tc>
                <w:tcPr>
                  <w:tcW w:w="5783" w:type="dxa"/>
                  <w:noWrap w:val="0"/>
                  <w:vAlign w:val="center"/>
                </w:tcPr>
                <w:p w14:paraId="02604BC2">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用Ф2</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41</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mm钻头二开，按设计轨迹钻至</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A点，即</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井深</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3443.76m，起钻换用</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Ф2</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16</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mm钻头钻至设计井深</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5248.44</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m完钻，下入Φ139.7mm油层套管完井。采用抗盐+抗盐增韧水泥浆体系固井，抗盐增韧水泥返至井深3</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00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0m，封固段长</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2248.44</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m，抗盐水泥返至地面，封固段长</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300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0m。</w:t>
                  </w:r>
                </w:p>
                <w:p w14:paraId="31F512DB">
                  <w:pPr>
                    <w:pStyle w:val="25"/>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如二开钻至烧房沟、韭菜园等地层井下阻卡频发，则下入</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193.7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mm</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技术套管封固A点以上地层，实现1800m水平段储层专打。三开采用</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168mm钻头，油层套管设计</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139.7+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127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mm</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14:textFill>
                        <w14:solidFill>
                          <w14:schemeClr w14:val="tx1"/>
                        </w14:solidFill>
                      </w14:textFill>
                    </w:rPr>
                    <w:t>127mm套管重叠250m）</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r>
          </w:tbl>
          <w:p w14:paraId="7F65560F">
            <w:pPr>
              <w:pStyle w:val="22"/>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765675" cy="7923530"/>
                  <wp:effectExtent l="0" t="0" r="15875"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4765675" cy="7923530"/>
                          </a:xfrm>
                          <a:prstGeom prst="rect">
                            <a:avLst/>
                          </a:prstGeom>
                          <a:noFill/>
                          <a:ln>
                            <a:noFill/>
                          </a:ln>
                        </pic:spPr>
                      </pic:pic>
                    </a:graphicData>
                  </a:graphic>
                </wp:inline>
              </w:drawing>
            </w:r>
          </w:p>
          <w:p w14:paraId="082FD94B">
            <w:pPr>
              <w:pStyle w:val="22"/>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 xml:space="preserve">图2-1 </w:t>
            </w:r>
            <w:r>
              <w:rPr>
                <w:rFonts w:hint="default" w:ascii="Times New Roman" w:hAnsi="Times New Roman" w:eastAsia="宋体" w:cs="Times New Roman"/>
                <w:b/>
                <w:bCs/>
                <w:color w:val="000000" w:themeColor="text1"/>
                <w:spacing w:val="4"/>
                <w:sz w:val="21"/>
                <w:szCs w:val="21"/>
                <w:highlight w:val="none"/>
                <w:lang w:val="en-US" w:eastAsia="zh-CN"/>
                <w14:textFill>
                  <w14:solidFill>
                    <w14:schemeClr w14:val="tx1"/>
                  </w14:solidFill>
                </w14:textFill>
              </w:rPr>
              <w:t xml:space="preserve"> 吉阜1</w:t>
            </w: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03H井身结构示意图</w:t>
            </w:r>
          </w:p>
          <w:p w14:paraId="2830016C">
            <w:pPr>
              <w:pStyle w:val="22"/>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spacing w:val="4"/>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191760" cy="7033260"/>
                  <wp:effectExtent l="0" t="0" r="8890"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191760" cy="7033260"/>
                          </a:xfrm>
                          <a:prstGeom prst="rect">
                            <a:avLst/>
                          </a:prstGeom>
                          <a:noFill/>
                          <a:ln>
                            <a:noFill/>
                          </a:ln>
                        </pic:spPr>
                      </pic:pic>
                    </a:graphicData>
                  </a:graphic>
                </wp:inline>
              </w:drawing>
            </w:r>
          </w:p>
          <w:p w14:paraId="1C734DDE">
            <w:pPr>
              <w:pStyle w:val="22"/>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 xml:space="preserve">图2-2 </w:t>
            </w:r>
            <w:r>
              <w:rPr>
                <w:rFonts w:hint="default" w:ascii="Times New Roman" w:hAnsi="Times New Roman" w:eastAsia="宋体" w:cs="Times New Roman"/>
                <w:b/>
                <w:bCs/>
                <w:color w:val="000000" w:themeColor="text1"/>
                <w:spacing w:val="4"/>
                <w:sz w:val="21"/>
                <w:szCs w:val="21"/>
                <w:highlight w:val="none"/>
                <w:lang w:val="en-US" w:eastAsia="zh-CN"/>
                <w14:textFill>
                  <w14:solidFill>
                    <w14:schemeClr w14:val="tx1"/>
                  </w14:solidFill>
                </w14:textFill>
              </w:rPr>
              <w:t xml:space="preserve"> 吉阜1001</w:t>
            </w: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H井身结构示意图</w:t>
            </w:r>
          </w:p>
          <w:p w14:paraId="2EAFC127">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5.主要设备</w:t>
            </w:r>
          </w:p>
          <w:p w14:paraId="2791C3C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本项目单个钻井工程主要设备见下表2-7，单个钻井试油工程主要设备见下表2-8，储层改造设备</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见下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表2-9。</w:t>
            </w:r>
          </w:p>
          <w:p w14:paraId="3D5730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pPr>
          </w:p>
          <w:p w14:paraId="06FC166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pPr>
          </w:p>
          <w:p w14:paraId="1E22617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pPr>
          </w:p>
          <w:p w14:paraId="1E1024C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t xml:space="preserve">表2-7 </w:t>
            </w:r>
            <w:r>
              <w:rPr>
                <w:rFonts w:hint="default" w:ascii="Times New Roman" w:hAnsi="Times New Roman" w:eastAsia="宋体" w:cs="Times New Roman"/>
                <w:b/>
                <w:bCs/>
                <w:color w:val="000000" w:themeColor="text1"/>
                <w:spacing w:val="5"/>
                <w:kern w:val="2"/>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t>单个钻井工程主要设备</w:t>
            </w:r>
          </w:p>
          <w:tbl>
            <w:tblPr>
              <w:tblStyle w:val="17"/>
              <w:tblW w:w="8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937"/>
              <w:gridCol w:w="971"/>
              <w:gridCol w:w="1482"/>
              <w:gridCol w:w="1014"/>
              <w:gridCol w:w="965"/>
              <w:gridCol w:w="936"/>
              <w:gridCol w:w="936"/>
            </w:tblGrid>
            <w:tr w14:paraId="39D24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C6083D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序号</w:t>
                  </w:r>
                </w:p>
              </w:tc>
              <w:tc>
                <w:tcPr>
                  <w:tcW w:w="1908" w:type="dxa"/>
                  <w:gridSpan w:val="2"/>
                  <w:vAlign w:val="center"/>
                </w:tcPr>
                <w:p w14:paraId="4DAED839">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3"/>
                      <w:highlight w:val="none"/>
                      <w:lang w:eastAsia="zh-CN"/>
                      <w14:textFill>
                        <w14:solidFill>
                          <w14:schemeClr w14:val="tx1"/>
                        </w14:solidFill>
                      </w14:textFill>
                    </w:rPr>
                    <w:t>名称</w:t>
                  </w:r>
                </w:p>
              </w:tc>
              <w:tc>
                <w:tcPr>
                  <w:tcW w:w="1482" w:type="dxa"/>
                  <w:vAlign w:val="center"/>
                </w:tcPr>
                <w:p w14:paraId="47A9EC2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1"/>
                      <w:sz w:val="21"/>
                      <w:szCs w:val="21"/>
                      <w:highlight w:val="none"/>
                      <w:lang w:eastAsia="zh-CN"/>
                      <w14:textFill>
                        <w14:solidFill>
                          <w14:schemeClr w14:val="tx1"/>
                        </w14:solidFill>
                      </w14:textFill>
                    </w:rPr>
                    <w:t>型号</w:t>
                  </w:r>
                </w:p>
              </w:tc>
              <w:tc>
                <w:tcPr>
                  <w:tcW w:w="1014" w:type="dxa"/>
                  <w:vAlign w:val="center"/>
                </w:tcPr>
                <w:p w14:paraId="5CD49DA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载荷</w:t>
                  </w:r>
                </w:p>
              </w:tc>
              <w:tc>
                <w:tcPr>
                  <w:tcW w:w="965" w:type="dxa"/>
                  <w:vAlign w:val="center"/>
                </w:tcPr>
                <w:p w14:paraId="63B01C0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10"/>
                      <w:sz w:val="21"/>
                      <w:szCs w:val="21"/>
                      <w:highlight w:val="none"/>
                      <w:lang w:eastAsia="zh-CN"/>
                      <w14:textFill>
                        <w14:solidFill>
                          <w14:schemeClr w14:val="tx1"/>
                        </w14:solidFill>
                      </w14:textFill>
                    </w:rPr>
                    <w:t>功率</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kW</w:t>
                  </w:r>
                </w:p>
              </w:tc>
              <w:tc>
                <w:tcPr>
                  <w:tcW w:w="936" w:type="dxa"/>
                  <w:vAlign w:val="center"/>
                </w:tcPr>
                <w:p w14:paraId="7631148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3"/>
                      <w:sz w:val="21"/>
                      <w:szCs w:val="21"/>
                      <w:highlight w:val="none"/>
                      <w:lang w:eastAsia="zh-CN"/>
                      <w14:textFill>
                        <w14:solidFill>
                          <w14:schemeClr w14:val="tx1"/>
                        </w14:solidFill>
                      </w14:textFill>
                    </w:rPr>
                    <w:t>单位</w:t>
                  </w:r>
                </w:p>
              </w:tc>
              <w:tc>
                <w:tcPr>
                  <w:tcW w:w="936" w:type="dxa"/>
                  <w:vAlign w:val="center"/>
                </w:tcPr>
                <w:p w14:paraId="53ECADB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3"/>
                      <w:sz w:val="21"/>
                      <w:szCs w:val="21"/>
                      <w:highlight w:val="none"/>
                      <w:lang w:eastAsia="zh-CN"/>
                      <w14:textFill>
                        <w14:solidFill>
                          <w14:schemeClr w14:val="tx1"/>
                        </w14:solidFill>
                      </w14:textFill>
                    </w:rPr>
                    <w:t>数量</w:t>
                  </w:r>
                </w:p>
              </w:tc>
            </w:tr>
            <w:tr w14:paraId="0E57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43651E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c>
                <w:tcPr>
                  <w:tcW w:w="1908" w:type="dxa"/>
                  <w:gridSpan w:val="2"/>
                  <w:vAlign w:val="center"/>
                </w:tcPr>
                <w:p w14:paraId="42F162C9">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钻机</w:t>
                  </w:r>
                </w:p>
              </w:tc>
              <w:tc>
                <w:tcPr>
                  <w:tcW w:w="1482" w:type="dxa"/>
                  <w:vAlign w:val="center"/>
                </w:tcPr>
                <w:p w14:paraId="41679E9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ZJ</w:t>
                  </w: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-5</w:t>
                  </w:r>
                  <w:r>
                    <w:rPr>
                      <w:rFonts w:hint="eastAsia" w:ascii="Times New Roman" w:hAnsi="Times New Roman" w:eastAsia="宋体" w:cs="Times New Roman"/>
                      <w:color w:val="000000" w:themeColor="text1"/>
                      <w:spacing w:val="6"/>
                      <w:highlight w:val="none"/>
                      <w:lang w:val="en-US" w:eastAsia="zh-CN"/>
                      <w14:textFill>
                        <w14:solidFill>
                          <w14:schemeClr w14:val="tx1"/>
                        </w14:solidFill>
                      </w14:textFill>
                    </w:rPr>
                    <w:t>0/ZJ-70</w:t>
                  </w:r>
                </w:p>
              </w:tc>
              <w:tc>
                <w:tcPr>
                  <w:tcW w:w="1014" w:type="dxa"/>
                  <w:vAlign w:val="center"/>
                </w:tcPr>
                <w:p w14:paraId="3F3D1F4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26E6387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691029B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部</w:t>
                  </w:r>
                </w:p>
              </w:tc>
              <w:tc>
                <w:tcPr>
                  <w:tcW w:w="936" w:type="dxa"/>
                  <w:vAlign w:val="center"/>
                </w:tcPr>
                <w:p w14:paraId="2C1DCD3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5884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E48F7F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2</w:t>
                  </w:r>
                </w:p>
              </w:tc>
              <w:tc>
                <w:tcPr>
                  <w:tcW w:w="1908" w:type="dxa"/>
                  <w:gridSpan w:val="2"/>
                  <w:vAlign w:val="center"/>
                </w:tcPr>
                <w:p w14:paraId="605E2A61">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井架</w:t>
                  </w:r>
                </w:p>
              </w:tc>
              <w:tc>
                <w:tcPr>
                  <w:tcW w:w="1482" w:type="dxa"/>
                  <w:vAlign w:val="center"/>
                </w:tcPr>
                <w:p w14:paraId="178CAF0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JJ</w:t>
                  </w: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450</w:t>
                  </w:r>
                </w:p>
              </w:tc>
              <w:tc>
                <w:tcPr>
                  <w:tcW w:w="1014" w:type="dxa"/>
                  <w:vAlign w:val="center"/>
                </w:tcPr>
                <w:p w14:paraId="0B2410B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4500</w:t>
                  </w:r>
                  <w:r>
                    <w:rPr>
                      <w:rFonts w:hint="default" w:ascii="Times New Roman" w:hAnsi="Times New Roman" w:eastAsia="宋体" w:cs="Times New Roman"/>
                      <w:color w:val="000000" w:themeColor="text1"/>
                      <w:highlight w:val="none"/>
                      <w:lang w:eastAsia="zh-CN"/>
                      <w14:textFill>
                        <w14:solidFill>
                          <w14:schemeClr w14:val="tx1"/>
                        </w14:solidFill>
                      </w14:textFill>
                    </w:rPr>
                    <w:t>KN</w:t>
                  </w:r>
                </w:p>
              </w:tc>
              <w:tc>
                <w:tcPr>
                  <w:tcW w:w="965" w:type="dxa"/>
                  <w:vAlign w:val="center"/>
                </w:tcPr>
                <w:p w14:paraId="01A2F10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6305BFF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部</w:t>
                  </w:r>
                </w:p>
              </w:tc>
              <w:tc>
                <w:tcPr>
                  <w:tcW w:w="936" w:type="dxa"/>
                  <w:vAlign w:val="center"/>
                </w:tcPr>
                <w:p w14:paraId="6EA2041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451E0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59307F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w:t>
                  </w:r>
                </w:p>
              </w:tc>
              <w:tc>
                <w:tcPr>
                  <w:tcW w:w="1908" w:type="dxa"/>
                  <w:gridSpan w:val="2"/>
                  <w:vAlign w:val="center"/>
                </w:tcPr>
                <w:p w14:paraId="54A50417">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天车</w:t>
                  </w:r>
                </w:p>
              </w:tc>
              <w:tc>
                <w:tcPr>
                  <w:tcW w:w="1482" w:type="dxa"/>
                  <w:vAlign w:val="center"/>
                </w:tcPr>
                <w:p w14:paraId="599AC82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TC</w:t>
                  </w:r>
                  <w:r>
                    <w:rPr>
                      <w:rFonts w:hint="default" w:ascii="Times New Roman" w:hAnsi="Times New Roman" w:eastAsia="宋体" w:cs="Times New Roman"/>
                      <w:color w:val="000000" w:themeColor="text1"/>
                      <w:spacing w:val="5"/>
                      <w:highlight w:val="none"/>
                      <w:lang w:eastAsia="zh-CN"/>
                      <w14:textFill>
                        <w14:solidFill>
                          <w14:schemeClr w14:val="tx1"/>
                        </w14:solidFill>
                      </w14:textFill>
                    </w:rPr>
                    <w:t>-450</w:t>
                  </w:r>
                </w:p>
              </w:tc>
              <w:tc>
                <w:tcPr>
                  <w:tcW w:w="1014" w:type="dxa"/>
                  <w:vAlign w:val="center"/>
                </w:tcPr>
                <w:p w14:paraId="21FCC22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4500</w:t>
                  </w:r>
                  <w:r>
                    <w:rPr>
                      <w:rFonts w:hint="default" w:ascii="Times New Roman" w:hAnsi="Times New Roman" w:eastAsia="宋体" w:cs="Times New Roman"/>
                      <w:color w:val="000000" w:themeColor="text1"/>
                      <w:highlight w:val="none"/>
                      <w:lang w:eastAsia="zh-CN"/>
                      <w14:textFill>
                        <w14:solidFill>
                          <w14:schemeClr w14:val="tx1"/>
                        </w14:solidFill>
                      </w14:textFill>
                    </w:rPr>
                    <w:t>KN</w:t>
                  </w:r>
                </w:p>
              </w:tc>
              <w:tc>
                <w:tcPr>
                  <w:tcW w:w="965" w:type="dxa"/>
                  <w:vAlign w:val="center"/>
                </w:tcPr>
                <w:p w14:paraId="78B0368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1B29421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18D882C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4E56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D36D14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4</w:t>
                  </w:r>
                </w:p>
              </w:tc>
              <w:tc>
                <w:tcPr>
                  <w:tcW w:w="1908" w:type="dxa"/>
                  <w:gridSpan w:val="2"/>
                  <w:vAlign w:val="center"/>
                </w:tcPr>
                <w:p w14:paraId="2B0799C3">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游动滑车</w:t>
                  </w:r>
                </w:p>
              </w:tc>
              <w:tc>
                <w:tcPr>
                  <w:tcW w:w="1482" w:type="dxa"/>
                  <w:vAlign w:val="center"/>
                </w:tcPr>
                <w:p w14:paraId="5DA2A92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YC</w:t>
                  </w: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-450</w:t>
                  </w:r>
                </w:p>
              </w:tc>
              <w:tc>
                <w:tcPr>
                  <w:tcW w:w="1014" w:type="dxa"/>
                  <w:vAlign w:val="center"/>
                </w:tcPr>
                <w:p w14:paraId="44410D4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4500</w:t>
                  </w:r>
                  <w:r>
                    <w:rPr>
                      <w:rFonts w:hint="default" w:ascii="Times New Roman" w:hAnsi="Times New Roman" w:eastAsia="宋体" w:cs="Times New Roman"/>
                      <w:color w:val="000000" w:themeColor="text1"/>
                      <w:highlight w:val="none"/>
                      <w:lang w:eastAsia="zh-CN"/>
                      <w14:textFill>
                        <w14:solidFill>
                          <w14:schemeClr w14:val="tx1"/>
                        </w14:solidFill>
                      </w14:textFill>
                    </w:rPr>
                    <w:t>KN</w:t>
                  </w:r>
                </w:p>
              </w:tc>
              <w:tc>
                <w:tcPr>
                  <w:tcW w:w="965" w:type="dxa"/>
                  <w:vAlign w:val="center"/>
                </w:tcPr>
                <w:p w14:paraId="0EA7F04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5BBAB60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24E7092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72E8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BF7CB5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5</w:t>
                  </w:r>
                </w:p>
              </w:tc>
              <w:tc>
                <w:tcPr>
                  <w:tcW w:w="1908" w:type="dxa"/>
                  <w:gridSpan w:val="2"/>
                  <w:vAlign w:val="center"/>
                </w:tcPr>
                <w:p w14:paraId="4C402324">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highlight w:val="none"/>
                      <w:lang w:eastAsia="zh-CN"/>
                      <w14:textFill>
                        <w14:solidFill>
                          <w14:schemeClr w14:val="tx1"/>
                        </w14:solidFill>
                      </w14:textFill>
                    </w:rPr>
                    <w:t>大钩</w:t>
                  </w:r>
                </w:p>
              </w:tc>
              <w:tc>
                <w:tcPr>
                  <w:tcW w:w="1482" w:type="dxa"/>
                  <w:vAlign w:val="center"/>
                </w:tcPr>
                <w:p w14:paraId="5390FCC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DG</w:t>
                  </w: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-450</w:t>
                  </w:r>
                </w:p>
              </w:tc>
              <w:tc>
                <w:tcPr>
                  <w:tcW w:w="1014" w:type="dxa"/>
                  <w:vAlign w:val="center"/>
                </w:tcPr>
                <w:p w14:paraId="7C3F7E2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4500</w:t>
                  </w:r>
                  <w:r>
                    <w:rPr>
                      <w:rFonts w:hint="default" w:ascii="Times New Roman" w:hAnsi="Times New Roman" w:eastAsia="宋体" w:cs="Times New Roman"/>
                      <w:color w:val="000000" w:themeColor="text1"/>
                      <w:highlight w:val="none"/>
                      <w:lang w:eastAsia="zh-CN"/>
                      <w14:textFill>
                        <w14:solidFill>
                          <w14:schemeClr w14:val="tx1"/>
                        </w14:solidFill>
                      </w14:textFill>
                    </w:rPr>
                    <w:t>KN</w:t>
                  </w:r>
                </w:p>
              </w:tc>
              <w:tc>
                <w:tcPr>
                  <w:tcW w:w="965" w:type="dxa"/>
                  <w:vAlign w:val="center"/>
                </w:tcPr>
                <w:p w14:paraId="2AD72F5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1C3F73E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494EE65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323F6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2A25A9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6</w:t>
                  </w:r>
                </w:p>
              </w:tc>
              <w:tc>
                <w:tcPr>
                  <w:tcW w:w="1908" w:type="dxa"/>
                  <w:gridSpan w:val="2"/>
                  <w:vAlign w:val="center"/>
                </w:tcPr>
                <w:p w14:paraId="097ADB22">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水龙头</w:t>
                  </w:r>
                </w:p>
              </w:tc>
              <w:tc>
                <w:tcPr>
                  <w:tcW w:w="1482" w:type="dxa"/>
                  <w:vAlign w:val="center"/>
                </w:tcPr>
                <w:p w14:paraId="49354D4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SL</w:t>
                  </w:r>
                  <w:r>
                    <w:rPr>
                      <w:rFonts w:hint="default" w:ascii="Times New Roman" w:hAnsi="Times New Roman" w:eastAsia="宋体" w:cs="Times New Roman"/>
                      <w:color w:val="000000" w:themeColor="text1"/>
                      <w:spacing w:val="3"/>
                      <w:highlight w:val="none"/>
                      <w:lang w:eastAsia="zh-CN"/>
                      <w14:textFill>
                        <w14:solidFill>
                          <w14:schemeClr w14:val="tx1"/>
                        </w14:solidFill>
                      </w14:textFill>
                    </w:rPr>
                    <w:t>-450</w:t>
                  </w:r>
                </w:p>
              </w:tc>
              <w:tc>
                <w:tcPr>
                  <w:tcW w:w="1014" w:type="dxa"/>
                  <w:vAlign w:val="center"/>
                </w:tcPr>
                <w:p w14:paraId="1CE2001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4500</w:t>
                  </w:r>
                  <w:r>
                    <w:rPr>
                      <w:rFonts w:hint="default" w:ascii="Times New Roman" w:hAnsi="Times New Roman" w:eastAsia="宋体" w:cs="Times New Roman"/>
                      <w:color w:val="000000" w:themeColor="text1"/>
                      <w:highlight w:val="none"/>
                      <w:lang w:eastAsia="zh-CN"/>
                      <w14:textFill>
                        <w14:solidFill>
                          <w14:schemeClr w14:val="tx1"/>
                        </w14:solidFill>
                      </w14:textFill>
                    </w:rPr>
                    <w:t>KN</w:t>
                  </w:r>
                </w:p>
              </w:tc>
              <w:tc>
                <w:tcPr>
                  <w:tcW w:w="965" w:type="dxa"/>
                  <w:vAlign w:val="center"/>
                </w:tcPr>
                <w:p w14:paraId="252A831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6AF4ED0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51367BF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5B63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6530AB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7</w:t>
                  </w:r>
                </w:p>
              </w:tc>
              <w:tc>
                <w:tcPr>
                  <w:tcW w:w="1908" w:type="dxa"/>
                  <w:gridSpan w:val="2"/>
                  <w:vAlign w:val="center"/>
                </w:tcPr>
                <w:p w14:paraId="7ACF9D7E">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转盘</w:t>
                  </w:r>
                </w:p>
              </w:tc>
              <w:tc>
                <w:tcPr>
                  <w:tcW w:w="1482" w:type="dxa"/>
                  <w:vAlign w:val="center"/>
                </w:tcPr>
                <w:p w14:paraId="09D9EAC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ZP</w:t>
                  </w: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-375</w:t>
                  </w:r>
                </w:p>
              </w:tc>
              <w:tc>
                <w:tcPr>
                  <w:tcW w:w="1014" w:type="dxa"/>
                  <w:vAlign w:val="center"/>
                </w:tcPr>
                <w:p w14:paraId="080FAAE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200T</w:t>
                  </w:r>
                </w:p>
              </w:tc>
              <w:tc>
                <w:tcPr>
                  <w:tcW w:w="965" w:type="dxa"/>
                  <w:vAlign w:val="center"/>
                </w:tcPr>
                <w:p w14:paraId="5C1B5F7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212B31E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112534B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407A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BA9DA3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8</w:t>
                  </w:r>
                </w:p>
              </w:tc>
              <w:tc>
                <w:tcPr>
                  <w:tcW w:w="1908" w:type="dxa"/>
                  <w:gridSpan w:val="2"/>
                  <w:vAlign w:val="center"/>
                </w:tcPr>
                <w:p w14:paraId="0E249326">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highlight w:val="none"/>
                      <w:lang w:eastAsia="zh-CN"/>
                      <w14:textFill>
                        <w14:solidFill>
                          <w14:schemeClr w14:val="tx1"/>
                        </w14:solidFill>
                      </w14:textFill>
                    </w:rPr>
                    <w:t>绞车</w:t>
                  </w:r>
                </w:p>
              </w:tc>
              <w:tc>
                <w:tcPr>
                  <w:tcW w:w="1482" w:type="dxa"/>
                  <w:vAlign w:val="center"/>
                </w:tcPr>
                <w:p w14:paraId="2C2DCA4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JC</w:t>
                  </w:r>
                  <w:r>
                    <w:rPr>
                      <w:rFonts w:hint="default" w:ascii="Times New Roman" w:hAnsi="Times New Roman" w:eastAsia="宋体" w:cs="Times New Roman"/>
                      <w:color w:val="000000" w:themeColor="text1"/>
                      <w:spacing w:val="5"/>
                      <w:highlight w:val="none"/>
                      <w:lang w:eastAsia="zh-CN"/>
                      <w14:textFill>
                        <w14:solidFill>
                          <w14:schemeClr w14:val="tx1"/>
                        </w14:solidFill>
                      </w14:textFill>
                    </w:rPr>
                    <w:t>-200</w:t>
                  </w:r>
                </w:p>
              </w:tc>
              <w:tc>
                <w:tcPr>
                  <w:tcW w:w="1014" w:type="dxa"/>
                  <w:vAlign w:val="center"/>
                </w:tcPr>
                <w:p w14:paraId="73B51B5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05E5EE5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60F603A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58F8164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0692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F16D78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9</w:t>
                  </w:r>
                </w:p>
              </w:tc>
              <w:tc>
                <w:tcPr>
                  <w:tcW w:w="1908" w:type="dxa"/>
                  <w:gridSpan w:val="2"/>
                  <w:vAlign w:val="center"/>
                </w:tcPr>
                <w:p w14:paraId="6A569920">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泥浆泵</w:t>
                  </w:r>
                </w:p>
              </w:tc>
              <w:tc>
                <w:tcPr>
                  <w:tcW w:w="1482" w:type="dxa"/>
                  <w:vAlign w:val="center"/>
                </w:tcPr>
                <w:p w14:paraId="173D46F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F-1600</w:t>
                  </w:r>
                </w:p>
              </w:tc>
              <w:tc>
                <w:tcPr>
                  <w:tcW w:w="1014" w:type="dxa"/>
                  <w:vAlign w:val="center"/>
                </w:tcPr>
                <w:p w14:paraId="24D8C34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2AC9630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1600</w:t>
                  </w:r>
                </w:p>
              </w:tc>
              <w:tc>
                <w:tcPr>
                  <w:tcW w:w="936" w:type="dxa"/>
                  <w:vAlign w:val="center"/>
                </w:tcPr>
                <w:p w14:paraId="0AE9A9C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936" w:type="dxa"/>
                  <w:vAlign w:val="center"/>
                </w:tcPr>
                <w:p w14:paraId="4123697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w:t>
                  </w:r>
                </w:p>
              </w:tc>
            </w:tr>
            <w:tr w14:paraId="1BA69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EAAC7A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10</w:t>
                  </w:r>
                </w:p>
              </w:tc>
              <w:tc>
                <w:tcPr>
                  <w:tcW w:w="1908" w:type="dxa"/>
                  <w:gridSpan w:val="2"/>
                  <w:vAlign w:val="center"/>
                </w:tcPr>
                <w:p w14:paraId="68BA8053">
                  <w:pPr>
                    <w:pStyle w:val="4"/>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柴油机</w:t>
                  </w:r>
                </w:p>
              </w:tc>
              <w:tc>
                <w:tcPr>
                  <w:tcW w:w="1482" w:type="dxa"/>
                  <w:vAlign w:val="center"/>
                </w:tcPr>
                <w:p w14:paraId="55D9D98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highlight w:val="none"/>
                      <w:lang w:eastAsia="zh-CN"/>
                      <w14:textFill>
                        <w14:solidFill>
                          <w14:schemeClr w14:val="tx1"/>
                        </w14:solidFill>
                      </w14:textFill>
                    </w:rPr>
                    <w:t>G12V190</w:t>
                  </w:r>
                  <w:r>
                    <w:rPr>
                      <w:rFonts w:hint="default" w:ascii="Times New Roman" w:hAnsi="Times New Roman" w:eastAsia="宋体" w:cs="Times New Roman"/>
                      <w:color w:val="000000" w:themeColor="text1"/>
                      <w:highlight w:val="none"/>
                      <w:lang w:eastAsia="zh-CN"/>
                      <w14:textFill>
                        <w14:solidFill>
                          <w14:schemeClr w14:val="tx1"/>
                        </w14:solidFill>
                      </w14:textFill>
                    </w:rPr>
                    <w:t>PJL</w:t>
                  </w:r>
                  <w:r>
                    <w:rPr>
                      <w:rFonts w:hint="default" w:ascii="Times New Roman" w:hAnsi="Times New Roman" w:eastAsia="宋体" w:cs="Times New Roman"/>
                      <w:color w:val="000000" w:themeColor="text1"/>
                      <w:spacing w:val="5"/>
                      <w:highlight w:val="none"/>
                      <w:lang w:eastAsia="zh-CN"/>
                      <w14:textFill>
                        <w14:solidFill>
                          <w14:schemeClr w14:val="tx1"/>
                        </w14:solidFill>
                      </w14:textFill>
                    </w:rPr>
                    <w:t>-3</w:t>
                  </w:r>
                </w:p>
              </w:tc>
              <w:tc>
                <w:tcPr>
                  <w:tcW w:w="1014" w:type="dxa"/>
                  <w:vAlign w:val="center"/>
                </w:tcPr>
                <w:p w14:paraId="2179EC2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5D664AA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810</w:t>
                  </w:r>
                </w:p>
              </w:tc>
              <w:tc>
                <w:tcPr>
                  <w:tcW w:w="936" w:type="dxa"/>
                  <w:vAlign w:val="center"/>
                </w:tcPr>
                <w:p w14:paraId="384B778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936" w:type="dxa"/>
                  <w:vAlign w:val="center"/>
                </w:tcPr>
                <w:p w14:paraId="42358E7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3</w:t>
                  </w:r>
                </w:p>
              </w:tc>
            </w:tr>
            <w:tr w14:paraId="0A85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restart"/>
                  <w:vAlign w:val="center"/>
                </w:tcPr>
                <w:p w14:paraId="60F3820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11</w:t>
                  </w:r>
                </w:p>
              </w:tc>
              <w:tc>
                <w:tcPr>
                  <w:tcW w:w="937" w:type="dxa"/>
                  <w:vMerge w:val="restart"/>
                  <w:vAlign w:val="center"/>
                </w:tcPr>
                <w:p w14:paraId="78CFF45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四级固</w:t>
                  </w: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控装置</w:t>
                  </w:r>
                </w:p>
              </w:tc>
              <w:tc>
                <w:tcPr>
                  <w:tcW w:w="971" w:type="dxa"/>
                  <w:vAlign w:val="center"/>
                </w:tcPr>
                <w:p w14:paraId="5CDCED5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振动筛×3</w:t>
                  </w:r>
                </w:p>
              </w:tc>
              <w:tc>
                <w:tcPr>
                  <w:tcW w:w="1482" w:type="dxa"/>
                  <w:vAlign w:val="center"/>
                </w:tcPr>
                <w:p w14:paraId="22891C4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ZX</w:t>
                  </w: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-60×300</w:t>
                  </w:r>
                </w:p>
              </w:tc>
              <w:tc>
                <w:tcPr>
                  <w:tcW w:w="1014" w:type="dxa"/>
                  <w:vAlign w:val="center"/>
                </w:tcPr>
                <w:p w14:paraId="010DF60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0FA4538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2E24DB2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组</w:t>
                  </w:r>
                </w:p>
              </w:tc>
              <w:tc>
                <w:tcPr>
                  <w:tcW w:w="936" w:type="dxa"/>
                  <w:vAlign w:val="center"/>
                </w:tcPr>
                <w:p w14:paraId="56F8313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6D73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vAlign w:val="center"/>
                </w:tcPr>
                <w:p w14:paraId="4455FF6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37" w:type="dxa"/>
                  <w:vMerge w:val="continue"/>
                  <w:vAlign w:val="center"/>
                </w:tcPr>
                <w:p w14:paraId="3234AE0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71" w:type="dxa"/>
                  <w:vAlign w:val="center"/>
                </w:tcPr>
                <w:p w14:paraId="2A04E33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t>除砂器</w:t>
                  </w:r>
                </w:p>
              </w:tc>
              <w:tc>
                <w:tcPr>
                  <w:tcW w:w="1482" w:type="dxa"/>
                  <w:vAlign w:val="center"/>
                </w:tcPr>
                <w:p w14:paraId="188D6FF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NCS</w:t>
                  </w:r>
                  <w:r>
                    <w:rPr>
                      <w:rFonts w:hint="default" w:ascii="Times New Roman" w:hAnsi="Times New Roman" w:eastAsia="宋体" w:cs="Times New Roman"/>
                      <w:color w:val="000000" w:themeColor="text1"/>
                      <w:spacing w:val="9"/>
                      <w:highlight w:val="none"/>
                      <w:lang w:eastAsia="zh-CN"/>
                      <w14:textFill>
                        <w14:solidFill>
                          <w14:schemeClr w14:val="tx1"/>
                        </w14:solidFill>
                      </w14:textFill>
                    </w:rPr>
                    <w:t>250×2</w:t>
                  </w:r>
                </w:p>
              </w:tc>
              <w:tc>
                <w:tcPr>
                  <w:tcW w:w="1014" w:type="dxa"/>
                  <w:vAlign w:val="center"/>
                </w:tcPr>
                <w:p w14:paraId="050C953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4EC64EC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28CA022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936" w:type="dxa"/>
                  <w:vAlign w:val="center"/>
                </w:tcPr>
                <w:p w14:paraId="68C1CA1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2243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vAlign w:val="center"/>
                </w:tcPr>
                <w:p w14:paraId="0B655B1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37" w:type="dxa"/>
                  <w:vMerge w:val="continue"/>
                  <w:vAlign w:val="center"/>
                </w:tcPr>
                <w:p w14:paraId="4A65666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71" w:type="dxa"/>
                  <w:vAlign w:val="center"/>
                </w:tcPr>
                <w:p w14:paraId="2F15D1A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t>除泥器</w:t>
                  </w:r>
                </w:p>
              </w:tc>
              <w:tc>
                <w:tcPr>
                  <w:tcW w:w="1482" w:type="dxa"/>
                  <w:vAlign w:val="center"/>
                </w:tcPr>
                <w:p w14:paraId="7319173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ZQJ</w:t>
                  </w: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125×8-1.3×0.</w:t>
                  </w:r>
                  <w:r>
                    <w:rPr>
                      <w:rFonts w:hint="default" w:ascii="Times New Roman" w:hAnsi="Times New Roman" w:eastAsia="宋体" w:cs="Times New Roman"/>
                      <w:color w:val="000000" w:themeColor="text1"/>
                      <w:highlight w:val="none"/>
                      <w:lang w:eastAsia="zh-CN"/>
                      <w14:textFill>
                        <w14:solidFill>
                          <w14:schemeClr w14:val="tx1"/>
                        </w14:solidFill>
                      </w14:textFill>
                    </w:rPr>
                    <w:t>6</w:t>
                  </w:r>
                </w:p>
              </w:tc>
              <w:tc>
                <w:tcPr>
                  <w:tcW w:w="1014" w:type="dxa"/>
                  <w:vAlign w:val="center"/>
                </w:tcPr>
                <w:p w14:paraId="249D46A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40ABE68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1DB6D66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936" w:type="dxa"/>
                  <w:vAlign w:val="center"/>
                </w:tcPr>
                <w:p w14:paraId="0A4C0AB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3AB2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vAlign w:val="center"/>
                </w:tcPr>
                <w:p w14:paraId="11C700A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37" w:type="dxa"/>
                  <w:vMerge w:val="continue"/>
                  <w:vAlign w:val="center"/>
                </w:tcPr>
                <w:p w14:paraId="1A71593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71" w:type="dxa"/>
                  <w:vAlign w:val="center"/>
                </w:tcPr>
                <w:p w14:paraId="09787C8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离心机</w:t>
                  </w:r>
                </w:p>
              </w:tc>
              <w:tc>
                <w:tcPr>
                  <w:tcW w:w="1482" w:type="dxa"/>
                  <w:vAlign w:val="center"/>
                </w:tcPr>
                <w:p w14:paraId="6E4F2AC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LW</w:t>
                  </w:r>
                  <w:r>
                    <w:rPr>
                      <w:rFonts w:hint="default" w:ascii="Times New Roman" w:hAnsi="Times New Roman" w:eastAsia="宋体" w:cs="Times New Roman"/>
                      <w:color w:val="000000" w:themeColor="text1"/>
                      <w:spacing w:val="6"/>
                      <w:highlight w:val="none"/>
                      <w:lang w:eastAsia="zh-CN"/>
                      <w14:textFill>
                        <w14:solidFill>
                          <w14:schemeClr w14:val="tx1"/>
                        </w14:solidFill>
                      </w14:textFill>
                    </w:rPr>
                    <w:t>450-842N</w:t>
                  </w:r>
                </w:p>
              </w:tc>
              <w:tc>
                <w:tcPr>
                  <w:tcW w:w="1014" w:type="dxa"/>
                  <w:vAlign w:val="center"/>
                </w:tcPr>
                <w:p w14:paraId="6E29E4C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583B365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72A12F9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936" w:type="dxa"/>
                  <w:vAlign w:val="center"/>
                </w:tcPr>
                <w:p w14:paraId="2CAB178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2DAD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Merge w:val="continue"/>
                  <w:vAlign w:val="center"/>
                </w:tcPr>
                <w:p w14:paraId="7234A9C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37" w:type="dxa"/>
                  <w:vMerge w:val="continue"/>
                  <w:vAlign w:val="center"/>
                </w:tcPr>
                <w:p w14:paraId="6962D41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71" w:type="dxa"/>
                  <w:vAlign w:val="center"/>
                </w:tcPr>
                <w:p w14:paraId="0F6F869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lang w:eastAsia="zh-CN"/>
                      <w14:textFill>
                        <w14:solidFill>
                          <w14:schemeClr w14:val="tx1"/>
                        </w14:solidFill>
                      </w14:textFill>
                    </w:rPr>
                    <w:t>除气器</w:t>
                  </w:r>
                </w:p>
              </w:tc>
              <w:tc>
                <w:tcPr>
                  <w:tcW w:w="1482" w:type="dxa"/>
                  <w:vAlign w:val="center"/>
                </w:tcPr>
                <w:p w14:paraId="448B41F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HZQ</w:t>
                  </w:r>
                  <w:r>
                    <w:rPr>
                      <w:rFonts w:hint="default" w:ascii="Times New Roman" w:hAnsi="Times New Roman" w:eastAsia="宋体" w:cs="Times New Roman"/>
                      <w:color w:val="000000" w:themeColor="text1"/>
                      <w:spacing w:val="9"/>
                      <w:highlight w:val="none"/>
                      <w:lang w:eastAsia="zh-CN"/>
                      <w14:textFill>
                        <w14:solidFill>
                          <w14:schemeClr w14:val="tx1"/>
                        </w14:solidFill>
                      </w14:textFill>
                    </w:rPr>
                    <w:t>1/4</w:t>
                  </w:r>
                </w:p>
              </w:tc>
              <w:tc>
                <w:tcPr>
                  <w:tcW w:w="1014" w:type="dxa"/>
                  <w:vAlign w:val="center"/>
                </w:tcPr>
                <w:p w14:paraId="2D6DBAC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65A24FC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36" w:type="dxa"/>
                  <w:vAlign w:val="center"/>
                </w:tcPr>
                <w:p w14:paraId="1EDBAB6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936" w:type="dxa"/>
                  <w:vAlign w:val="center"/>
                </w:tcPr>
                <w:p w14:paraId="6C4BA95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108B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714595C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12</w:t>
                  </w:r>
                </w:p>
              </w:tc>
              <w:tc>
                <w:tcPr>
                  <w:tcW w:w="937" w:type="dxa"/>
                  <w:vAlign w:val="center"/>
                </w:tcPr>
                <w:p w14:paraId="158EF4F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柴油发</w:t>
                  </w:r>
                  <w:r>
                    <w:rPr>
                      <w:rFonts w:hint="default" w:ascii="Times New Roman" w:hAnsi="Times New Roman" w:eastAsia="宋体" w:cs="Times New Roman"/>
                      <w:color w:val="000000" w:themeColor="text1"/>
                      <w:spacing w:val="-8"/>
                      <w:sz w:val="21"/>
                      <w:szCs w:val="21"/>
                      <w:highlight w:val="none"/>
                      <w:lang w:eastAsia="zh-CN"/>
                      <w14:textFill>
                        <w14:solidFill>
                          <w14:schemeClr w14:val="tx1"/>
                        </w14:solidFill>
                      </w14:textFill>
                    </w:rPr>
                    <w:t>电机</w:t>
                  </w:r>
                </w:p>
              </w:tc>
              <w:tc>
                <w:tcPr>
                  <w:tcW w:w="971" w:type="dxa"/>
                  <w:vAlign w:val="center"/>
                </w:tcPr>
                <w:p w14:paraId="2858784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#1-#3</w:t>
                  </w:r>
                </w:p>
              </w:tc>
              <w:tc>
                <w:tcPr>
                  <w:tcW w:w="1482" w:type="dxa"/>
                  <w:vAlign w:val="center"/>
                </w:tcPr>
                <w:p w14:paraId="650B1FB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Vovol</w:t>
                  </w:r>
                </w:p>
              </w:tc>
              <w:tc>
                <w:tcPr>
                  <w:tcW w:w="1014" w:type="dxa"/>
                  <w:vAlign w:val="center"/>
                </w:tcPr>
                <w:p w14:paraId="76CDC81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4F80FA4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400</w:t>
                  </w:r>
                </w:p>
              </w:tc>
              <w:tc>
                <w:tcPr>
                  <w:tcW w:w="936" w:type="dxa"/>
                  <w:vAlign w:val="center"/>
                </w:tcPr>
                <w:p w14:paraId="220F832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台</w:t>
                  </w:r>
                </w:p>
              </w:tc>
              <w:tc>
                <w:tcPr>
                  <w:tcW w:w="936" w:type="dxa"/>
                  <w:vAlign w:val="center"/>
                </w:tcPr>
                <w:p w14:paraId="4826B8C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2</w:t>
                  </w:r>
                </w:p>
              </w:tc>
            </w:tr>
            <w:tr w14:paraId="4120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89719E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13</w:t>
                  </w:r>
                </w:p>
              </w:tc>
              <w:tc>
                <w:tcPr>
                  <w:tcW w:w="937" w:type="dxa"/>
                  <w:vAlign w:val="center"/>
                </w:tcPr>
                <w:p w14:paraId="67CA225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净化罐</w:t>
                  </w:r>
                </w:p>
              </w:tc>
              <w:tc>
                <w:tcPr>
                  <w:tcW w:w="971" w:type="dxa"/>
                  <w:vAlign w:val="center"/>
                </w:tcPr>
                <w:p w14:paraId="50933E0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position w:val="-1"/>
                      <w:highlight w:val="none"/>
                      <w:lang w:eastAsia="zh-CN"/>
                      <w14:textFill>
                        <w14:solidFill>
                          <w14:schemeClr w14:val="tx1"/>
                        </w14:solidFill>
                      </w14:textFill>
                    </w:rPr>
                    <w:t>40m</w:t>
                  </w:r>
                  <w:r>
                    <w:rPr>
                      <w:rFonts w:hint="default" w:ascii="Times New Roman" w:hAnsi="Times New Roman" w:eastAsia="宋体" w:cs="Times New Roman"/>
                      <w:color w:val="000000" w:themeColor="text1"/>
                      <w:spacing w:val="4"/>
                      <w:position w:val="-1"/>
                      <w:highlight w:val="none"/>
                      <w:vertAlign w:val="superscript"/>
                      <w:lang w:eastAsia="zh-CN"/>
                      <w14:textFill>
                        <w14:solidFill>
                          <w14:schemeClr w14:val="tx1"/>
                        </w14:solidFill>
                      </w14:textFill>
                    </w:rPr>
                    <w:t>3</w:t>
                  </w:r>
                </w:p>
              </w:tc>
              <w:tc>
                <w:tcPr>
                  <w:tcW w:w="1482" w:type="dxa"/>
                  <w:vAlign w:val="center"/>
                </w:tcPr>
                <w:p w14:paraId="3BBEE8F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1014" w:type="dxa"/>
                  <w:vAlign w:val="center"/>
                </w:tcPr>
                <w:p w14:paraId="25FBE01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4AD17B9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36" w:type="dxa"/>
                  <w:vAlign w:val="center"/>
                </w:tcPr>
                <w:p w14:paraId="617F65D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6F739B7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highlight w:val="none"/>
                      <w:lang w:eastAsia="zh-CN"/>
                      <w14:textFill>
                        <w14:solidFill>
                          <w14:schemeClr w14:val="tx1"/>
                        </w14:solidFill>
                      </w14:textFill>
                    </w:rPr>
                    <w:t>4</w:t>
                  </w:r>
                </w:p>
              </w:tc>
            </w:tr>
            <w:tr w14:paraId="1187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451AEE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14</w:t>
                  </w:r>
                </w:p>
              </w:tc>
              <w:tc>
                <w:tcPr>
                  <w:tcW w:w="937" w:type="dxa"/>
                  <w:vAlign w:val="center"/>
                </w:tcPr>
                <w:p w14:paraId="6CAF845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套装水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罐</w:t>
                  </w:r>
                </w:p>
              </w:tc>
              <w:tc>
                <w:tcPr>
                  <w:tcW w:w="971" w:type="dxa"/>
                  <w:vAlign w:val="center"/>
                </w:tcPr>
                <w:p w14:paraId="247424A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4"/>
                      <w:position w:val="-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position w:val="-1"/>
                      <w:highlight w:val="none"/>
                      <w:lang w:eastAsia="zh-CN"/>
                      <w14:textFill>
                        <w14:solidFill>
                          <w14:schemeClr w14:val="tx1"/>
                        </w14:solidFill>
                      </w14:textFill>
                    </w:rPr>
                    <w:t>60</w:t>
                  </w:r>
                  <w:r>
                    <w:rPr>
                      <w:rFonts w:hint="default" w:ascii="Times New Roman" w:hAnsi="Times New Roman" w:eastAsia="宋体" w:cs="Times New Roman"/>
                      <w:color w:val="000000" w:themeColor="text1"/>
                      <w:spacing w:val="4"/>
                      <w:position w:val="-1"/>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4"/>
                      <w:position w:val="-1"/>
                      <w:highlight w:val="none"/>
                      <w:vertAlign w:val="superscript"/>
                      <w:lang w:eastAsia="zh-CN"/>
                      <w14:textFill>
                        <w14:solidFill>
                          <w14:schemeClr w14:val="tx1"/>
                        </w14:solidFill>
                      </w14:textFill>
                    </w:rPr>
                    <w:t>3</w:t>
                  </w:r>
                </w:p>
              </w:tc>
              <w:tc>
                <w:tcPr>
                  <w:tcW w:w="1482" w:type="dxa"/>
                  <w:vAlign w:val="center"/>
                </w:tcPr>
                <w:p w14:paraId="16AF76B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1014" w:type="dxa"/>
                  <w:vAlign w:val="center"/>
                </w:tcPr>
                <w:p w14:paraId="646AD02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70BF66E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36" w:type="dxa"/>
                  <w:vAlign w:val="center"/>
                </w:tcPr>
                <w:p w14:paraId="79DC128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0AC0624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744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08CC90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15</w:t>
                  </w:r>
                </w:p>
              </w:tc>
              <w:tc>
                <w:tcPr>
                  <w:tcW w:w="937" w:type="dxa"/>
                  <w:vAlign w:val="center"/>
                </w:tcPr>
                <w:p w14:paraId="540960B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油水罐</w:t>
                  </w:r>
                </w:p>
              </w:tc>
              <w:tc>
                <w:tcPr>
                  <w:tcW w:w="971" w:type="dxa"/>
                  <w:vAlign w:val="center"/>
                </w:tcPr>
                <w:p w14:paraId="06D055C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4"/>
                      <w:position w:val="-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position w:val="-1"/>
                      <w:highlight w:val="none"/>
                      <w:lang w:eastAsia="zh-CN"/>
                      <w14:textFill>
                        <w14:solidFill>
                          <w14:schemeClr w14:val="tx1"/>
                        </w14:solidFill>
                      </w14:textFill>
                    </w:rPr>
                    <w:t>40m</w:t>
                  </w:r>
                  <w:r>
                    <w:rPr>
                      <w:rFonts w:hint="default" w:ascii="Times New Roman" w:hAnsi="Times New Roman" w:eastAsia="宋体" w:cs="Times New Roman"/>
                      <w:color w:val="000000" w:themeColor="text1"/>
                      <w:spacing w:val="4"/>
                      <w:position w:val="-1"/>
                      <w:highlight w:val="none"/>
                      <w:vertAlign w:val="superscript"/>
                      <w:lang w:eastAsia="zh-CN"/>
                      <w14:textFill>
                        <w14:solidFill>
                          <w14:schemeClr w14:val="tx1"/>
                        </w14:solidFill>
                      </w14:textFill>
                    </w:rPr>
                    <w:t>3</w:t>
                  </w:r>
                </w:p>
              </w:tc>
              <w:tc>
                <w:tcPr>
                  <w:tcW w:w="1482" w:type="dxa"/>
                  <w:vAlign w:val="center"/>
                </w:tcPr>
                <w:p w14:paraId="0176779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1014" w:type="dxa"/>
                  <w:vAlign w:val="center"/>
                </w:tcPr>
                <w:p w14:paraId="38D7020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2B765B8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36" w:type="dxa"/>
                  <w:vAlign w:val="center"/>
                </w:tcPr>
                <w:p w14:paraId="76A329A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6C82E2E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w:t>
                  </w:r>
                </w:p>
              </w:tc>
            </w:tr>
            <w:tr w14:paraId="66BB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235238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16</w:t>
                  </w:r>
                </w:p>
              </w:tc>
              <w:tc>
                <w:tcPr>
                  <w:tcW w:w="937" w:type="dxa"/>
                  <w:vAlign w:val="center"/>
                </w:tcPr>
                <w:p w14:paraId="4BA1DB6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钻井液</w:t>
                  </w:r>
                </w:p>
                <w:p w14:paraId="1B6B9A1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1"/>
                      <w:szCs w:val="21"/>
                      <w:highlight w:val="none"/>
                      <w:lang w:eastAsia="zh-CN"/>
                      <w14:textFill>
                        <w14:solidFill>
                          <w14:schemeClr w14:val="tx1"/>
                        </w14:solidFill>
                      </w14:textFill>
                    </w:rPr>
                    <w:t>不落地</w:t>
                  </w:r>
                  <w:r>
                    <w:rPr>
                      <w:rFonts w:hint="default" w:ascii="Times New Roman" w:hAnsi="Times New Roman" w:eastAsia="宋体" w:cs="Times New Roman"/>
                      <w:color w:val="000000" w:themeColor="text1"/>
                      <w:spacing w:val="3"/>
                      <w:sz w:val="21"/>
                      <w:szCs w:val="21"/>
                      <w:highlight w:val="none"/>
                      <w:lang w:eastAsia="zh-CN"/>
                      <w14:textFill>
                        <w14:solidFill>
                          <w14:schemeClr w14:val="tx1"/>
                        </w14:solidFill>
                      </w14:textFill>
                    </w:rPr>
                    <w:t>设备</w:t>
                  </w:r>
                </w:p>
              </w:tc>
              <w:tc>
                <w:tcPr>
                  <w:tcW w:w="971" w:type="dxa"/>
                  <w:vAlign w:val="center"/>
                </w:tcPr>
                <w:p w14:paraId="0A03961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4"/>
                      <w:position w:val="-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1482" w:type="dxa"/>
                  <w:vAlign w:val="center"/>
                </w:tcPr>
                <w:p w14:paraId="46A19E2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1014" w:type="dxa"/>
                  <w:vAlign w:val="center"/>
                </w:tcPr>
                <w:p w14:paraId="413C7DE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48B6006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36" w:type="dxa"/>
                  <w:vAlign w:val="center"/>
                </w:tcPr>
                <w:p w14:paraId="093B075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套</w:t>
                  </w:r>
                </w:p>
              </w:tc>
              <w:tc>
                <w:tcPr>
                  <w:tcW w:w="936" w:type="dxa"/>
                  <w:vAlign w:val="center"/>
                </w:tcPr>
                <w:p w14:paraId="3895D28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0F6C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6390C4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17</w:t>
                  </w:r>
                </w:p>
              </w:tc>
              <w:tc>
                <w:tcPr>
                  <w:tcW w:w="937" w:type="dxa"/>
                  <w:vAlign w:val="center"/>
                </w:tcPr>
                <w:p w14:paraId="459A02B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柴油罐</w:t>
                  </w:r>
                </w:p>
              </w:tc>
              <w:tc>
                <w:tcPr>
                  <w:tcW w:w="971" w:type="dxa"/>
                  <w:vAlign w:val="center"/>
                </w:tcPr>
                <w:p w14:paraId="40674CB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4"/>
                      <w:position w:val="-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position w:val="-1"/>
                      <w:highlight w:val="none"/>
                      <w:lang w:eastAsia="zh-CN"/>
                      <w14:textFill>
                        <w14:solidFill>
                          <w14:schemeClr w14:val="tx1"/>
                        </w14:solidFill>
                      </w14:textFill>
                    </w:rPr>
                    <w:t>20</w:t>
                  </w:r>
                  <w:r>
                    <w:rPr>
                      <w:rFonts w:hint="default" w:ascii="Times New Roman" w:hAnsi="Times New Roman" w:eastAsia="宋体" w:cs="Times New Roman"/>
                      <w:color w:val="000000" w:themeColor="text1"/>
                      <w:spacing w:val="4"/>
                      <w:position w:val="-1"/>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4"/>
                      <w:position w:val="-1"/>
                      <w:highlight w:val="none"/>
                      <w:vertAlign w:val="superscript"/>
                      <w:lang w:eastAsia="zh-CN"/>
                      <w14:textFill>
                        <w14:solidFill>
                          <w14:schemeClr w14:val="tx1"/>
                        </w14:solidFill>
                      </w14:textFill>
                    </w:rPr>
                    <w:t>3</w:t>
                  </w:r>
                </w:p>
              </w:tc>
              <w:tc>
                <w:tcPr>
                  <w:tcW w:w="1482" w:type="dxa"/>
                  <w:vAlign w:val="center"/>
                </w:tcPr>
                <w:p w14:paraId="55F8178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1014" w:type="dxa"/>
                  <w:vAlign w:val="center"/>
                </w:tcPr>
                <w:p w14:paraId="29AC3FB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5015DC0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936" w:type="dxa"/>
                  <w:vAlign w:val="center"/>
                </w:tcPr>
                <w:p w14:paraId="71A6AC0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22220D7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534C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0E8F32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8"/>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8"/>
                      <w:highlight w:val="none"/>
                      <w:lang w:eastAsia="zh-CN"/>
                      <w14:textFill>
                        <w14:solidFill>
                          <w14:schemeClr w14:val="tx1"/>
                        </w14:solidFill>
                      </w14:textFill>
                    </w:rPr>
                    <w:t>18</w:t>
                  </w:r>
                </w:p>
              </w:tc>
              <w:tc>
                <w:tcPr>
                  <w:tcW w:w="937" w:type="dxa"/>
                  <w:vAlign w:val="center"/>
                </w:tcPr>
                <w:p w14:paraId="63C4A8AF">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生物质锅炉</w:t>
                  </w:r>
                </w:p>
              </w:tc>
              <w:tc>
                <w:tcPr>
                  <w:tcW w:w="971" w:type="dxa"/>
                  <w:vAlign w:val="center"/>
                </w:tcPr>
                <w:p w14:paraId="0A881E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3"/>
                      <w:position w:val="-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position w:val="-1"/>
                      <w:highlight w:val="none"/>
                      <w:lang w:eastAsia="zh-CN"/>
                      <w14:textFill>
                        <w14:solidFill>
                          <w14:schemeClr w14:val="tx1"/>
                        </w14:solidFill>
                      </w14:textFill>
                    </w:rPr>
                    <w:t>/</w:t>
                  </w:r>
                </w:p>
              </w:tc>
              <w:tc>
                <w:tcPr>
                  <w:tcW w:w="1482" w:type="dxa"/>
                  <w:vAlign w:val="center"/>
                </w:tcPr>
                <w:p w14:paraId="22F51EA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DZS2.5-0.8-SCⅡ</w:t>
                  </w:r>
                </w:p>
              </w:tc>
              <w:tc>
                <w:tcPr>
                  <w:tcW w:w="1014" w:type="dxa"/>
                  <w:vAlign w:val="center"/>
                </w:tcPr>
                <w:p w14:paraId="30A5CF4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highlight w:val="none"/>
                      <w:lang w:eastAsia="zh-CN"/>
                      <w14:textFill>
                        <w14:solidFill>
                          <w14:schemeClr w14:val="tx1"/>
                        </w14:solidFill>
                      </w14:textFill>
                    </w:rPr>
                    <w:t>/</w:t>
                  </w:r>
                </w:p>
              </w:tc>
              <w:tc>
                <w:tcPr>
                  <w:tcW w:w="965" w:type="dxa"/>
                  <w:vAlign w:val="center"/>
                </w:tcPr>
                <w:p w14:paraId="640D8BC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936" w:type="dxa"/>
                  <w:vAlign w:val="center"/>
                </w:tcPr>
                <w:p w14:paraId="76B7C826">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个</w:t>
                  </w:r>
                </w:p>
              </w:tc>
              <w:tc>
                <w:tcPr>
                  <w:tcW w:w="936" w:type="dxa"/>
                  <w:vAlign w:val="center"/>
                </w:tcPr>
                <w:p w14:paraId="038653D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bl>
          <w:p w14:paraId="5049958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t xml:space="preserve">表2-8 </w:t>
            </w:r>
            <w:r>
              <w:rPr>
                <w:rFonts w:hint="default" w:ascii="Times New Roman" w:hAnsi="Times New Roman" w:eastAsia="宋体" w:cs="Times New Roman"/>
                <w:b/>
                <w:bCs/>
                <w:color w:val="000000" w:themeColor="text1"/>
                <w:spacing w:val="5"/>
                <w:kern w:val="2"/>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t>单个试油工程主要设备</w:t>
            </w:r>
          </w:p>
          <w:tbl>
            <w:tblPr>
              <w:tblStyle w:val="21"/>
              <w:tblW w:w="81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8"/>
              <w:gridCol w:w="1385"/>
              <w:gridCol w:w="2026"/>
              <w:gridCol w:w="1013"/>
              <w:gridCol w:w="1318"/>
              <w:gridCol w:w="1767"/>
            </w:tblGrid>
            <w:tr w14:paraId="300D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31FB820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序号</w:t>
                  </w:r>
                </w:p>
              </w:tc>
              <w:tc>
                <w:tcPr>
                  <w:tcW w:w="1385" w:type="dxa"/>
                  <w:vAlign w:val="center"/>
                </w:tcPr>
                <w:p w14:paraId="18B8937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设备名称</w:t>
                  </w:r>
                </w:p>
              </w:tc>
              <w:tc>
                <w:tcPr>
                  <w:tcW w:w="2026" w:type="dxa"/>
                  <w:vAlign w:val="center"/>
                </w:tcPr>
                <w:p w14:paraId="7BFE5AA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型号及规格</w:t>
                  </w:r>
                </w:p>
              </w:tc>
              <w:tc>
                <w:tcPr>
                  <w:tcW w:w="1013" w:type="dxa"/>
                  <w:vAlign w:val="center"/>
                </w:tcPr>
                <w:p w14:paraId="67E7ABE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单位</w:t>
                  </w:r>
                </w:p>
              </w:tc>
              <w:tc>
                <w:tcPr>
                  <w:tcW w:w="1318" w:type="dxa"/>
                  <w:vAlign w:val="center"/>
                </w:tcPr>
                <w:p w14:paraId="3DB9A50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数量</w:t>
                  </w:r>
                </w:p>
              </w:tc>
              <w:tc>
                <w:tcPr>
                  <w:tcW w:w="1767" w:type="dxa"/>
                  <w:tcBorders>
                    <w:right w:val="single" w:color="000000" w:sz="4" w:space="0"/>
                  </w:tcBorders>
                  <w:vAlign w:val="center"/>
                </w:tcPr>
                <w:p w14:paraId="15FD435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备注</w:t>
                  </w:r>
                </w:p>
              </w:tc>
            </w:tr>
            <w:tr w14:paraId="680AD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1AD50F4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385" w:type="dxa"/>
                  <w:vAlign w:val="center"/>
                </w:tcPr>
                <w:p w14:paraId="7AB774B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试油作业机</w:t>
                  </w:r>
                </w:p>
              </w:tc>
              <w:tc>
                <w:tcPr>
                  <w:tcW w:w="2026" w:type="dxa"/>
                  <w:vAlign w:val="center"/>
                </w:tcPr>
                <w:p w14:paraId="6B04DE6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110t</w:t>
                  </w:r>
                </w:p>
              </w:tc>
              <w:tc>
                <w:tcPr>
                  <w:tcW w:w="1013" w:type="dxa"/>
                  <w:vAlign w:val="center"/>
                </w:tcPr>
                <w:p w14:paraId="34D5EEE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部</w:t>
                  </w:r>
                </w:p>
              </w:tc>
              <w:tc>
                <w:tcPr>
                  <w:tcW w:w="1318" w:type="dxa"/>
                  <w:vAlign w:val="center"/>
                </w:tcPr>
                <w:p w14:paraId="0E3B4F7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767" w:type="dxa"/>
                  <w:tcBorders>
                    <w:right w:val="single" w:color="000000" w:sz="4" w:space="0"/>
                  </w:tcBorders>
                  <w:vAlign w:val="center"/>
                </w:tcPr>
                <w:p w14:paraId="1464548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r w14:paraId="7E528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02B1F8C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w:t>
                  </w:r>
                </w:p>
              </w:tc>
              <w:tc>
                <w:tcPr>
                  <w:tcW w:w="1385" w:type="dxa"/>
                  <w:vAlign w:val="center"/>
                </w:tcPr>
                <w:p w14:paraId="00A2814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试油井架</w:t>
                  </w:r>
                </w:p>
              </w:tc>
              <w:tc>
                <w:tcPr>
                  <w:tcW w:w="2026" w:type="dxa"/>
                  <w:vAlign w:val="center"/>
                </w:tcPr>
                <w:p w14:paraId="7545579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c>
                <w:tcPr>
                  <w:tcW w:w="1013" w:type="dxa"/>
                  <w:vAlign w:val="center"/>
                </w:tcPr>
                <w:p w14:paraId="003EC09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部</w:t>
                  </w:r>
                </w:p>
              </w:tc>
              <w:tc>
                <w:tcPr>
                  <w:tcW w:w="1318" w:type="dxa"/>
                  <w:vAlign w:val="center"/>
                </w:tcPr>
                <w:p w14:paraId="026F9EF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767" w:type="dxa"/>
                  <w:tcBorders>
                    <w:right w:val="single" w:color="000000" w:sz="4" w:space="0"/>
                  </w:tcBorders>
                  <w:vAlign w:val="center"/>
                </w:tcPr>
                <w:p w14:paraId="0F31A34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r w14:paraId="40C93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3FED149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3</w:t>
                  </w:r>
                </w:p>
              </w:tc>
              <w:tc>
                <w:tcPr>
                  <w:tcW w:w="1385" w:type="dxa"/>
                  <w:vAlign w:val="center"/>
                </w:tcPr>
                <w:p w14:paraId="053AFD3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液压钳</w:t>
                  </w:r>
                </w:p>
              </w:tc>
              <w:tc>
                <w:tcPr>
                  <w:tcW w:w="2026" w:type="dxa"/>
                  <w:vAlign w:val="center"/>
                </w:tcPr>
                <w:p w14:paraId="4311924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600型或300型</w:t>
                  </w:r>
                </w:p>
              </w:tc>
              <w:tc>
                <w:tcPr>
                  <w:tcW w:w="1013" w:type="dxa"/>
                  <w:vAlign w:val="center"/>
                </w:tcPr>
                <w:p w14:paraId="1424AEF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台</w:t>
                  </w:r>
                </w:p>
              </w:tc>
              <w:tc>
                <w:tcPr>
                  <w:tcW w:w="1318" w:type="dxa"/>
                  <w:vAlign w:val="center"/>
                </w:tcPr>
                <w:p w14:paraId="5E58198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767" w:type="dxa"/>
                  <w:tcBorders>
                    <w:right w:val="single" w:color="000000" w:sz="4" w:space="0"/>
                  </w:tcBorders>
                  <w:vAlign w:val="center"/>
                </w:tcPr>
                <w:p w14:paraId="2D4B675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足够长的配套管线</w:t>
                  </w:r>
                </w:p>
              </w:tc>
            </w:tr>
            <w:tr w14:paraId="11A0E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0295A88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4</w:t>
                  </w:r>
                </w:p>
              </w:tc>
              <w:tc>
                <w:tcPr>
                  <w:tcW w:w="1385" w:type="dxa"/>
                  <w:vAlign w:val="center"/>
                </w:tcPr>
                <w:p w14:paraId="4270286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方罐</w:t>
                  </w:r>
                </w:p>
              </w:tc>
              <w:tc>
                <w:tcPr>
                  <w:tcW w:w="2026" w:type="dxa"/>
                  <w:vAlign w:val="center"/>
                </w:tcPr>
                <w:p w14:paraId="63C9CE1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40m</w:t>
                  </w:r>
                  <w:r>
                    <w:rPr>
                      <w:rFonts w:hint="default" w:ascii="Times New Roman" w:hAnsi="Times New Roman" w:eastAsia="宋体" w:cs="Times New Roman"/>
                      <w:color w:val="000000" w:themeColor="text1"/>
                      <w:highlight w:val="none"/>
                      <w:vertAlign w:val="superscript"/>
                      <w:lang w:eastAsia="zh-CN" w:bidi="ar"/>
                      <w14:textFill>
                        <w14:solidFill>
                          <w14:schemeClr w14:val="tx1"/>
                        </w14:solidFill>
                      </w14:textFill>
                    </w:rPr>
                    <w:t>3</w:t>
                  </w:r>
                </w:p>
              </w:tc>
              <w:tc>
                <w:tcPr>
                  <w:tcW w:w="1013" w:type="dxa"/>
                  <w:vAlign w:val="center"/>
                </w:tcPr>
                <w:p w14:paraId="4FF3D8F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个</w:t>
                  </w:r>
                </w:p>
              </w:tc>
              <w:tc>
                <w:tcPr>
                  <w:tcW w:w="1318" w:type="dxa"/>
                  <w:vAlign w:val="center"/>
                </w:tcPr>
                <w:p w14:paraId="58D8483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4</w:t>
                  </w:r>
                </w:p>
              </w:tc>
              <w:tc>
                <w:tcPr>
                  <w:tcW w:w="1767" w:type="dxa"/>
                  <w:tcBorders>
                    <w:right w:val="single" w:color="000000" w:sz="4" w:space="0"/>
                  </w:tcBorders>
                  <w:vAlign w:val="center"/>
                </w:tcPr>
                <w:p w14:paraId="7C5630F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r w14:paraId="5008D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63D0681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5</w:t>
                  </w:r>
                </w:p>
              </w:tc>
              <w:tc>
                <w:tcPr>
                  <w:tcW w:w="1385" w:type="dxa"/>
                  <w:vAlign w:val="center"/>
                </w:tcPr>
                <w:p w14:paraId="4D35DD9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吊卡</w:t>
                  </w:r>
                </w:p>
              </w:tc>
              <w:tc>
                <w:tcPr>
                  <w:tcW w:w="2026" w:type="dxa"/>
                  <w:vAlign w:val="center"/>
                </w:tcPr>
                <w:p w14:paraId="2682121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Φ73.0mm/Φ88.9mm</w:t>
                  </w:r>
                </w:p>
              </w:tc>
              <w:tc>
                <w:tcPr>
                  <w:tcW w:w="1013" w:type="dxa"/>
                  <w:vAlign w:val="center"/>
                </w:tcPr>
                <w:p w14:paraId="66FDC7D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只</w:t>
                  </w:r>
                </w:p>
              </w:tc>
              <w:tc>
                <w:tcPr>
                  <w:tcW w:w="1318" w:type="dxa"/>
                  <w:vAlign w:val="center"/>
                </w:tcPr>
                <w:p w14:paraId="30E84CC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2/2</w:t>
                  </w:r>
                </w:p>
              </w:tc>
              <w:tc>
                <w:tcPr>
                  <w:tcW w:w="1767" w:type="dxa"/>
                  <w:tcBorders>
                    <w:right w:val="single" w:color="000000" w:sz="4" w:space="0"/>
                  </w:tcBorders>
                  <w:vAlign w:val="center"/>
                </w:tcPr>
                <w:p w14:paraId="5AD59D8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50t</w:t>
                  </w:r>
                </w:p>
              </w:tc>
            </w:tr>
            <w:tr w14:paraId="61D5B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7E66708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6</w:t>
                  </w:r>
                </w:p>
              </w:tc>
              <w:tc>
                <w:tcPr>
                  <w:tcW w:w="1385" w:type="dxa"/>
                  <w:vAlign w:val="center"/>
                </w:tcPr>
                <w:p w14:paraId="3AF7D69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吊环</w:t>
                  </w:r>
                </w:p>
              </w:tc>
              <w:tc>
                <w:tcPr>
                  <w:tcW w:w="2026" w:type="dxa"/>
                  <w:vAlign w:val="center"/>
                </w:tcPr>
                <w:p w14:paraId="50EF455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SH-80</w:t>
                  </w:r>
                </w:p>
              </w:tc>
              <w:tc>
                <w:tcPr>
                  <w:tcW w:w="1013" w:type="dxa"/>
                  <w:vAlign w:val="center"/>
                </w:tcPr>
                <w:p w14:paraId="06437A6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副</w:t>
                  </w:r>
                </w:p>
              </w:tc>
              <w:tc>
                <w:tcPr>
                  <w:tcW w:w="1318" w:type="dxa"/>
                  <w:vAlign w:val="center"/>
                </w:tcPr>
                <w:p w14:paraId="65BAFDC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767" w:type="dxa"/>
                  <w:tcBorders>
                    <w:right w:val="single" w:color="000000" w:sz="4" w:space="0"/>
                  </w:tcBorders>
                  <w:vAlign w:val="center"/>
                </w:tcPr>
                <w:p w14:paraId="51A5D47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r w14:paraId="1F7D6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5EEE49A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7</w:t>
                  </w:r>
                </w:p>
              </w:tc>
              <w:tc>
                <w:tcPr>
                  <w:tcW w:w="1385" w:type="dxa"/>
                  <w:vAlign w:val="center"/>
                </w:tcPr>
                <w:p w14:paraId="768D3BF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通管规</w:t>
                  </w:r>
                </w:p>
              </w:tc>
              <w:tc>
                <w:tcPr>
                  <w:tcW w:w="2026" w:type="dxa"/>
                  <w:vAlign w:val="center"/>
                </w:tcPr>
                <w:p w14:paraId="2341CBC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Φ730mm/580mm</w:t>
                  </w:r>
                </w:p>
              </w:tc>
              <w:tc>
                <w:tcPr>
                  <w:tcW w:w="1013" w:type="dxa"/>
                  <w:vAlign w:val="center"/>
                </w:tcPr>
                <w:p w14:paraId="2E330D0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个</w:t>
                  </w:r>
                </w:p>
              </w:tc>
              <w:tc>
                <w:tcPr>
                  <w:tcW w:w="1318" w:type="dxa"/>
                  <w:vAlign w:val="center"/>
                </w:tcPr>
                <w:p w14:paraId="77876B7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各2</w:t>
                  </w:r>
                </w:p>
              </w:tc>
              <w:tc>
                <w:tcPr>
                  <w:tcW w:w="1767" w:type="dxa"/>
                  <w:tcBorders>
                    <w:right w:val="single" w:color="000000" w:sz="4" w:space="0"/>
                  </w:tcBorders>
                  <w:vAlign w:val="center"/>
                </w:tcPr>
                <w:p w14:paraId="21323DE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r w14:paraId="7FBE7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288BABD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8</w:t>
                  </w:r>
                </w:p>
              </w:tc>
              <w:tc>
                <w:tcPr>
                  <w:tcW w:w="1385" w:type="dxa"/>
                  <w:vAlign w:val="center"/>
                </w:tcPr>
                <w:p w14:paraId="114D42E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提升短节</w:t>
                  </w:r>
                </w:p>
              </w:tc>
              <w:tc>
                <w:tcPr>
                  <w:tcW w:w="2026" w:type="dxa"/>
                  <w:vAlign w:val="center"/>
                </w:tcPr>
                <w:p w14:paraId="5C0BACC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Φ88.9mm</w:t>
                  </w:r>
                </w:p>
              </w:tc>
              <w:tc>
                <w:tcPr>
                  <w:tcW w:w="1013" w:type="dxa"/>
                  <w:vAlign w:val="center"/>
                </w:tcPr>
                <w:p w14:paraId="46EFE52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套</w:t>
                  </w:r>
                </w:p>
              </w:tc>
              <w:tc>
                <w:tcPr>
                  <w:tcW w:w="1318" w:type="dxa"/>
                  <w:vAlign w:val="center"/>
                </w:tcPr>
                <w:p w14:paraId="7C36A5A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767" w:type="dxa"/>
                  <w:tcBorders>
                    <w:right w:val="single" w:color="000000" w:sz="4" w:space="0"/>
                  </w:tcBorders>
                  <w:vAlign w:val="center"/>
                </w:tcPr>
                <w:p w14:paraId="577D5F5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r w14:paraId="4AE05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4A1D847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9</w:t>
                  </w:r>
                </w:p>
              </w:tc>
              <w:tc>
                <w:tcPr>
                  <w:tcW w:w="1385" w:type="dxa"/>
                  <w:vAlign w:val="center"/>
                </w:tcPr>
                <w:p w14:paraId="696ED82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调整短节</w:t>
                  </w:r>
                </w:p>
              </w:tc>
              <w:tc>
                <w:tcPr>
                  <w:tcW w:w="2026" w:type="dxa"/>
                  <w:vAlign w:val="center"/>
                </w:tcPr>
                <w:p w14:paraId="5C67996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Φ73.0mm</w:t>
                  </w:r>
                </w:p>
              </w:tc>
              <w:tc>
                <w:tcPr>
                  <w:tcW w:w="1013" w:type="dxa"/>
                  <w:vAlign w:val="center"/>
                </w:tcPr>
                <w:p w14:paraId="0D75C01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m</w:t>
                  </w:r>
                </w:p>
              </w:tc>
              <w:tc>
                <w:tcPr>
                  <w:tcW w:w="1318" w:type="dxa"/>
                  <w:vAlign w:val="center"/>
                </w:tcPr>
                <w:p w14:paraId="795715D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767" w:type="dxa"/>
                  <w:tcBorders>
                    <w:right w:val="single" w:color="000000" w:sz="4" w:space="0"/>
                  </w:tcBorders>
                  <w:vAlign w:val="center"/>
                </w:tcPr>
                <w:p w14:paraId="1CEE7B2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(0.3m、0.5m、</w:t>
                  </w:r>
                </w:p>
                <w:p w14:paraId="03F7661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1.0m、1.5m、</w:t>
                  </w:r>
                </w:p>
                <w:p w14:paraId="4514D29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2.0m)</w:t>
                  </w:r>
                </w:p>
              </w:tc>
            </w:tr>
            <w:tr w14:paraId="6B12D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1AB6FE6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10</w:t>
                  </w:r>
                </w:p>
              </w:tc>
              <w:tc>
                <w:tcPr>
                  <w:tcW w:w="1385" w:type="dxa"/>
                  <w:vAlign w:val="center"/>
                </w:tcPr>
                <w:p w14:paraId="794B846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值班房</w:t>
                  </w:r>
                </w:p>
              </w:tc>
              <w:tc>
                <w:tcPr>
                  <w:tcW w:w="2026" w:type="dxa"/>
                  <w:vAlign w:val="center"/>
                </w:tcPr>
                <w:p w14:paraId="6124017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c>
                <w:tcPr>
                  <w:tcW w:w="1013" w:type="dxa"/>
                  <w:vAlign w:val="center"/>
                </w:tcPr>
                <w:p w14:paraId="3D5A2C1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套</w:t>
                  </w:r>
                </w:p>
              </w:tc>
              <w:tc>
                <w:tcPr>
                  <w:tcW w:w="1318" w:type="dxa"/>
                  <w:vAlign w:val="center"/>
                </w:tcPr>
                <w:p w14:paraId="475A6F1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767" w:type="dxa"/>
                  <w:tcBorders>
                    <w:right w:val="single" w:color="000000" w:sz="4" w:space="0"/>
                  </w:tcBorders>
                  <w:vAlign w:val="center"/>
                </w:tcPr>
                <w:p w14:paraId="736454B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r w14:paraId="0351B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4C444DD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11</w:t>
                  </w:r>
                </w:p>
              </w:tc>
              <w:tc>
                <w:tcPr>
                  <w:tcW w:w="1385" w:type="dxa"/>
                  <w:vAlign w:val="center"/>
                </w:tcPr>
                <w:p w14:paraId="7369FE19">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发电房</w:t>
                  </w:r>
                </w:p>
              </w:tc>
              <w:tc>
                <w:tcPr>
                  <w:tcW w:w="2026" w:type="dxa"/>
                  <w:vAlign w:val="center"/>
                </w:tcPr>
                <w:p w14:paraId="4446079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c>
                <w:tcPr>
                  <w:tcW w:w="1013" w:type="dxa"/>
                  <w:vAlign w:val="center"/>
                </w:tcPr>
                <w:p w14:paraId="4D9EAF5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套</w:t>
                  </w:r>
                </w:p>
              </w:tc>
              <w:tc>
                <w:tcPr>
                  <w:tcW w:w="1318" w:type="dxa"/>
                  <w:vAlign w:val="center"/>
                </w:tcPr>
                <w:p w14:paraId="5BB92A8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767" w:type="dxa"/>
                  <w:tcBorders>
                    <w:right w:val="single" w:color="000000" w:sz="4" w:space="0"/>
                  </w:tcBorders>
                  <w:vAlign w:val="center"/>
                </w:tcPr>
                <w:p w14:paraId="69A1E81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r w14:paraId="7929D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70523E6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12</w:t>
                  </w:r>
                </w:p>
              </w:tc>
              <w:tc>
                <w:tcPr>
                  <w:tcW w:w="1385" w:type="dxa"/>
                  <w:vAlign w:val="center"/>
                </w:tcPr>
                <w:p w14:paraId="1E31A6FB">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柴油发电机</w:t>
                  </w:r>
                </w:p>
              </w:tc>
              <w:tc>
                <w:tcPr>
                  <w:tcW w:w="2026" w:type="dxa"/>
                  <w:vAlign w:val="center"/>
                </w:tcPr>
                <w:p w14:paraId="71DFAB6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c>
                <w:tcPr>
                  <w:tcW w:w="1013" w:type="dxa"/>
                  <w:vAlign w:val="center"/>
                </w:tcPr>
                <w:p w14:paraId="2CBF351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台</w:t>
                  </w:r>
                </w:p>
              </w:tc>
              <w:tc>
                <w:tcPr>
                  <w:tcW w:w="1318" w:type="dxa"/>
                  <w:vAlign w:val="center"/>
                </w:tcPr>
                <w:p w14:paraId="3E6435FA">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w:t>
                  </w:r>
                </w:p>
              </w:tc>
              <w:tc>
                <w:tcPr>
                  <w:tcW w:w="1767" w:type="dxa"/>
                  <w:tcBorders>
                    <w:right w:val="single" w:color="000000" w:sz="4" w:space="0"/>
                  </w:tcBorders>
                  <w:vAlign w:val="center"/>
                </w:tcPr>
                <w:p w14:paraId="25779F6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一用一备</w:t>
                  </w:r>
                </w:p>
              </w:tc>
            </w:tr>
            <w:tr w14:paraId="5493A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55AC618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13</w:t>
                  </w:r>
                </w:p>
              </w:tc>
              <w:tc>
                <w:tcPr>
                  <w:tcW w:w="1385" w:type="dxa"/>
                  <w:vAlign w:val="center"/>
                </w:tcPr>
                <w:p w14:paraId="5127710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泵车</w:t>
                  </w:r>
                </w:p>
              </w:tc>
              <w:tc>
                <w:tcPr>
                  <w:tcW w:w="2026" w:type="dxa"/>
                  <w:vAlign w:val="center"/>
                </w:tcPr>
                <w:p w14:paraId="71272D3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700型</w:t>
                  </w:r>
                </w:p>
              </w:tc>
              <w:tc>
                <w:tcPr>
                  <w:tcW w:w="1013" w:type="dxa"/>
                  <w:vAlign w:val="center"/>
                </w:tcPr>
                <w:p w14:paraId="06FDBE58">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台</w:t>
                  </w:r>
                </w:p>
              </w:tc>
              <w:tc>
                <w:tcPr>
                  <w:tcW w:w="1318" w:type="dxa"/>
                  <w:vAlign w:val="center"/>
                </w:tcPr>
                <w:p w14:paraId="4F7BEE1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w:t>
                  </w:r>
                </w:p>
              </w:tc>
              <w:tc>
                <w:tcPr>
                  <w:tcW w:w="1767" w:type="dxa"/>
                  <w:tcBorders>
                    <w:right w:val="single" w:color="000000" w:sz="4" w:space="0"/>
                  </w:tcBorders>
                  <w:vAlign w:val="center"/>
                </w:tcPr>
                <w:p w14:paraId="6069C411">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r w14:paraId="3EDC8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trPr>
              <w:tc>
                <w:tcPr>
                  <w:tcW w:w="668" w:type="dxa"/>
                  <w:vAlign w:val="center"/>
                </w:tcPr>
                <w:p w14:paraId="3F6B476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14</w:t>
                  </w:r>
                </w:p>
              </w:tc>
              <w:tc>
                <w:tcPr>
                  <w:tcW w:w="1385" w:type="dxa"/>
                  <w:vAlign w:val="center"/>
                </w:tcPr>
                <w:p w14:paraId="119EEBA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原油储罐</w:t>
                  </w:r>
                </w:p>
              </w:tc>
              <w:tc>
                <w:tcPr>
                  <w:tcW w:w="2026" w:type="dxa"/>
                  <w:vAlign w:val="center"/>
                </w:tcPr>
                <w:p w14:paraId="18C2FFBF">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60m</w:t>
                  </w:r>
                  <w:r>
                    <w:rPr>
                      <w:rFonts w:hint="default" w:ascii="Times New Roman" w:hAnsi="Times New Roman" w:eastAsia="宋体" w:cs="Times New Roman"/>
                      <w:color w:val="000000" w:themeColor="text1"/>
                      <w:highlight w:val="none"/>
                      <w:vertAlign w:val="superscript"/>
                      <w:lang w:eastAsia="zh-CN" w:bidi="ar"/>
                      <w14:textFill>
                        <w14:solidFill>
                          <w14:schemeClr w14:val="tx1"/>
                        </w14:solidFill>
                      </w14:textFill>
                    </w:rPr>
                    <w:t>3</w:t>
                  </w:r>
                </w:p>
              </w:tc>
              <w:tc>
                <w:tcPr>
                  <w:tcW w:w="1013" w:type="dxa"/>
                  <w:vAlign w:val="center"/>
                </w:tcPr>
                <w:p w14:paraId="0BD9FDF5">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罐</w:t>
                  </w:r>
                </w:p>
              </w:tc>
              <w:tc>
                <w:tcPr>
                  <w:tcW w:w="1318" w:type="dxa"/>
                  <w:vAlign w:val="center"/>
                </w:tcPr>
                <w:p w14:paraId="44F062F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w:t>
                  </w:r>
                </w:p>
              </w:tc>
              <w:tc>
                <w:tcPr>
                  <w:tcW w:w="1767" w:type="dxa"/>
                  <w:tcBorders>
                    <w:right w:val="single" w:color="000000" w:sz="4" w:space="0"/>
                  </w:tcBorders>
                  <w:vAlign w:val="center"/>
                </w:tcPr>
                <w:p w14:paraId="55126C9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bl>
          <w:p w14:paraId="2D2CCE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t xml:space="preserve">表2-9 </w:t>
            </w:r>
            <w:r>
              <w:rPr>
                <w:rFonts w:hint="eastAsia" w:ascii="Times New Roman" w:hAnsi="Times New Roman" w:eastAsia="宋体" w:cs="Times New Roman"/>
                <w:b/>
                <w:bCs/>
                <w:color w:val="000000" w:themeColor="text1"/>
                <w:spacing w:val="5"/>
                <w:kern w:val="2"/>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5"/>
                <w:kern w:val="2"/>
                <w:highlight w:val="none"/>
                <w:lang w:eastAsia="zh-CN"/>
                <w14:textFill>
                  <w14:solidFill>
                    <w14:schemeClr w14:val="tx1"/>
                  </w14:solidFill>
                </w14:textFill>
              </w:rPr>
              <w:t>单个储层改造主要设备</w:t>
            </w:r>
          </w:p>
          <w:tbl>
            <w:tblPr>
              <w:tblStyle w:val="17"/>
              <w:tblW w:w="817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2044"/>
              <w:gridCol w:w="2045"/>
              <w:gridCol w:w="2045"/>
            </w:tblGrid>
            <w:tr w14:paraId="2D7F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Align w:val="center"/>
                </w:tcPr>
                <w:p w14:paraId="2B0D1880">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阶段</w:t>
                  </w:r>
                </w:p>
              </w:tc>
              <w:tc>
                <w:tcPr>
                  <w:tcW w:w="2044" w:type="dxa"/>
                  <w:vAlign w:val="center"/>
                </w:tcPr>
                <w:p w14:paraId="3071AB83">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设备名称</w:t>
                  </w:r>
                </w:p>
              </w:tc>
              <w:tc>
                <w:tcPr>
                  <w:tcW w:w="2045" w:type="dxa"/>
                  <w:vAlign w:val="center"/>
                </w:tcPr>
                <w:p w14:paraId="13CD7F3C">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主要型号</w:t>
                  </w:r>
                </w:p>
              </w:tc>
              <w:tc>
                <w:tcPr>
                  <w:tcW w:w="2045" w:type="dxa"/>
                  <w:vAlign w:val="center"/>
                </w:tcPr>
                <w:p w14:paraId="4D96CE94">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bidi="ar"/>
                      <w14:textFill>
                        <w14:solidFill>
                          <w14:schemeClr w14:val="tx1"/>
                        </w14:solidFill>
                      </w14:textFill>
                    </w:rPr>
                    <w:t>数量（台/座）</w:t>
                  </w:r>
                </w:p>
              </w:tc>
            </w:tr>
            <w:tr w14:paraId="523E7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restart"/>
                  <w:vAlign w:val="center"/>
                </w:tcPr>
                <w:p w14:paraId="1D4B762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压裂</w:t>
                  </w:r>
                </w:p>
              </w:tc>
              <w:tc>
                <w:tcPr>
                  <w:tcW w:w="2044" w:type="dxa"/>
                  <w:vAlign w:val="center"/>
                </w:tcPr>
                <w:p w14:paraId="7300418E">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压裂车</w:t>
                  </w:r>
                </w:p>
              </w:tc>
              <w:tc>
                <w:tcPr>
                  <w:tcW w:w="2045" w:type="dxa"/>
                  <w:vAlign w:val="center"/>
                </w:tcPr>
                <w:p w14:paraId="6BDFD5CD">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2500型</w:t>
                  </w:r>
                </w:p>
              </w:tc>
              <w:tc>
                <w:tcPr>
                  <w:tcW w:w="2045" w:type="dxa"/>
                  <w:vAlign w:val="center"/>
                </w:tcPr>
                <w:p w14:paraId="051A0500">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16</w:t>
                  </w:r>
                </w:p>
              </w:tc>
            </w:tr>
            <w:tr w14:paraId="2924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417324C1">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2044" w:type="dxa"/>
                  <w:vAlign w:val="center"/>
                </w:tcPr>
                <w:p w14:paraId="7955D5E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混砂车</w:t>
                  </w:r>
                </w:p>
              </w:tc>
              <w:tc>
                <w:tcPr>
                  <w:tcW w:w="2045" w:type="dxa"/>
                  <w:vAlign w:val="center"/>
                </w:tcPr>
                <w:p w14:paraId="6CFBFE4B">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2045" w:type="dxa"/>
                  <w:vAlign w:val="center"/>
                </w:tcPr>
                <w:p w14:paraId="1A577B5C">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11D9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6CB1DCD8">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2044" w:type="dxa"/>
                  <w:vAlign w:val="center"/>
                </w:tcPr>
                <w:p w14:paraId="7E7238D6">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仪表车</w:t>
                  </w:r>
                </w:p>
              </w:tc>
              <w:tc>
                <w:tcPr>
                  <w:tcW w:w="2045" w:type="dxa"/>
                  <w:vAlign w:val="center"/>
                </w:tcPr>
                <w:p w14:paraId="7EFB5902">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2045" w:type="dxa"/>
                  <w:vAlign w:val="center"/>
                </w:tcPr>
                <w:p w14:paraId="0B9297E4">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032F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6B3BD943">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2044" w:type="dxa"/>
                  <w:vAlign w:val="center"/>
                </w:tcPr>
                <w:p w14:paraId="720AC3F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砂罐车</w:t>
                  </w:r>
                </w:p>
              </w:tc>
              <w:tc>
                <w:tcPr>
                  <w:tcW w:w="2045" w:type="dxa"/>
                  <w:vAlign w:val="center"/>
                </w:tcPr>
                <w:p w14:paraId="220CD8D6">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2045" w:type="dxa"/>
                  <w:vAlign w:val="center"/>
                </w:tcPr>
                <w:p w14:paraId="61E75831">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w:t>
                  </w:r>
                </w:p>
              </w:tc>
            </w:tr>
            <w:tr w14:paraId="095A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760A99E8">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2044" w:type="dxa"/>
                  <w:vAlign w:val="center"/>
                </w:tcPr>
                <w:p w14:paraId="0FBF566A">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砂漏</w:t>
                  </w:r>
                </w:p>
              </w:tc>
              <w:tc>
                <w:tcPr>
                  <w:tcW w:w="2045" w:type="dxa"/>
                  <w:vAlign w:val="center"/>
                </w:tcPr>
                <w:p w14:paraId="3A62E12C">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2045" w:type="dxa"/>
                  <w:vAlign w:val="center"/>
                </w:tcPr>
                <w:p w14:paraId="7E652574">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1EDE0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7CE36348">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2044" w:type="dxa"/>
                  <w:vAlign w:val="center"/>
                </w:tcPr>
                <w:p w14:paraId="3A64B43F">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蓄水池</w:t>
                  </w:r>
                </w:p>
              </w:tc>
              <w:tc>
                <w:tcPr>
                  <w:tcW w:w="2045" w:type="dxa"/>
                  <w:vAlign w:val="center"/>
                </w:tcPr>
                <w:p w14:paraId="4463AEBA">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3000m</w:t>
                  </w:r>
                  <w:r>
                    <w:rPr>
                      <w:rFonts w:hint="default" w:ascii="Times New Roman" w:hAnsi="Times New Roman" w:eastAsia="宋体" w:cs="Times New Roman"/>
                      <w:color w:val="000000" w:themeColor="text1"/>
                      <w:highlight w:val="none"/>
                      <w:vertAlign w:val="superscript"/>
                      <w:lang w:eastAsia="zh-CN"/>
                      <w14:textFill>
                        <w14:solidFill>
                          <w14:schemeClr w14:val="tx1"/>
                        </w14:solidFill>
                      </w14:textFill>
                    </w:rPr>
                    <w:t>3</w:t>
                  </w:r>
                </w:p>
              </w:tc>
              <w:tc>
                <w:tcPr>
                  <w:tcW w:w="2045" w:type="dxa"/>
                  <w:vAlign w:val="center"/>
                </w:tcPr>
                <w:p w14:paraId="3F32E73E">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5EDCB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restart"/>
                  <w:vAlign w:val="center"/>
                </w:tcPr>
                <w:p w14:paraId="4462DE7B">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射孔</w:t>
                  </w:r>
                </w:p>
              </w:tc>
              <w:tc>
                <w:tcPr>
                  <w:tcW w:w="2044" w:type="dxa"/>
                  <w:vAlign w:val="center"/>
                </w:tcPr>
                <w:p w14:paraId="1FFDF6B2">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射孔车</w:t>
                  </w:r>
                </w:p>
              </w:tc>
              <w:tc>
                <w:tcPr>
                  <w:tcW w:w="2045" w:type="dxa"/>
                  <w:vAlign w:val="center"/>
                </w:tcPr>
                <w:p w14:paraId="6CEDC541">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2045" w:type="dxa"/>
                  <w:vAlign w:val="center"/>
                </w:tcPr>
                <w:p w14:paraId="78B55076">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r w14:paraId="26F6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2044" w:type="dxa"/>
                  <w:vMerge w:val="continue"/>
                  <w:vAlign w:val="center"/>
                </w:tcPr>
                <w:p w14:paraId="545EB583">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2044" w:type="dxa"/>
                  <w:vAlign w:val="center"/>
                </w:tcPr>
                <w:p w14:paraId="50663BE7">
                  <w:pPr>
                    <w:keepNext w:val="0"/>
                    <w:keepLines w:val="0"/>
                    <w:pageBreakBefore w:val="0"/>
                    <w:widowControl/>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射孔工具车</w:t>
                  </w:r>
                </w:p>
              </w:tc>
              <w:tc>
                <w:tcPr>
                  <w:tcW w:w="2045" w:type="dxa"/>
                  <w:vAlign w:val="center"/>
                </w:tcPr>
                <w:p w14:paraId="7D14FA89">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p>
              </w:tc>
              <w:tc>
                <w:tcPr>
                  <w:tcW w:w="2045" w:type="dxa"/>
                  <w:vAlign w:val="center"/>
                </w:tcPr>
                <w:p w14:paraId="28DC5002">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r>
          </w:tbl>
          <w:p w14:paraId="4C7BC2A9">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6.钻井液体系</w:t>
            </w:r>
          </w:p>
          <w:p w14:paraId="42E7AE4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6.1钻井液体系及用量</w:t>
            </w:r>
          </w:p>
          <w:p w14:paraId="4D15AE5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根据建设单位提供的设计资料可知，钻井过程中需要使用钻井液，结合井身结构，不同井段采用的钻井液体系有所不同</w:t>
            </w:r>
            <w:bookmarkStart w:id="9" w:name="_Hlk183359743"/>
            <w:bookmarkStart w:id="10" w:name="_Hlk176173839"/>
            <w:bookmarkStart w:id="11" w:name="_Hlk167901113"/>
            <w:bookmarkStart w:id="12" w:name="_Hlk186373794"/>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bookmarkEnd w:id="9"/>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单井设计钻井液体系见表2-10。</w:t>
            </w:r>
            <w:bookmarkEnd w:id="10"/>
            <w:bookmarkEnd w:id="11"/>
            <w:bookmarkStart w:id="13" w:name="_Ref66721972"/>
            <w:bookmarkStart w:id="14" w:name="_Hlk176173812"/>
          </w:p>
          <w:bookmarkEnd w:id="13"/>
          <w:p w14:paraId="53CD08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表2-10 </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lang w:eastAsia="zh-CN"/>
                <w14:textFill>
                  <w14:solidFill>
                    <w14:schemeClr w14:val="tx1"/>
                  </w14:solidFill>
                </w14:textFill>
              </w:rPr>
              <w:t>钻井液体系</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33"/>
              <w:gridCol w:w="745"/>
              <w:gridCol w:w="655"/>
              <w:gridCol w:w="789"/>
              <w:gridCol w:w="5439"/>
            </w:tblGrid>
            <w:tr w14:paraId="2D30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8168" w:type="dxa"/>
                  <w:gridSpan w:val="5"/>
                  <w:vAlign w:val="center"/>
                </w:tcPr>
                <w:p w14:paraId="4752B2A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bookmarkStart w:id="15" w:name="OLE_LINK71"/>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吉阜103H井</w:t>
                  </w:r>
                </w:p>
              </w:tc>
            </w:tr>
            <w:bookmarkEnd w:id="12"/>
            <w:bookmarkEnd w:id="14"/>
            <w:tr w14:paraId="0E45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533" w:type="dxa"/>
                  <w:vAlign w:val="center"/>
                </w:tcPr>
                <w:p w14:paraId="7BD3D2D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开钻次序</w:t>
                  </w:r>
                </w:p>
              </w:tc>
              <w:tc>
                <w:tcPr>
                  <w:tcW w:w="746" w:type="dxa"/>
                  <w:vAlign w:val="center"/>
                </w:tcPr>
                <w:p w14:paraId="084C0F5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井段</w:t>
                  </w:r>
                </w:p>
                <w:p w14:paraId="68F668D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(m)</w:t>
                  </w:r>
                </w:p>
              </w:tc>
              <w:tc>
                <w:tcPr>
                  <w:tcW w:w="656" w:type="dxa"/>
                  <w:vAlign w:val="center"/>
                </w:tcPr>
                <w:p w14:paraId="50208B7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密度</w:t>
                  </w:r>
                </w:p>
                <w:p w14:paraId="0B9451F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g/cm</w:t>
                  </w:r>
                  <w:r>
                    <w:rPr>
                      <w:rFonts w:hint="default" w:ascii="Times New Roman" w:hAnsi="Times New Roman" w:eastAsia="宋体" w:cs="Times New Roman"/>
                      <w:b/>
                      <w:bCs/>
                      <w:color w:val="000000" w:themeColor="text1"/>
                      <w:sz w:val="21"/>
                      <w:szCs w:val="21"/>
                      <w:highlight w:val="none"/>
                      <w:vertAlign w:val="superscript"/>
                      <w:lang w:eastAsia="zh-CN"/>
                      <w14:textFill>
                        <w14:solidFill>
                          <w14:schemeClr w14:val="tx1"/>
                        </w14:solidFill>
                      </w14:textFill>
                    </w:rPr>
                    <w:t>3</w:t>
                  </w:r>
                </w:p>
              </w:tc>
              <w:tc>
                <w:tcPr>
                  <w:tcW w:w="790" w:type="dxa"/>
                  <w:vAlign w:val="center"/>
                </w:tcPr>
                <w:p w14:paraId="541A425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钻井液类型</w:t>
                  </w:r>
                </w:p>
              </w:tc>
              <w:tc>
                <w:tcPr>
                  <w:tcW w:w="5443" w:type="dxa"/>
                  <w:vAlign w:val="center"/>
                </w:tcPr>
                <w:p w14:paraId="0E70890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钻井液配方</w:t>
                  </w:r>
                </w:p>
              </w:tc>
            </w:tr>
            <w:tr w14:paraId="1EE1B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533" w:type="dxa"/>
                  <w:vAlign w:val="center"/>
                </w:tcPr>
                <w:p w14:paraId="2613CF0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导眼/</w:t>
                  </w:r>
                </w:p>
                <w:p w14:paraId="60F90F2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一开</w:t>
                  </w:r>
                </w:p>
              </w:tc>
              <w:tc>
                <w:tcPr>
                  <w:tcW w:w="746" w:type="dxa"/>
                  <w:vAlign w:val="center"/>
                </w:tcPr>
                <w:p w14:paraId="4DC781C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w:t>
                  </w:r>
                </w:p>
              </w:tc>
              <w:tc>
                <w:tcPr>
                  <w:tcW w:w="656" w:type="dxa"/>
                  <w:vAlign w:val="center"/>
                </w:tcPr>
                <w:p w14:paraId="79CA2F4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1.05-1.25</w:t>
                  </w:r>
                </w:p>
              </w:tc>
              <w:tc>
                <w:tcPr>
                  <w:tcW w:w="790" w:type="dxa"/>
                  <w:vAlign w:val="center"/>
                </w:tcPr>
                <w:p w14:paraId="5C852A1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膨润土-聚合物钻井液</w:t>
                  </w:r>
                </w:p>
              </w:tc>
              <w:tc>
                <w:tcPr>
                  <w:tcW w:w="5443" w:type="dxa"/>
                  <w:vAlign w:val="center"/>
                </w:tcPr>
                <w:p w14:paraId="7B5AC5A0">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清水+(8-12)%膨润土+(0.2-0.3)%Na</w:t>
                  </w:r>
                  <w:r>
                    <w:rPr>
                      <w:rFonts w:hint="default" w:ascii="Times New Roman" w:hAnsi="Times New Roman" w:eastAsia="宋体" w:cs="Times New Roman"/>
                      <w:color w:val="000000" w:themeColor="text1"/>
                      <w:sz w:val="21"/>
                      <w:szCs w:val="21"/>
                      <w:highlight w:val="none"/>
                      <w:vertAlign w:val="subscript"/>
                      <w:lang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CO</w:t>
                  </w:r>
                  <w:r>
                    <w:rPr>
                      <w:rFonts w:hint="default" w:ascii="Times New Roman" w:hAnsi="Times New Roman" w:eastAsia="宋体" w:cs="Times New Roman"/>
                      <w:color w:val="000000" w:themeColor="text1"/>
                      <w:sz w:val="21"/>
                      <w:szCs w:val="21"/>
                      <w:highlight w:val="none"/>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+(0.2-0.3)%CMC-LV/CMC-HV/PAC-LV+(0.3-0.5)%NaHPAN/NH4HPAN+(0.3-0.5)%ZNP-1+重晶石粉</w:t>
                  </w:r>
                </w:p>
              </w:tc>
            </w:tr>
            <w:tr w14:paraId="20CE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533" w:type="dxa"/>
                  <w:vAlign w:val="center"/>
                </w:tcPr>
                <w:p w14:paraId="5410A81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二开</w:t>
                  </w:r>
                </w:p>
              </w:tc>
              <w:tc>
                <w:tcPr>
                  <w:tcW w:w="746" w:type="dxa"/>
                  <w:vAlign w:val="center"/>
                </w:tcPr>
                <w:p w14:paraId="1E0C949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00</w:t>
                  </w:r>
                </w:p>
              </w:tc>
              <w:tc>
                <w:tcPr>
                  <w:tcW w:w="656" w:type="dxa"/>
                  <w:vAlign w:val="center"/>
                </w:tcPr>
                <w:p w14:paraId="63ADBE8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1.55-1.90</w:t>
                  </w:r>
                </w:p>
              </w:tc>
              <w:tc>
                <w:tcPr>
                  <w:tcW w:w="790" w:type="dxa"/>
                  <w:vMerge w:val="restart"/>
                  <w:vAlign w:val="center"/>
                </w:tcPr>
                <w:p w14:paraId="24951EC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油基</w:t>
                  </w:r>
                </w:p>
                <w:p w14:paraId="37B9383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钻井液</w:t>
                  </w:r>
                </w:p>
              </w:tc>
              <w:tc>
                <w:tcPr>
                  <w:tcW w:w="5443" w:type="dxa"/>
                  <w:vMerge w:val="restart"/>
                  <w:vAlign w:val="center"/>
                </w:tcPr>
                <w:p w14:paraId="3E5664B9">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白油/柴油:30%CaCl2水溶液(80:20)+(2-3)%TYODF-301/XZ-OZR+(2-3)%TYODF-401/XZ-OFR+(1-2)%TYODF-501/XZ-ORS+(2-3)%TYODF-601/LH-OC+(2-3)%XZ-OJL+(0.5-2)%CaO+(2-4)%FT-401/LH-LQ/ZK601+(3-5)%超细碳酸钙/ZS-3/ZS-5+(1-3)%YL-XD/XZ-DL5/XZ-DL8++(0.2-0.5)%ZNP-1/K-PAM+(0.5-0.1)%NaHPAN+(0.5-1)%CMC-LV/DRGJ-1+(3-5)%RLQ/YK-N+(3-5)%磺化沥青+(1-3)%SPNH+(1-3)%SMP-Ⅲ+(0.5-2)%SMT+(0.1-0.3)%XC-HV+重晶石粉</w:t>
                  </w:r>
                </w:p>
              </w:tc>
            </w:tr>
            <w:tr w14:paraId="06D6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533" w:type="dxa"/>
                  <w:vAlign w:val="center"/>
                </w:tcPr>
                <w:p w14:paraId="4019578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三开</w:t>
                  </w:r>
                </w:p>
              </w:tc>
              <w:tc>
                <w:tcPr>
                  <w:tcW w:w="746" w:type="dxa"/>
                  <w:vAlign w:val="center"/>
                </w:tcPr>
                <w:p w14:paraId="273F962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设计井深</w:t>
                  </w:r>
                </w:p>
              </w:tc>
              <w:tc>
                <w:tcPr>
                  <w:tcW w:w="656" w:type="dxa"/>
                  <w:vAlign w:val="center"/>
                </w:tcPr>
                <w:p w14:paraId="4D714F2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1.72-1.85</w:t>
                  </w:r>
                </w:p>
              </w:tc>
              <w:tc>
                <w:tcPr>
                  <w:tcW w:w="790" w:type="dxa"/>
                  <w:vMerge w:val="continue"/>
                  <w:vAlign w:val="center"/>
                </w:tcPr>
                <w:p w14:paraId="0B3F90B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443" w:type="dxa"/>
                  <w:vMerge w:val="continue"/>
                  <w:vAlign w:val="center"/>
                </w:tcPr>
                <w:p w14:paraId="1ABF0B5B">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1E4C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8168" w:type="dxa"/>
                  <w:gridSpan w:val="5"/>
                  <w:vAlign w:val="center"/>
                </w:tcPr>
                <w:p w14:paraId="623AE2F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吉阜1001H井</w:t>
                  </w:r>
                </w:p>
              </w:tc>
            </w:tr>
            <w:tr w14:paraId="5400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533" w:type="dxa"/>
                  <w:vAlign w:val="center"/>
                </w:tcPr>
                <w:p w14:paraId="4A53E94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开钻次序</w:t>
                  </w:r>
                </w:p>
              </w:tc>
              <w:tc>
                <w:tcPr>
                  <w:tcW w:w="746" w:type="dxa"/>
                  <w:vAlign w:val="center"/>
                </w:tcPr>
                <w:p w14:paraId="358CBA0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井段</w:t>
                  </w:r>
                </w:p>
                <w:p w14:paraId="0E5BDA4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(m)</w:t>
                  </w:r>
                </w:p>
              </w:tc>
              <w:tc>
                <w:tcPr>
                  <w:tcW w:w="656" w:type="dxa"/>
                  <w:vAlign w:val="center"/>
                </w:tcPr>
                <w:p w14:paraId="74961DB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密度</w:t>
                  </w:r>
                </w:p>
                <w:p w14:paraId="3B31E76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g/cm</w:t>
                  </w:r>
                  <w:r>
                    <w:rPr>
                      <w:rFonts w:hint="default" w:ascii="Times New Roman" w:hAnsi="Times New Roman" w:eastAsia="宋体" w:cs="Times New Roman"/>
                      <w:b/>
                      <w:bCs/>
                      <w:color w:val="000000" w:themeColor="text1"/>
                      <w:sz w:val="21"/>
                      <w:szCs w:val="21"/>
                      <w:highlight w:val="none"/>
                      <w:vertAlign w:val="superscript"/>
                      <w:lang w:eastAsia="zh-CN"/>
                      <w14:textFill>
                        <w14:solidFill>
                          <w14:schemeClr w14:val="tx1"/>
                        </w14:solidFill>
                      </w14:textFill>
                    </w:rPr>
                    <w:t>3</w:t>
                  </w:r>
                </w:p>
              </w:tc>
              <w:tc>
                <w:tcPr>
                  <w:tcW w:w="790" w:type="dxa"/>
                  <w:vAlign w:val="center"/>
                </w:tcPr>
                <w:p w14:paraId="2E87034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钻井液类型</w:t>
                  </w:r>
                </w:p>
              </w:tc>
              <w:tc>
                <w:tcPr>
                  <w:tcW w:w="5443" w:type="dxa"/>
                  <w:vAlign w:val="center"/>
                </w:tcPr>
                <w:p w14:paraId="7F725F6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钻井液配方</w:t>
                  </w:r>
                </w:p>
              </w:tc>
            </w:tr>
            <w:tr w14:paraId="1E2D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533" w:type="dxa"/>
                  <w:vAlign w:val="center"/>
                </w:tcPr>
                <w:p w14:paraId="66DB636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导眼/</w:t>
                  </w:r>
                </w:p>
                <w:p w14:paraId="203A6C9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一开</w:t>
                  </w:r>
                </w:p>
              </w:tc>
              <w:tc>
                <w:tcPr>
                  <w:tcW w:w="746" w:type="dxa"/>
                  <w:vAlign w:val="center"/>
                </w:tcPr>
                <w:p w14:paraId="0A998B0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0</w:t>
                  </w:r>
                </w:p>
              </w:tc>
              <w:tc>
                <w:tcPr>
                  <w:tcW w:w="656" w:type="dxa"/>
                  <w:vAlign w:val="center"/>
                </w:tcPr>
                <w:p w14:paraId="20AA7AD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1.10-1.35</w:t>
                  </w:r>
                </w:p>
              </w:tc>
              <w:tc>
                <w:tcPr>
                  <w:tcW w:w="790" w:type="dxa"/>
                  <w:vAlign w:val="center"/>
                </w:tcPr>
                <w:p w14:paraId="71A4E21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膨润土-聚合物钻井液</w:t>
                  </w:r>
                </w:p>
              </w:tc>
              <w:tc>
                <w:tcPr>
                  <w:tcW w:w="5443" w:type="dxa"/>
                  <w:vAlign w:val="center"/>
                </w:tcPr>
                <w:p w14:paraId="58189B49">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清水+(8-12)%膨润土+(0.2-0.3)%Na2CO3+(0.1-0.3)%NaOH+(0.3-0.5)%ZNP-1/CFB+(0.2-0.3)%CMC-LV/PAC-LV+(0.3-0.5)%NaHPAN/XY-27+重晶石粉</w:t>
                  </w:r>
                </w:p>
              </w:tc>
            </w:tr>
            <w:tr w14:paraId="70FB9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46" w:hRule="atLeast"/>
                <w:jc w:val="center"/>
              </w:trPr>
              <w:tc>
                <w:tcPr>
                  <w:tcW w:w="533" w:type="dxa"/>
                  <w:vMerge w:val="restart"/>
                  <w:vAlign w:val="center"/>
                </w:tcPr>
                <w:p w14:paraId="1FCC005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二开</w:t>
                  </w:r>
                </w:p>
              </w:tc>
              <w:tc>
                <w:tcPr>
                  <w:tcW w:w="746" w:type="dxa"/>
                  <w:vAlign w:val="center"/>
                </w:tcPr>
                <w:p w14:paraId="227772A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750-2650</w:t>
                  </w:r>
                </w:p>
              </w:tc>
              <w:tc>
                <w:tcPr>
                  <w:tcW w:w="656" w:type="dxa"/>
                  <w:vAlign w:val="center"/>
                </w:tcPr>
                <w:p w14:paraId="2645E03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1.55-1.85</w:t>
                  </w:r>
                </w:p>
              </w:tc>
              <w:tc>
                <w:tcPr>
                  <w:tcW w:w="790" w:type="dxa"/>
                  <w:vMerge w:val="restart"/>
                  <w:vAlign w:val="center"/>
                </w:tcPr>
                <w:p w14:paraId="280FB78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油基</w:t>
                  </w:r>
                </w:p>
                <w:p w14:paraId="5406CBF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钻井液</w:t>
                  </w:r>
                </w:p>
              </w:tc>
              <w:tc>
                <w:tcPr>
                  <w:tcW w:w="5443" w:type="dxa"/>
                  <w:vMerge w:val="restart"/>
                  <w:vAlign w:val="center"/>
                </w:tcPr>
                <w:p w14:paraId="63564A9F">
                  <w:pPr>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白油/柴油:30%CaCl2水溶液(80:20)+(2-3)%TYODF-301/XZ-OZR+(2-3)%TYODF-401/XZ-OFR+(1-2)%TYODF-501/XZ-ORS+(2-3)%TYODF-601/LH-OC+(2-3)%XZ-OJL+(0.5-2)%CaO+(2-4)%FT-401/LH-LQ/ZK601+(3-5)%超细碳酸钙/ZS-3/ZS-5+(1-3)%YL-XD/XZ-DL5/XZ-DL8++(0.2-0.5)%ZNP-1/K-PAM+(0.5-0.1)%NaHPAN+(0.5-1)%CMC-LV/DRGJ-1+(3-5)%RLQ/YK-N+(3-5)%磺化沥青+(1-3)%SPNH+(1-3)%SMP-Ⅲ+(0.5-2)%SMT+(0.1-0.3)%XC-HV+重晶石粉</w:t>
                  </w:r>
                </w:p>
              </w:tc>
            </w:tr>
            <w:tr w14:paraId="2949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533" w:type="dxa"/>
                  <w:vMerge w:val="continue"/>
                  <w:vAlign w:val="center"/>
                </w:tcPr>
                <w:p w14:paraId="5BA199F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46" w:type="dxa"/>
                  <w:vAlign w:val="center"/>
                </w:tcPr>
                <w:p w14:paraId="267D4B9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2650-5248</w:t>
                  </w:r>
                </w:p>
              </w:tc>
              <w:tc>
                <w:tcPr>
                  <w:tcW w:w="656" w:type="dxa"/>
                  <w:vAlign w:val="center"/>
                </w:tcPr>
                <w:p w14:paraId="3C4E74D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1.85-1.90</w:t>
                  </w:r>
                </w:p>
              </w:tc>
              <w:tc>
                <w:tcPr>
                  <w:tcW w:w="790" w:type="dxa"/>
                  <w:vMerge w:val="continue"/>
                  <w:vAlign w:val="center"/>
                </w:tcPr>
                <w:p w14:paraId="70C7542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5443" w:type="dxa"/>
                  <w:vMerge w:val="continue"/>
                  <w:vAlign w:val="center"/>
                </w:tcPr>
                <w:p w14:paraId="664FB93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bl>
          <w:p w14:paraId="6315E5BF">
            <w:pPr>
              <w:pStyle w:val="7"/>
              <w:widowControl w:val="0"/>
              <w:kinsoku/>
              <w:jc w:val="both"/>
              <w:rPr>
                <w:rFonts w:hint="default" w:ascii="Times New Roman" w:hAnsi="Times New Roman" w:eastAsia="宋体" w:cs="Times New Roman"/>
                <w:color w:val="000000" w:themeColor="text1"/>
                <w:highlight w:val="none"/>
                <w:lang w:eastAsia="zh-CN"/>
                <w14:textFill>
                  <w14:solidFill>
                    <w14:schemeClr w14:val="tx1"/>
                  </w14:solidFill>
                </w14:textFill>
              </w:rPr>
            </w:pPr>
          </w:p>
          <w:p w14:paraId="675C6EF6">
            <w:pPr>
              <w:pStyle w:val="7"/>
              <w:widowControl w:val="0"/>
              <w:kinsoku/>
              <w:spacing w:line="281" w:lineRule="auto"/>
              <w:jc w:val="both"/>
              <w:rPr>
                <w:rFonts w:hint="default" w:ascii="Times New Roman" w:hAnsi="Times New Roman" w:eastAsia="宋体" w:cs="Times New Roman"/>
                <w:color w:val="000000" w:themeColor="text1"/>
                <w:highlight w:val="none"/>
                <w:lang w:eastAsia="zh-CN"/>
                <w14:textFill>
                  <w14:solidFill>
                    <w14:schemeClr w14:val="tx1"/>
                  </w14:solidFill>
                </w14:textFill>
              </w:rPr>
            </w:pPr>
          </w:p>
          <w:p w14:paraId="3B0CFDF5">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原辅材料</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成分</w:t>
            </w:r>
          </w:p>
          <w:p w14:paraId="7C7779E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根据建设单位提供的资料，压裂液主要成分为胍胶、复合添加剂及交联剂等，压裂液成分见表2-1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生物质锅炉使用的生物质燃料组分见表2-12。</w:t>
            </w:r>
          </w:p>
          <w:p w14:paraId="0E8D05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表2-1</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lang w:eastAsia="zh-CN"/>
                <w14:textFill>
                  <w14:solidFill>
                    <w14:schemeClr w14:val="tx1"/>
                  </w14:solidFill>
                </w14:textFill>
              </w:rPr>
              <w:t>压裂液成分表</w:t>
            </w:r>
          </w:p>
          <w:tbl>
            <w:tblPr>
              <w:tblStyle w:val="17"/>
              <w:tblW w:w="821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3035"/>
              <w:gridCol w:w="4211"/>
            </w:tblGrid>
            <w:tr w14:paraId="49F4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73" w:type="dxa"/>
                  <w:tcBorders>
                    <w:top w:val="single" w:color="auto" w:sz="4" w:space="0"/>
                    <w:left w:val="single" w:color="auto" w:sz="0" w:space="0"/>
                    <w:tl2br w:val="nil"/>
                  </w:tcBorders>
                  <w:shd w:val="clear" w:color="auto" w:fill="FFFFFF"/>
                  <w:vAlign w:val="center"/>
                </w:tcPr>
                <w:p w14:paraId="530619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1</w:t>
                  </w:r>
                </w:p>
              </w:tc>
              <w:tc>
                <w:tcPr>
                  <w:tcW w:w="3035" w:type="dxa"/>
                  <w:tcBorders>
                    <w:top w:val="single" w:color="auto" w:sz="4" w:space="0"/>
                  </w:tcBorders>
                  <w:shd w:val="clear" w:color="auto" w:fill="FFFFFF"/>
                  <w:vAlign w:val="center"/>
                </w:tcPr>
                <w:p w14:paraId="2C0A8C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压裂基液配方</w:t>
                  </w:r>
                </w:p>
              </w:tc>
              <w:tc>
                <w:tcPr>
                  <w:tcW w:w="4211" w:type="dxa"/>
                  <w:tcBorders>
                    <w:top w:val="single" w:color="auto" w:sz="4" w:space="0"/>
                    <w:right w:val="single" w:color="auto" w:sz="4" w:space="0"/>
                  </w:tcBorders>
                  <w:shd w:val="clear" w:color="auto" w:fill="FFFFFF"/>
                  <w:vAlign w:val="center"/>
                </w:tcPr>
                <w:p w14:paraId="2BCBF1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0.4%胍胶+0.2%复合添加剂+0.3%交联剂</w:t>
                  </w:r>
                </w:p>
              </w:tc>
            </w:tr>
            <w:tr w14:paraId="0A00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73" w:type="dxa"/>
                  <w:tcBorders>
                    <w:left w:val="single" w:color="auto" w:sz="4" w:space="0"/>
                  </w:tcBorders>
                  <w:shd w:val="clear" w:color="auto" w:fill="FFFFFF"/>
                  <w:vAlign w:val="center"/>
                </w:tcPr>
                <w:p w14:paraId="556B05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2</w:t>
                  </w:r>
                </w:p>
              </w:tc>
              <w:tc>
                <w:tcPr>
                  <w:tcW w:w="3035" w:type="dxa"/>
                  <w:shd w:val="clear" w:color="auto" w:fill="FFFFFF"/>
                  <w:vAlign w:val="center"/>
                </w:tcPr>
                <w:p w14:paraId="05CCC3F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交联比</w:t>
                  </w:r>
                </w:p>
              </w:tc>
              <w:tc>
                <w:tcPr>
                  <w:tcW w:w="4211" w:type="dxa"/>
                  <w:tcBorders>
                    <w:right w:val="single" w:color="auto" w:sz="4" w:space="0"/>
                  </w:tcBorders>
                  <w:shd w:val="clear" w:color="auto" w:fill="FFFFFF"/>
                  <w:vAlign w:val="center"/>
                </w:tcPr>
                <w:p w14:paraId="1B864B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0.3%交联剂</w:t>
                  </w:r>
                </w:p>
              </w:tc>
            </w:tr>
            <w:tr w14:paraId="7144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73" w:type="dxa"/>
                  <w:tcBorders>
                    <w:left w:val="single" w:color="auto" w:sz="4" w:space="0"/>
                  </w:tcBorders>
                  <w:shd w:val="clear" w:color="auto" w:fill="FFFFFF"/>
                  <w:vAlign w:val="center"/>
                </w:tcPr>
                <w:p w14:paraId="521C8B3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w:t>
                  </w:r>
                </w:p>
              </w:tc>
              <w:tc>
                <w:tcPr>
                  <w:tcW w:w="3035" w:type="dxa"/>
                  <w:shd w:val="clear" w:color="auto" w:fill="FFFFFF"/>
                  <w:vAlign w:val="center"/>
                </w:tcPr>
                <w:p w14:paraId="2C1655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基液粘度</w:t>
                  </w:r>
                </w:p>
              </w:tc>
              <w:tc>
                <w:tcPr>
                  <w:tcW w:w="4211" w:type="dxa"/>
                  <w:tcBorders>
                    <w:right w:val="single" w:color="auto" w:sz="4" w:space="0"/>
                  </w:tcBorders>
                  <w:shd w:val="clear" w:color="auto" w:fill="FFFFFF"/>
                  <w:vAlign w:val="center"/>
                </w:tcPr>
                <w:p w14:paraId="6FD59F1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30~40mPa·s</w:t>
                  </w:r>
                </w:p>
              </w:tc>
            </w:tr>
            <w:tr w14:paraId="48FD7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73" w:type="dxa"/>
                  <w:tcBorders>
                    <w:left w:val="single" w:color="auto" w:sz="4" w:space="0"/>
                  </w:tcBorders>
                  <w:shd w:val="clear" w:color="auto" w:fill="FFFFFF"/>
                  <w:vAlign w:val="center"/>
                </w:tcPr>
                <w:p w14:paraId="7A93F1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4</w:t>
                  </w:r>
                </w:p>
              </w:tc>
              <w:tc>
                <w:tcPr>
                  <w:tcW w:w="3035" w:type="dxa"/>
                  <w:shd w:val="clear" w:color="auto" w:fill="FFFFFF"/>
                  <w:vAlign w:val="center"/>
                </w:tcPr>
                <w:p w14:paraId="189E51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冻胶粘度</w:t>
                  </w:r>
                </w:p>
              </w:tc>
              <w:tc>
                <w:tcPr>
                  <w:tcW w:w="4211" w:type="dxa"/>
                  <w:tcBorders>
                    <w:right w:val="single" w:color="auto" w:sz="4" w:space="0"/>
                  </w:tcBorders>
                  <w:shd w:val="clear" w:color="auto" w:fill="FFFFFF"/>
                  <w:vAlign w:val="center"/>
                </w:tcPr>
                <w:p w14:paraId="0CAC4C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220mPa·s</w:t>
                  </w:r>
                </w:p>
              </w:tc>
            </w:tr>
            <w:tr w14:paraId="44E3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973" w:type="dxa"/>
                  <w:tcBorders>
                    <w:left w:val="single" w:color="auto" w:sz="4" w:space="0"/>
                  </w:tcBorders>
                  <w:shd w:val="clear" w:color="auto" w:fill="FFFFFF"/>
                  <w:vAlign w:val="center"/>
                </w:tcPr>
                <w:p w14:paraId="3E89D4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5</w:t>
                  </w:r>
                </w:p>
              </w:tc>
              <w:tc>
                <w:tcPr>
                  <w:tcW w:w="3035" w:type="dxa"/>
                  <w:shd w:val="clear" w:color="auto" w:fill="FFFFFF"/>
                  <w:vAlign w:val="center"/>
                </w:tcPr>
                <w:p w14:paraId="489DADF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pH值</w:t>
                  </w:r>
                </w:p>
              </w:tc>
              <w:tc>
                <w:tcPr>
                  <w:tcW w:w="4211" w:type="dxa"/>
                  <w:tcBorders>
                    <w:right w:val="single" w:color="auto" w:sz="4" w:space="0"/>
                  </w:tcBorders>
                  <w:shd w:val="clear" w:color="auto" w:fill="FFFFFF"/>
                  <w:vAlign w:val="center"/>
                </w:tcPr>
                <w:p w14:paraId="6426F07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9~10</w:t>
                  </w:r>
                </w:p>
              </w:tc>
            </w:tr>
            <w:tr w14:paraId="29442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73" w:type="dxa"/>
                  <w:tcBorders>
                    <w:left w:val="single" w:color="auto" w:sz="4" w:space="0"/>
                    <w:bottom w:val="single" w:color="auto" w:sz="4" w:space="0"/>
                  </w:tcBorders>
                  <w:shd w:val="clear" w:color="auto" w:fill="FFFFFF"/>
                  <w:vAlign w:val="center"/>
                </w:tcPr>
                <w:p w14:paraId="6C7D089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6</w:t>
                  </w:r>
                </w:p>
              </w:tc>
              <w:tc>
                <w:tcPr>
                  <w:tcW w:w="3035" w:type="dxa"/>
                  <w:tcBorders>
                    <w:bottom w:val="single" w:color="auto" w:sz="4" w:space="0"/>
                  </w:tcBorders>
                  <w:shd w:val="clear" w:color="auto" w:fill="FFFFFF"/>
                  <w:vAlign w:val="center"/>
                </w:tcPr>
                <w:p w14:paraId="13BF845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滑溜水配方</w:t>
                  </w:r>
                </w:p>
              </w:tc>
              <w:tc>
                <w:tcPr>
                  <w:tcW w:w="4211" w:type="dxa"/>
                  <w:tcBorders>
                    <w:bottom w:val="single" w:color="auto" w:sz="4" w:space="0"/>
                    <w:right w:val="single" w:color="auto" w:sz="4" w:space="0"/>
                  </w:tcBorders>
                  <w:shd w:val="clear" w:color="auto" w:fill="FFFFFF"/>
                  <w:vAlign w:val="center"/>
                </w:tcPr>
                <w:p w14:paraId="3544BE4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0.05%～0.2%环保型减阻剂</w:t>
                  </w:r>
                </w:p>
              </w:tc>
            </w:tr>
            <w:bookmarkEnd w:id="15"/>
          </w:tbl>
          <w:p w14:paraId="3F7DF7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表2-1</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生物质燃料组分</w:t>
            </w:r>
            <w:r>
              <w:rPr>
                <w:rFonts w:hint="default" w:ascii="Times New Roman" w:hAnsi="Times New Roman" w:eastAsia="宋体" w:cs="Times New Roman"/>
                <w:b/>
                <w:bCs/>
                <w:color w:val="000000" w:themeColor="text1"/>
                <w:highlight w:val="none"/>
                <w:lang w:eastAsia="zh-CN"/>
                <w14:textFill>
                  <w14:solidFill>
                    <w14:schemeClr w14:val="tx1"/>
                  </w14:solidFill>
                </w14:textFill>
              </w:rPr>
              <w:t>表</w:t>
            </w:r>
          </w:p>
          <w:tbl>
            <w:tblPr>
              <w:tblStyle w:val="1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5178"/>
              <w:gridCol w:w="1193"/>
            </w:tblGrid>
            <w:tr w14:paraId="3D14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pct"/>
                  <w:tcBorders>
                    <w:tl2br w:val="nil"/>
                    <w:tr2bl w:val="nil"/>
                  </w:tcBorders>
                  <w:vAlign w:val="center"/>
                </w:tcPr>
                <w:p w14:paraId="44C3BC6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样品名称</w:t>
                  </w:r>
                </w:p>
              </w:tc>
              <w:tc>
                <w:tcPr>
                  <w:tcW w:w="3173" w:type="pct"/>
                  <w:tcBorders>
                    <w:tl2br w:val="nil"/>
                    <w:tr2bl w:val="nil"/>
                  </w:tcBorders>
                  <w:vAlign w:val="center"/>
                </w:tcPr>
                <w:p w14:paraId="6D72C1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监测项目</w:t>
                  </w:r>
                </w:p>
              </w:tc>
              <w:tc>
                <w:tcPr>
                  <w:tcW w:w="731" w:type="pct"/>
                  <w:tcBorders>
                    <w:tl2br w:val="nil"/>
                    <w:tr2bl w:val="nil"/>
                  </w:tcBorders>
                  <w:vAlign w:val="center"/>
                </w:tcPr>
                <w:p w14:paraId="396B03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检测值</w:t>
                  </w:r>
                </w:p>
              </w:tc>
            </w:tr>
            <w:tr w14:paraId="599A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pct"/>
                  <w:vMerge w:val="restart"/>
                  <w:tcBorders>
                    <w:tl2br w:val="nil"/>
                    <w:tr2bl w:val="nil"/>
                  </w:tcBorders>
                  <w:vAlign w:val="center"/>
                </w:tcPr>
                <w:p w14:paraId="17A755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生物质成型燃料</w:t>
                  </w:r>
                </w:p>
              </w:tc>
              <w:tc>
                <w:tcPr>
                  <w:tcW w:w="3173" w:type="pct"/>
                  <w:tcBorders>
                    <w:tl2br w:val="nil"/>
                    <w:tr2bl w:val="nil"/>
                  </w:tcBorders>
                  <w:vAlign w:val="center"/>
                </w:tcPr>
                <w:p w14:paraId="71D2A2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空气干燥基灰分A·ad（%）</w:t>
                  </w:r>
                </w:p>
              </w:tc>
              <w:tc>
                <w:tcPr>
                  <w:tcW w:w="731" w:type="pct"/>
                  <w:tcBorders>
                    <w:tl2br w:val="nil"/>
                    <w:tr2bl w:val="nil"/>
                  </w:tcBorders>
                  <w:vAlign w:val="center"/>
                </w:tcPr>
                <w:p w14:paraId="08E7355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7.22</w:t>
                  </w:r>
                </w:p>
              </w:tc>
            </w:tr>
            <w:tr w14:paraId="0376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pct"/>
                  <w:vMerge w:val="continue"/>
                  <w:tcBorders>
                    <w:tl2br w:val="nil"/>
                    <w:tr2bl w:val="nil"/>
                  </w:tcBorders>
                  <w:vAlign w:val="center"/>
                </w:tcPr>
                <w:p w14:paraId="18DC52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3173" w:type="pct"/>
                  <w:tcBorders>
                    <w:tl2br w:val="nil"/>
                    <w:tr2bl w:val="nil"/>
                  </w:tcBorders>
                  <w:vAlign w:val="center"/>
                </w:tcPr>
                <w:p w14:paraId="0214D40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空气干燥基挥发份V·ad（%）</w:t>
                  </w:r>
                </w:p>
              </w:tc>
              <w:tc>
                <w:tcPr>
                  <w:tcW w:w="731" w:type="pct"/>
                  <w:tcBorders>
                    <w:tl2br w:val="nil"/>
                    <w:tr2bl w:val="nil"/>
                  </w:tcBorders>
                  <w:vAlign w:val="center"/>
                </w:tcPr>
                <w:p w14:paraId="1C4720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70.87</w:t>
                  </w:r>
                </w:p>
              </w:tc>
            </w:tr>
            <w:tr w14:paraId="2E65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pct"/>
                  <w:vMerge w:val="continue"/>
                  <w:tcBorders>
                    <w:tl2br w:val="nil"/>
                    <w:tr2bl w:val="nil"/>
                  </w:tcBorders>
                  <w:vAlign w:val="center"/>
                </w:tcPr>
                <w:p w14:paraId="2A25E4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3173" w:type="pct"/>
                  <w:tcBorders>
                    <w:tl2br w:val="nil"/>
                    <w:tr2bl w:val="nil"/>
                  </w:tcBorders>
                  <w:vAlign w:val="center"/>
                </w:tcPr>
                <w:p w14:paraId="271922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干燥基低位发热量Qne·ar（</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MJ</w:t>
                  </w:r>
                  <w:r>
                    <w:rPr>
                      <w:rFonts w:hint="default" w:ascii="Times New Roman" w:hAnsi="Times New Roman" w:eastAsia="宋体" w:cs="Times New Roman"/>
                      <w:color w:val="000000" w:themeColor="text1"/>
                      <w:highlight w:val="none"/>
                      <w:lang w:val="en-US" w:eastAsia="zh-CN"/>
                      <w14:textFill>
                        <w14:solidFill>
                          <w14:schemeClr w14:val="tx1"/>
                        </w14:solidFill>
                      </w14:textFill>
                    </w:rPr>
                    <w:t>/Kg）</w:t>
                  </w:r>
                </w:p>
              </w:tc>
              <w:tc>
                <w:tcPr>
                  <w:tcW w:w="731" w:type="pct"/>
                  <w:tcBorders>
                    <w:tl2br w:val="nil"/>
                    <w:tr2bl w:val="nil"/>
                  </w:tcBorders>
                  <w:vAlign w:val="center"/>
                </w:tcPr>
                <w:p w14:paraId="58817A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16.11</w:t>
                  </w:r>
                </w:p>
              </w:tc>
            </w:tr>
            <w:tr w14:paraId="1B53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pct"/>
                  <w:vMerge w:val="continue"/>
                  <w:tcBorders>
                    <w:tl2br w:val="nil"/>
                    <w:tr2bl w:val="nil"/>
                  </w:tcBorders>
                  <w:vAlign w:val="center"/>
                </w:tcPr>
                <w:p w14:paraId="473596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3173" w:type="pct"/>
                  <w:tcBorders>
                    <w:tl2br w:val="nil"/>
                    <w:tr2bl w:val="nil"/>
                  </w:tcBorders>
                  <w:vAlign w:val="center"/>
                </w:tcPr>
                <w:p w14:paraId="0294ABF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收到基高位发热量Qne·ar（</w:t>
                  </w:r>
                  <w:r>
                    <w:rPr>
                      <w:rFonts w:hint="eastAsia" w:ascii="Times New Roman" w:hAnsi="Times New Roman" w:eastAsia="宋体" w:cs="Times New Roman"/>
                      <w:color w:val="000000" w:themeColor="text1"/>
                      <w:highlight w:val="none"/>
                      <w:lang w:val="en-US" w:eastAsia="zh-CN"/>
                      <w14:textFill>
                        <w14:solidFill>
                          <w14:schemeClr w14:val="tx1"/>
                        </w14:solidFill>
                      </w14:textFill>
                    </w:rPr>
                    <w:t>MJ</w:t>
                  </w:r>
                  <w:r>
                    <w:rPr>
                      <w:rFonts w:hint="default" w:ascii="Times New Roman" w:hAnsi="Times New Roman" w:eastAsia="宋体" w:cs="Times New Roman"/>
                      <w:color w:val="000000" w:themeColor="text1"/>
                      <w:highlight w:val="none"/>
                      <w:lang w:val="en-US" w:eastAsia="zh-CN"/>
                      <w14:textFill>
                        <w14:solidFill>
                          <w14:schemeClr w14:val="tx1"/>
                        </w14:solidFill>
                      </w14:textFill>
                    </w:rPr>
                    <w:t>/Kg）</w:t>
                  </w:r>
                </w:p>
              </w:tc>
              <w:tc>
                <w:tcPr>
                  <w:tcW w:w="731" w:type="pct"/>
                  <w:tcBorders>
                    <w:tl2br w:val="nil"/>
                    <w:tr2bl w:val="nil"/>
                  </w:tcBorders>
                  <w:vAlign w:val="center"/>
                </w:tcPr>
                <w:p w14:paraId="0A0E91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18.17</w:t>
                  </w:r>
                </w:p>
              </w:tc>
            </w:tr>
            <w:tr w14:paraId="4F67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5" w:type="pct"/>
                  <w:vMerge w:val="continue"/>
                  <w:tcBorders>
                    <w:tl2br w:val="nil"/>
                    <w:tr2bl w:val="nil"/>
                  </w:tcBorders>
                  <w:vAlign w:val="center"/>
                </w:tcPr>
                <w:p w14:paraId="144698A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c>
                <w:tcPr>
                  <w:tcW w:w="3173" w:type="pct"/>
                  <w:tcBorders>
                    <w:tl2br w:val="nil"/>
                    <w:tr2bl w:val="nil"/>
                  </w:tcBorders>
                  <w:vAlign w:val="center"/>
                </w:tcPr>
                <w:p w14:paraId="67ABC1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空气干燥基全硫St·ad（%）</w:t>
                  </w:r>
                </w:p>
              </w:tc>
              <w:tc>
                <w:tcPr>
                  <w:tcW w:w="731" w:type="pct"/>
                  <w:tcBorders>
                    <w:tl2br w:val="nil"/>
                    <w:tr2bl w:val="nil"/>
                  </w:tcBorders>
                  <w:vAlign w:val="center"/>
                </w:tcPr>
                <w:p w14:paraId="046EDE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22</w:t>
                  </w:r>
                </w:p>
              </w:tc>
            </w:tr>
          </w:tbl>
          <w:p w14:paraId="70434DF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96" w:firstLineChars="200"/>
              <w:jc w:val="both"/>
              <w:textAlignment w:val="baseline"/>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生物质锅炉使用的生物质燃料满足《</w:t>
            </w:r>
            <w:r>
              <w:rPr>
                <w:rFonts w:hint="eastAsia" w:ascii="Times New Roman" w:hAnsi="Times New Roman" w:eastAsia="宋体" w:cs="Times New Roman"/>
                <w:color w:val="000000" w:themeColor="text1"/>
                <w:spacing w:val="4"/>
                <w:sz w:val="24"/>
                <w:szCs w:val="24"/>
                <w:highlight w:val="none"/>
                <w:lang w:eastAsia="zh-CN"/>
                <w14:textFill>
                  <w14:solidFill>
                    <w14:schemeClr w14:val="tx1"/>
                  </w14:solidFill>
                </w14:textFill>
              </w:rPr>
              <w:t>生物质锅炉</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技术规范</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（GB</w:t>
            </w:r>
            <w:r>
              <w:rPr>
                <w:rFonts w:hint="eastAsia" w:ascii="Times New Roman" w:hAnsi="Times New Roman" w:eastAsia="宋体" w:cs="Times New Roman"/>
                <w:color w:val="000000" w:themeColor="text1"/>
                <w:spacing w:val="4"/>
                <w:sz w:val="24"/>
                <w:szCs w:val="24"/>
                <w:highlight w:val="none"/>
                <w:lang w:eastAsia="zh-CN"/>
                <w14:textFill>
                  <w14:solidFill>
                    <w14:schemeClr w14:val="tx1"/>
                  </w14:solidFill>
                </w14:textFill>
              </w:rPr>
              <w:t>/T44906</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-202</w:t>
            </w:r>
            <w:r>
              <w:rPr>
                <w:rFonts w:hint="eastAsia" w:ascii="Times New Roman" w:hAnsi="Times New Roman" w:eastAsia="宋体" w:cs="Times New Roman"/>
                <w:color w:val="000000" w:themeColor="text1"/>
                <w:spacing w:val="4"/>
                <w:sz w:val="24"/>
                <w:szCs w:val="24"/>
                <w:highlight w:val="none"/>
                <w:lang w:eastAsia="zh-CN"/>
                <w14:textFill>
                  <w14:solidFill>
                    <w14:schemeClr w14:val="tx1"/>
                  </w14:solidFill>
                </w14:textFill>
              </w:rPr>
              <w:t>4</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）表</w:t>
            </w:r>
            <w:r>
              <w:rPr>
                <w:rFonts w:hint="eastAsia" w:ascii="Times New Roman" w:hAnsi="Times New Roman" w:eastAsia="宋体" w:cs="Times New Roman"/>
                <w:color w:val="000000" w:themeColor="text1"/>
                <w:spacing w:val="4"/>
                <w:sz w:val="24"/>
                <w:szCs w:val="24"/>
                <w:highlight w:val="none"/>
                <w:lang w:eastAsia="zh-CN"/>
                <w14:textFill>
                  <w14:solidFill>
                    <w14:schemeClr w14:val="tx1"/>
                  </w14:solidFill>
                </w14:textFill>
              </w:rPr>
              <w:t>1所列生物质成型燃料要求。</w:t>
            </w:r>
          </w:p>
          <w:p w14:paraId="1896A93F">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lef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t>.公用工程</w:t>
            </w:r>
          </w:p>
          <w:p w14:paraId="66E79F3D">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4"/>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4"/>
                <w:sz w:val="24"/>
                <w:szCs w:val="24"/>
                <w:highlight w:val="none"/>
                <w:lang w:eastAsia="zh-CN"/>
                <w14:textFill>
                  <w14:solidFill>
                    <w14:schemeClr w14:val="tx1"/>
                  </w14:solidFill>
                </w14:textFill>
              </w:rPr>
              <w:t>.1给水</w:t>
            </w:r>
          </w:p>
          <w:p w14:paraId="5ED4E0B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96" w:firstLineChars="200"/>
              <w:jc w:val="both"/>
              <w:textAlignment w:val="baseline"/>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本工程在钻井过程中用水主要为钻井液配比用水。根据建设单位提供的资料，钻井期单井泥浆配比用水500m</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/井，本工程2口井，钻井液配比用水1000m</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w:t>
            </w:r>
          </w:p>
          <w:p w14:paraId="27BCD7F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96" w:firstLineChars="200"/>
              <w:jc w:val="both"/>
              <w:textAlignment w:val="baseline"/>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钻井期钻井人数30人，</w:t>
            </w:r>
            <w:r>
              <w:rPr>
                <w:rFonts w:hint="eastAsia" w:ascii="Times New Roman" w:hAnsi="Times New Roman" w:cs="Times New Roman"/>
                <w:color w:val="000000" w:themeColor="text1"/>
                <w:spacing w:val="4"/>
                <w:sz w:val="24"/>
                <w:szCs w:val="24"/>
                <w:highlight w:val="none"/>
                <w:lang w:val="en-US" w:eastAsia="zh-CN"/>
                <w14:textFill>
                  <w14:solidFill>
                    <w14:schemeClr w14:val="tx1"/>
                  </w14:solidFill>
                </w14:textFill>
              </w:rPr>
              <w:t>吉阜103H</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井钻井天数</w:t>
            </w:r>
            <w:r>
              <w:rPr>
                <w:rFonts w:hint="eastAsia" w:ascii="Times New Roman" w:hAnsi="Times New Roman" w:cs="Times New Roman"/>
                <w:color w:val="000000" w:themeColor="text1"/>
                <w:spacing w:val="4"/>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0天，</w:t>
            </w:r>
            <w:r>
              <w:rPr>
                <w:rFonts w:hint="eastAsia" w:ascii="Times New Roman" w:hAnsi="Times New Roman" w:cs="Times New Roman"/>
                <w:color w:val="000000" w:themeColor="text1"/>
                <w:spacing w:val="4"/>
                <w:sz w:val="24"/>
                <w:szCs w:val="24"/>
                <w:highlight w:val="none"/>
                <w:lang w:val="en-US" w:eastAsia="zh-CN"/>
                <w14:textFill>
                  <w14:solidFill>
                    <w14:schemeClr w14:val="tx1"/>
                  </w14:solidFill>
                </w14:textFill>
              </w:rPr>
              <w:t>吉阜1001H井钻井周期70天</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，按每人每天用水80L计算，钻井期生活用水</w:t>
            </w:r>
            <w:r>
              <w:rPr>
                <w:rFonts w:hint="eastAsia" w:ascii="Times New Roman" w:hAnsi="Times New Roman" w:cs="Times New Roman"/>
                <w:color w:val="000000" w:themeColor="text1"/>
                <w:spacing w:val="4"/>
                <w:sz w:val="24"/>
                <w:szCs w:val="24"/>
                <w:highlight w:val="none"/>
                <w:lang w:val="en-US" w:eastAsia="zh-CN"/>
                <w14:textFill>
                  <w14:solidFill>
                    <w14:schemeClr w14:val="tx1"/>
                  </w14:solidFill>
                </w14:textFill>
              </w:rPr>
              <w:t>384</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。本工程用水由罐车就近拉运至钻井平台；因本工程钻井期用水量较小，供水可满足其需求量。试油期，设2人巡井，不在钻井平台食宿。</w:t>
            </w:r>
          </w:p>
          <w:p w14:paraId="12B60DA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根据建设单位提供的资料，</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本项目两口井共需洗井用水166.67m</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w:t>
            </w:r>
          </w:p>
          <w:p w14:paraId="6D35865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根据建设单位提供资料，本项目每口井压裂用水为35000m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两口井共需</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压裂用水为70000m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p>
          <w:p w14:paraId="1ABA998F">
            <w:pPr>
              <w:pStyle w:val="22"/>
              <w:widowControl w:val="0"/>
              <w:kinsoku/>
              <w:spacing w:line="360" w:lineRule="auto"/>
              <w:ind w:firstLine="480" w:firstLineChars="200"/>
              <w:jc w:val="both"/>
              <w:rPr>
                <w:rFonts w:hint="default" w:ascii="Times New Roman" w:hAnsi="Times New Roman" w:eastAsia="宋体" w:cs="Times New Roman"/>
                <w:snapToGrid w:val="0"/>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en-US" w:bidi="ar-SA"/>
                <w14:textFill>
                  <w14:solidFill>
                    <w14:schemeClr w14:val="tx1"/>
                  </w14:solidFill>
                </w14:textFill>
              </w:rPr>
              <w:t>根据建设单位提供的工程设计资料，本项目评价井为长水平段水平井，由于目的层储层较为致密，试油阶段需进行大规模体积压裂。结合周边已开发老区块（吉康油田萨探1块）同类型水平井的压裂施工类比数据：邻井单段压裂液用量通常在1500m³~2000m³之间，设计压裂段数约在18~24段左右。基于此地质与工程类比计算，本项目单井压裂用水量核算为35000m³是合理且必要的。两口井共需压裂新鲜用水70000m³</w:t>
            </w:r>
            <w:r>
              <w:rPr>
                <w:rFonts w:hint="default" w:ascii="Times New Roman" w:hAnsi="Times New Roman" w:eastAsia="宋体" w:cs="Times New Roman"/>
                <w:snapToGrid w:val="0"/>
                <w:color w:val="000000" w:themeColor="text1"/>
                <w:sz w:val="24"/>
                <w:szCs w:val="24"/>
                <w:lang w:val="en-US" w:eastAsia="zh-CN" w:bidi="ar-SA"/>
                <w14:textFill>
                  <w14:solidFill>
                    <w14:schemeClr w14:val="tx1"/>
                  </w14:solidFill>
                </w14:textFill>
              </w:rPr>
              <w:t>。</w:t>
            </w:r>
          </w:p>
          <w:p w14:paraId="1BC4A8EB">
            <w:pPr>
              <w:pStyle w:val="22"/>
              <w:widowControl w:val="0"/>
              <w:kinsoku/>
              <w:spacing w:line="360" w:lineRule="auto"/>
              <w:ind w:firstLine="480" w:firstLineChars="200"/>
              <w:jc w:val="both"/>
              <w:rPr>
                <w:rFonts w:hint="default" w:ascii="Times New Roman" w:hAnsi="Times New Roman" w:eastAsia="宋体" w:cs="Times New Roman"/>
                <w:snapToGrid w:val="0"/>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lang w:val="en-US" w:eastAsia="en-US" w:bidi="ar-SA"/>
                <w14:textFill>
                  <w14:solidFill>
                    <w14:schemeClr w14:val="tx1"/>
                  </w14:solidFill>
                </w14:textFill>
              </w:rPr>
              <w:t>本项目施工及压裂用水取自项目区周边</w:t>
            </w:r>
            <w:r>
              <w:rPr>
                <w:rFonts w:hint="eastAsia" w:ascii="Times New Roman" w:hAnsi="Times New Roman" w:eastAsia="宋体" w:cs="Times New Roman"/>
                <w:snapToGrid w:val="0"/>
                <w:color w:val="000000" w:themeColor="text1"/>
                <w:sz w:val="24"/>
                <w:szCs w:val="24"/>
                <w:lang w:val="en-US" w:eastAsia="zh-CN" w:bidi="ar-SA"/>
                <w14:textFill>
                  <w14:solidFill>
                    <w14:schemeClr w14:val="tx1"/>
                  </w14:solidFill>
                </w14:textFill>
              </w:rPr>
              <w:t>村庄</w:t>
            </w:r>
            <w:r>
              <w:rPr>
                <w:rFonts w:hint="default" w:ascii="Times New Roman" w:hAnsi="Times New Roman" w:eastAsia="宋体" w:cs="Times New Roman"/>
                <w:snapToGrid w:val="0"/>
                <w:color w:val="000000" w:themeColor="text1"/>
                <w:sz w:val="24"/>
                <w:szCs w:val="24"/>
                <w:lang w:val="en-US" w:eastAsia="en-US" w:bidi="ar-SA"/>
                <w14:textFill>
                  <w14:solidFill>
                    <w14:schemeClr w14:val="tx1"/>
                  </w14:solidFill>
                </w14:textFill>
              </w:rPr>
              <w:t>。为满足压裂施工期间短时间、大液量的连续用水需求，井场提前建设有容积为3000m³的大型蓄水池（防渗软体水罐）进行前期蓄水调配。取水全部采用重型环保水罐车拉运，为符合道路交通及环保限载要求，单次运输装载量严格控制在≤25m³。在压裂准备期的集中蓄水阶段及压裂施工高峰期，采取多台水罐车循环作业模式，预计单车每日往返拉运约3~4次。通过“提前蓄水+多车循环拉运”的模式，有效保障了压裂施工的顺利进行。</w:t>
            </w:r>
          </w:p>
          <w:p w14:paraId="3970BCC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4"/>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4"/>
                <w:sz w:val="24"/>
                <w:szCs w:val="24"/>
                <w:highlight w:val="none"/>
                <w:lang w:eastAsia="zh-CN"/>
                <w14:textFill>
                  <w14:solidFill>
                    <w14:schemeClr w14:val="tx1"/>
                  </w14:solidFill>
                </w14:textFill>
              </w:rPr>
              <w:t>.2排水</w:t>
            </w:r>
          </w:p>
          <w:p w14:paraId="35072F94">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本项目在钻井过程中</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钻井液</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与泥浆一同用专用车辆拉至环保处置单位集中处理。本项目废水主要为钻井期生活污水，试油期井下作业洗井废水、压裂返排液。</w:t>
            </w:r>
          </w:p>
          <w:p w14:paraId="6FB92252">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（1）生活污水：本项目施工期生活污水产生量为用水量的80%，预计生活污水产生量为</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307.2</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。施工期每个生活营地设置1个</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防渗收集池</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，下垫防渗层，生活污水排入</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防渗收集池</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，采取密闭式吸污罐车定期拉运至</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吉木萨尔县</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市政污水处理厂进行处理，确保生活污水不外排。</w:t>
            </w:r>
          </w:p>
          <w:p w14:paraId="2C6690A9">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（2）压裂返排液：根据建设单位提供资料，单井压裂反排液产生量约为60m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/d，本项目两口井试油期均为300天，压裂反排液产生量为36000m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，产生的废压裂液转运至</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脱水站处理后全部回注，不外排。</w:t>
            </w:r>
          </w:p>
          <w:p w14:paraId="75C87A62">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（3）洗井废水：项目洗井废水按照用水量的90%计算，本项目产生洗井废水150m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。井下作业过程中，作业单位自带回收罐回收作业废水，运至</w:t>
            </w:r>
            <w:r>
              <w:rPr>
                <w:rFonts w:hint="eastAsia" w:ascii="Times New Roman" w:hAnsi="Times New Roman" w:eastAsia="宋体" w:cs="Times New Roman"/>
                <w:color w:val="000000" w:themeColor="text1"/>
                <w:sz w:val="24"/>
                <w:szCs w:val="24"/>
                <w:highlight w:val="none"/>
                <w:lang w:eastAsia="zh-CN" w:bidi="ar"/>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脱水站污水处理系统处理达标后全部回注，不外排。</w:t>
            </w:r>
          </w:p>
          <w:p w14:paraId="270BFD63">
            <w:pPr>
              <w:keepNext w:val="0"/>
              <w:keepLines w:val="0"/>
              <w:pageBreakBefore w:val="0"/>
              <w:widowControl w:val="0"/>
              <w:kinsoku/>
              <w:wordWrap/>
              <w:overflowPunct/>
              <w:topLinePunct w:val="0"/>
              <w:autoSpaceDE w:val="0"/>
              <w:autoSpaceDN w:val="0"/>
              <w:bidi w:val="0"/>
              <w:adjustRightInd w:val="0"/>
              <w:snapToGrid w:val="0"/>
              <w:spacing w:line="360" w:lineRule="auto"/>
              <w:ind w:left="0"/>
              <w:jc w:val="both"/>
              <w:textAlignment w:val="baseline"/>
              <w:rPr>
                <w:rFonts w:hint="default" w:ascii="Times New Roman" w:hAnsi="Times New Roman" w:eastAsia="宋体" w:cs="Times New Roman"/>
                <w:b/>
                <w:bCs/>
                <w:color w:val="000000" w:themeColor="text1"/>
                <w:sz w:val="24"/>
                <w:szCs w:val="24"/>
                <w:highlight w:val="none"/>
                <w:lang w:eastAsia="zh-CN" w:bidi="ar"/>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bidi="ar"/>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lang w:eastAsia="zh-CN" w:bidi="ar"/>
                <w14:textFill>
                  <w14:solidFill>
                    <w14:schemeClr w14:val="tx1"/>
                  </w14:solidFill>
                </w14:textFill>
              </w:rPr>
              <w:t>.3供暖</w:t>
            </w:r>
          </w:p>
          <w:p w14:paraId="12047524">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本项目钻井期在冬季，需对井口、泥浆罐、水罐、钻井平台通过管线进行保温，各井场新建1台2.5t/h的生物质蒸汽锅炉，以生物质成型颗粒为燃料，锅炉用水为经软化水制备装置处理后的软化水，运行过程的锅炉水循环使用不外排，软化水制备产生的浓水属于清净下水，用于道路洒水。每台锅炉补水量为3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/d，</w:t>
            </w:r>
            <w:r>
              <w:rPr>
                <w:rFonts w:ascii="Times New Roman" w:hAnsi="Times New Roman" w:eastAsia="宋体" w:cs="Times New Roman"/>
                <w:color w:val="000000" w:themeColor="text1"/>
                <w:sz w:val="24"/>
                <w:szCs w:val="24"/>
                <w:highlight w:val="none"/>
                <w:lang w:eastAsia="zh-CN" w:bidi="ar"/>
                <w14:textFill>
                  <w14:solidFill>
                    <w14:schemeClr w14:val="tx1"/>
                  </w14:solidFill>
                </w14:textFill>
              </w:rPr>
              <w:t>2台锅炉为6m</w:t>
            </w:r>
            <w:r>
              <w:rPr>
                <w:rFonts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ascii="Times New Roman" w:hAnsi="Times New Roman" w:eastAsia="宋体" w:cs="Times New Roman"/>
                <w:color w:val="000000" w:themeColor="text1"/>
                <w:sz w:val="24"/>
                <w:szCs w:val="24"/>
                <w:highlight w:val="none"/>
                <w:lang w:eastAsia="zh-CN" w:bidi="ar"/>
                <w14:textFill>
                  <w14:solidFill>
                    <w14:schemeClr w14:val="tx1"/>
                  </w14:solidFill>
                </w14:textFill>
              </w:rPr>
              <w:t>/d，按最不利影响下，本项目需供暖60d，共需软化水360m</w:t>
            </w:r>
            <w:r>
              <w:rPr>
                <w:rFonts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ascii="Times New Roman" w:hAnsi="Times New Roman" w:eastAsia="宋体" w:cs="Times New Roman"/>
                <w:color w:val="000000" w:themeColor="text1"/>
                <w:spacing w:val="-1"/>
                <w:sz w:val="24"/>
                <w:szCs w:val="24"/>
                <w:highlight w:val="none"/>
                <w:lang w:eastAsia="zh-CN"/>
                <w14:textFill>
                  <w14:solidFill>
                    <w14:schemeClr w14:val="tx1"/>
                  </w14:solidFill>
                </w14:textFill>
              </w:rPr>
              <w:t>软水制备效率按75%计算，共需新鲜水480</w:t>
            </w:r>
            <w:r>
              <w:rPr>
                <w:rFonts w:ascii="Times New Roman" w:hAnsi="Times New Roman" w:eastAsia="宋体" w:cs="Times New Roman"/>
                <w:color w:val="000000" w:themeColor="text1"/>
                <w:sz w:val="24"/>
                <w:szCs w:val="24"/>
                <w:highlight w:val="none"/>
                <w:lang w:eastAsia="zh-CN"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p>
          <w:p w14:paraId="7D1E43A1">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供热思路与可行性：本项目选用 WNS2.5-0.8-SCII型卧式集成生物质蒸汽锅炉用于生产管线保温 。该锅炉采用火室燃烧方式，设计热效率高达 90.05%。实测数据显示，其反平衡热效率达到90.08%，超过国家工业锅炉产品热效率限定值要求 ，在能源利用上具有显著的高效性和可行性。</w:t>
            </w:r>
          </w:p>
          <w:p w14:paraId="5280571F">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热源匹配性说明：该锅炉额定负荷为2.50t/h。测试期间，锅炉在2.51t/h的实际负荷下稳定运行 ，折算蒸发量满足额定蒸发量的97%~105%要求。其2.5t/h的蒸汽供应能力可完全满足钻井现场生产管线及伴热系统的峰值用汽需求，规模匹配合理。</w:t>
            </w:r>
          </w:p>
          <w:p w14:paraId="4206E35C">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生物质锅炉</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锅炉技术参数符合性分析</w:t>
            </w:r>
          </w:p>
          <w:p w14:paraId="2DB7A6C6">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热效率：规范要求82%。本项目锅炉设计热效率90.05% ，实测热效率 90.08% ，显著高于规范要求。</w:t>
            </w:r>
          </w:p>
          <w:p w14:paraId="1DE1B6B0">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额定工作压力：设计额定压力为0.80 MPa ，实测运行压力稳定在0.76~0.77 MPa ，满足管线伴热所需的蒸汽压力。</w:t>
            </w:r>
          </w:p>
          <w:p w14:paraId="6A96F831">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排烟温度： 设计值为 158.20℃ ，实测排烟温度为 164.7℃ ~ 165.3℃ 。虽然实测值略高于设计值，但仍符合规范中关于排烟温度的要求</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w:t>
            </w:r>
          </w:p>
          <w:p w14:paraId="660D4B7A">
            <w:pPr>
              <w:widowControl w:val="0"/>
              <w:kinsoku/>
              <w:spacing w:line="500" w:lineRule="exact"/>
              <w:jc w:val="center"/>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eastAsia="宋体" w:cs="Times New Roman"/>
                <w:b/>
                <w:bCs/>
                <w:color w:val="000000" w:themeColor="text1"/>
                <w:lang w:val="en-US" w:eastAsia="zh-CN"/>
                <w14:textFill>
                  <w14:solidFill>
                    <w14:schemeClr w14:val="tx1"/>
                  </w14:solidFill>
                </w14:textFill>
              </w:rPr>
              <w:t xml:space="preserve">表2-13 </w:t>
            </w:r>
            <w:r>
              <w:rPr>
                <w:rFonts w:hint="default" w:ascii="Times New Roman" w:hAnsi="Times New Roman" w:eastAsia="宋体" w:cs="Times New Roman"/>
                <w:b/>
                <w:bCs/>
                <w:color w:val="000000" w:themeColor="text1"/>
                <w:lang w:val="en-US" w:eastAsia="zh-CN"/>
                <w14:textFill>
                  <w14:solidFill>
                    <w14:schemeClr w14:val="tx1"/>
                  </w14:solidFill>
                </w14:textFill>
              </w:rPr>
              <w:t>生物质锅炉物料平衡表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823"/>
              <w:gridCol w:w="2318"/>
              <w:gridCol w:w="867"/>
              <w:gridCol w:w="823"/>
              <w:gridCol w:w="2308"/>
            </w:tblGrid>
            <w:tr w14:paraId="5F3BC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2F8915FD">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输入项</w:t>
                  </w:r>
                </w:p>
              </w:tc>
              <w:tc>
                <w:tcPr>
                  <w:tcW w:w="504" w:type="pct"/>
                  <w:vAlign w:val="center"/>
                </w:tcPr>
                <w:p w14:paraId="1403587F">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数量 (t)</w:t>
                  </w:r>
                </w:p>
              </w:tc>
              <w:tc>
                <w:tcPr>
                  <w:tcW w:w="1419" w:type="pct"/>
                  <w:vAlign w:val="center"/>
                </w:tcPr>
                <w:p w14:paraId="2C39585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备注</w:t>
                  </w:r>
                </w:p>
              </w:tc>
              <w:tc>
                <w:tcPr>
                  <w:tcW w:w="531" w:type="pct"/>
                  <w:vAlign w:val="center"/>
                </w:tcPr>
                <w:p w14:paraId="1318D117">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输出项</w:t>
                  </w:r>
                </w:p>
              </w:tc>
              <w:tc>
                <w:tcPr>
                  <w:tcW w:w="504" w:type="pct"/>
                  <w:vAlign w:val="center"/>
                </w:tcPr>
                <w:p w14:paraId="17A47DB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数量 (t)</w:t>
                  </w:r>
                </w:p>
              </w:tc>
              <w:tc>
                <w:tcPr>
                  <w:tcW w:w="1413" w:type="pct"/>
                  <w:vAlign w:val="center"/>
                </w:tcPr>
                <w:p w14:paraId="0D385942">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备注</w:t>
                  </w:r>
                </w:p>
              </w:tc>
            </w:tr>
            <w:tr w14:paraId="2C7F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4F2075CE">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生物质燃料</w:t>
                  </w:r>
                </w:p>
              </w:tc>
              <w:tc>
                <w:tcPr>
                  <w:tcW w:w="504" w:type="pct"/>
                  <w:vAlign w:val="center"/>
                </w:tcPr>
                <w:p w14:paraId="5E2A498F">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450</w:t>
                  </w:r>
                </w:p>
              </w:tc>
              <w:tc>
                <w:tcPr>
                  <w:tcW w:w="1419" w:type="pct"/>
                  <w:vAlign w:val="center"/>
                </w:tcPr>
                <w:p w14:paraId="2A5B4C7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平均低位发热量 16.11 MJ/kg</w:t>
                  </w:r>
                </w:p>
              </w:tc>
              <w:tc>
                <w:tcPr>
                  <w:tcW w:w="531" w:type="pct"/>
                  <w:vAlign w:val="center"/>
                </w:tcPr>
                <w:p w14:paraId="10AB105A">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烟气排空</w:t>
                  </w:r>
                </w:p>
              </w:tc>
              <w:tc>
                <w:tcPr>
                  <w:tcW w:w="504" w:type="pct"/>
                  <w:vAlign w:val="center"/>
                </w:tcPr>
                <w:p w14:paraId="591E2AAF">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3433</w:t>
                  </w:r>
                </w:p>
              </w:tc>
              <w:tc>
                <w:tcPr>
                  <w:tcW w:w="1413" w:type="pct"/>
                  <w:vAlign w:val="center"/>
                </w:tcPr>
                <w:p w14:paraId="1D182752">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包含干烟气及烟气水分 </w:t>
                  </w:r>
                </w:p>
              </w:tc>
            </w:tr>
            <w:tr w14:paraId="0DE9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50967333">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补给新鲜水</w:t>
                  </w:r>
                </w:p>
              </w:tc>
              <w:tc>
                <w:tcPr>
                  <w:tcW w:w="504" w:type="pct"/>
                  <w:vAlign w:val="center"/>
                </w:tcPr>
                <w:p w14:paraId="7D17398E">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180</w:t>
                  </w:r>
                </w:p>
              </w:tc>
              <w:tc>
                <w:tcPr>
                  <w:tcW w:w="1419" w:type="pct"/>
                  <w:vAlign w:val="center"/>
                </w:tcPr>
                <w:p w14:paraId="25D23D34">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锅炉水循环，仅补足损耗 </w:t>
                  </w:r>
                </w:p>
              </w:tc>
              <w:tc>
                <w:tcPr>
                  <w:tcW w:w="531" w:type="pct"/>
                  <w:vAlign w:val="center"/>
                </w:tcPr>
                <w:p w14:paraId="0120B7A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产汽</w:t>
                  </w:r>
                </w:p>
              </w:tc>
              <w:tc>
                <w:tcPr>
                  <w:tcW w:w="504" w:type="pct"/>
                  <w:vAlign w:val="center"/>
                </w:tcPr>
                <w:p w14:paraId="0EB8C1E6">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180</w:t>
                  </w:r>
                </w:p>
              </w:tc>
              <w:tc>
                <w:tcPr>
                  <w:tcW w:w="1413" w:type="pct"/>
                  <w:vAlign w:val="center"/>
                </w:tcPr>
                <w:p w14:paraId="6A0830A4">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对应总补水量，用于伴热损耗 </w:t>
                  </w:r>
                </w:p>
              </w:tc>
            </w:tr>
            <w:tr w14:paraId="5FFB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26974596">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助燃空气</w:t>
                  </w:r>
                </w:p>
              </w:tc>
              <w:tc>
                <w:tcPr>
                  <w:tcW w:w="504" w:type="pct"/>
                  <w:vAlign w:val="center"/>
                </w:tcPr>
                <w:p w14:paraId="5C1FA1E2">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2827</w:t>
                  </w:r>
                </w:p>
              </w:tc>
              <w:tc>
                <w:tcPr>
                  <w:tcW w:w="1419" w:type="pct"/>
                  <w:vAlign w:val="center"/>
                </w:tcPr>
                <w:p w14:paraId="06A70440">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 xml:space="preserve">按 α=1.39 及理论空气量核算 </w:t>
                  </w:r>
                </w:p>
              </w:tc>
              <w:tc>
                <w:tcPr>
                  <w:tcW w:w="531" w:type="pct"/>
                  <w:vAlign w:val="center"/>
                </w:tcPr>
                <w:p w14:paraId="70B057C5">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锅炉灰渣</w:t>
                  </w:r>
                </w:p>
              </w:tc>
              <w:tc>
                <w:tcPr>
                  <w:tcW w:w="504" w:type="pct"/>
                  <w:vAlign w:val="center"/>
                </w:tcPr>
                <w:p w14:paraId="1A7BD904">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24</w:t>
                  </w:r>
                </w:p>
              </w:tc>
              <w:tc>
                <w:tcPr>
                  <w:tcW w:w="1413" w:type="pct"/>
                  <w:vAlign w:val="center"/>
                </w:tcPr>
                <w:p w14:paraId="15E1E0AC">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含湿炉渣、漏料及飞灰</w:t>
                  </w:r>
                </w:p>
              </w:tc>
            </w:tr>
            <w:tr w14:paraId="4175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Align w:val="center"/>
                </w:tcPr>
                <w:p w14:paraId="19D001F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合计</w:t>
                  </w:r>
                </w:p>
              </w:tc>
              <w:tc>
                <w:tcPr>
                  <w:tcW w:w="504" w:type="pct"/>
                  <w:vAlign w:val="center"/>
                </w:tcPr>
                <w:p w14:paraId="62D431EF">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3457</w:t>
                  </w:r>
                </w:p>
              </w:tc>
              <w:tc>
                <w:tcPr>
                  <w:tcW w:w="1419" w:type="pct"/>
                  <w:vAlign w:val="center"/>
                </w:tcPr>
                <w:p w14:paraId="2F43900A">
                  <w:pPr>
                    <w:widowControl w:val="0"/>
                    <w:jc w:val="center"/>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p>
              </w:tc>
              <w:tc>
                <w:tcPr>
                  <w:tcW w:w="531" w:type="pct"/>
                  <w:vAlign w:val="center"/>
                </w:tcPr>
                <w:p w14:paraId="08310571">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合计</w:t>
                  </w:r>
                </w:p>
              </w:tc>
              <w:tc>
                <w:tcPr>
                  <w:tcW w:w="504" w:type="pct"/>
                  <w:vAlign w:val="center"/>
                </w:tcPr>
                <w:p w14:paraId="01A41B83">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3457</w:t>
                  </w:r>
                </w:p>
              </w:tc>
              <w:tc>
                <w:tcPr>
                  <w:tcW w:w="1413" w:type="pct"/>
                  <w:vAlign w:val="center"/>
                </w:tcPr>
                <w:p w14:paraId="211A6532">
                  <w:pPr>
                    <w:keepNext w:val="0"/>
                    <w:keepLines w:val="0"/>
                    <w:widowControl/>
                    <w:suppressLineNumbers w:val="0"/>
                    <w:bidi w:val="0"/>
                    <w:jc w:val="center"/>
                    <w:textAlignment w:val="bottom"/>
                    <w:rPr>
                      <w:rFonts w:hint="default" w:ascii="Times New Roman Regular" w:hAnsi="Times New Roman Regular" w:eastAsia="宋体" w:cs="Times New Roman Regular"/>
                      <w:color w:val="000000" w:themeColor="text1"/>
                      <w:sz w:val="21"/>
                      <w:szCs w:val="21"/>
                      <w:highlight w:val="none"/>
                      <w:vertAlign w:val="baseline"/>
                      <w:lang w:val="en-US" w:eastAsia="zh-CN" w:bidi="ar"/>
                      <w14:textFill>
                        <w14:solidFill>
                          <w14:schemeClr w14:val="tx1"/>
                        </w14:solidFill>
                      </w14:textFill>
                    </w:rPr>
                  </w:pPr>
                  <w:r>
                    <w:rPr>
                      <w:rFonts w:hint="default" w:ascii="Times New Roman Regular" w:hAnsi="Times New Roman Regular" w:eastAsia="宋体" w:cs="Times New Roman Regular"/>
                      <w:snapToGrid w:val="0"/>
                      <w:color w:val="000000" w:themeColor="text1"/>
                      <w:kern w:val="0"/>
                      <w:sz w:val="21"/>
                      <w:szCs w:val="21"/>
                      <w:lang w:val="en-US" w:eastAsia="zh-CN" w:bidi="ar"/>
                      <w14:textFill>
                        <w14:solidFill>
                          <w14:schemeClr w14:val="tx1"/>
                        </w14:solidFill>
                      </w14:textFill>
                    </w:rPr>
                    <w:t>系统质量平衡</w:t>
                  </w:r>
                </w:p>
              </w:tc>
            </w:tr>
          </w:tbl>
          <w:p w14:paraId="797F68A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pPr>
          </w:p>
          <w:p w14:paraId="500EA61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76"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综上所述，本项目水平衡见表2-1</w:t>
            </w:r>
            <w:r>
              <w:rPr>
                <w:rFonts w:hint="eastAsia" w:ascii="Times New Roman" w:hAnsi="Times New Roman" w:cs="Times New Roman"/>
                <w:color w:val="000000" w:themeColor="text1"/>
                <w:spacing w:val="-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w:t>
            </w:r>
          </w:p>
          <w:p w14:paraId="5D05B8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表2-1</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lang w:eastAsia="zh-CN"/>
                <w14:textFill>
                  <w14:solidFill>
                    <w14:schemeClr w14:val="tx1"/>
                  </w14:solidFill>
                </w14:textFill>
              </w:rPr>
              <w:t>项目水平衡一览表 单位：m</w:t>
            </w:r>
            <w:r>
              <w:rPr>
                <w:rFonts w:hint="default" w:ascii="Times New Roman" w:hAnsi="Times New Roman" w:eastAsia="宋体" w:cs="Times New Roman"/>
                <w:b/>
                <w:bCs/>
                <w:color w:val="000000" w:themeColor="text1"/>
                <w:highlight w:val="none"/>
                <w:vertAlign w:val="superscript"/>
                <w:lang w:eastAsia="zh-CN"/>
                <w14:textFill>
                  <w14:solidFill>
                    <w14:schemeClr w14:val="tx1"/>
                  </w14:solidFill>
                </w14:textFill>
              </w:rPr>
              <w:t>3</w:t>
            </w:r>
          </w:p>
          <w:tbl>
            <w:tblPr>
              <w:tblStyle w:val="21"/>
              <w:tblW w:w="81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12"/>
              <w:gridCol w:w="1229"/>
              <w:gridCol w:w="1478"/>
              <w:gridCol w:w="1507"/>
              <w:gridCol w:w="2204"/>
            </w:tblGrid>
            <w:tr w14:paraId="68C24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712" w:type="dxa"/>
                  <w:tcBorders>
                    <w:left w:val="single" w:color="000000" w:sz="2" w:space="0"/>
                  </w:tcBorders>
                  <w:vAlign w:val="center"/>
                </w:tcPr>
                <w:p w14:paraId="3F8A071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lang w:eastAsia="zh-CN"/>
                      <w14:textFill>
                        <w14:solidFill>
                          <w14:schemeClr w14:val="tx1"/>
                        </w14:solidFill>
                      </w14:textFill>
                    </w:rPr>
                    <w:t>项目</w:t>
                  </w:r>
                </w:p>
              </w:tc>
              <w:tc>
                <w:tcPr>
                  <w:tcW w:w="1229" w:type="dxa"/>
                  <w:vAlign w:val="center"/>
                </w:tcPr>
                <w:p w14:paraId="2D3F7D3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新鲜水</w:t>
                  </w:r>
                </w:p>
              </w:tc>
              <w:tc>
                <w:tcPr>
                  <w:tcW w:w="1478" w:type="dxa"/>
                  <w:vAlign w:val="center"/>
                </w:tcPr>
                <w:p w14:paraId="77B44C3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损失量</w:t>
                  </w:r>
                </w:p>
              </w:tc>
              <w:tc>
                <w:tcPr>
                  <w:tcW w:w="1507" w:type="dxa"/>
                  <w:vAlign w:val="center"/>
                </w:tcPr>
                <w:p w14:paraId="5ADE0AD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废水量</w:t>
                  </w:r>
                </w:p>
              </w:tc>
              <w:tc>
                <w:tcPr>
                  <w:tcW w:w="2204" w:type="dxa"/>
                  <w:vAlign w:val="center"/>
                </w:tcPr>
                <w:p w14:paraId="1352C0F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备注</w:t>
                  </w:r>
                </w:p>
              </w:tc>
            </w:tr>
            <w:tr w14:paraId="1AF76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712" w:type="dxa"/>
                  <w:tcBorders>
                    <w:left w:val="single" w:color="000000" w:sz="2" w:space="0"/>
                  </w:tcBorders>
                  <w:vAlign w:val="center"/>
                </w:tcPr>
                <w:p w14:paraId="000778D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钻井液配比用水</w:t>
                  </w:r>
                </w:p>
              </w:tc>
              <w:tc>
                <w:tcPr>
                  <w:tcW w:w="1229" w:type="dxa"/>
                  <w:vAlign w:val="center"/>
                </w:tcPr>
                <w:p w14:paraId="39B4529C">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1000</w:t>
                  </w:r>
                </w:p>
              </w:tc>
              <w:tc>
                <w:tcPr>
                  <w:tcW w:w="1478" w:type="dxa"/>
                  <w:vAlign w:val="center"/>
                </w:tcPr>
                <w:p w14:paraId="55D1F779">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bidi="ar"/>
                      <w14:textFill>
                        <w14:solidFill>
                          <w14:schemeClr w14:val="tx1"/>
                        </w14:solidFill>
                      </w14:textFill>
                    </w:rPr>
                    <w:t>0</w:t>
                  </w:r>
                </w:p>
              </w:tc>
              <w:tc>
                <w:tcPr>
                  <w:tcW w:w="1507" w:type="dxa"/>
                  <w:vAlign w:val="center"/>
                </w:tcPr>
                <w:p w14:paraId="730FCB66">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1000</w:t>
                  </w:r>
                </w:p>
              </w:tc>
              <w:tc>
                <w:tcPr>
                  <w:tcW w:w="2204" w:type="dxa"/>
                  <w:vAlign w:val="center"/>
                </w:tcPr>
                <w:p w14:paraId="3FFAFE38">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highlight w:val="none"/>
                      <w:lang w:eastAsia="zh-CN"/>
                      <w14:textFill>
                        <w14:solidFill>
                          <w14:schemeClr w14:val="tx1"/>
                        </w14:solidFill>
                      </w14:textFill>
                    </w:rPr>
                    <w:t>与泥浆一同处置</w:t>
                  </w:r>
                </w:p>
              </w:tc>
            </w:tr>
            <w:tr w14:paraId="74F47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712" w:type="dxa"/>
                  <w:tcBorders>
                    <w:left w:val="single" w:color="000000" w:sz="2" w:space="0"/>
                  </w:tcBorders>
                  <w:vAlign w:val="center"/>
                </w:tcPr>
                <w:p w14:paraId="216C353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压裂液配比用水</w:t>
                  </w:r>
                </w:p>
              </w:tc>
              <w:tc>
                <w:tcPr>
                  <w:tcW w:w="1229" w:type="dxa"/>
                  <w:vAlign w:val="center"/>
                </w:tcPr>
                <w:p w14:paraId="4F42639C">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70000</w:t>
                  </w:r>
                </w:p>
              </w:tc>
              <w:tc>
                <w:tcPr>
                  <w:tcW w:w="1478" w:type="dxa"/>
                  <w:vAlign w:val="center"/>
                </w:tcPr>
                <w:p w14:paraId="40F42F57">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34000</w:t>
                  </w:r>
                </w:p>
              </w:tc>
              <w:tc>
                <w:tcPr>
                  <w:tcW w:w="1507" w:type="dxa"/>
                  <w:vAlign w:val="center"/>
                </w:tcPr>
                <w:p w14:paraId="72C8E402">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36000</w:t>
                  </w:r>
                </w:p>
              </w:tc>
              <w:tc>
                <w:tcPr>
                  <w:tcW w:w="2204" w:type="dxa"/>
                  <w:vMerge w:val="restart"/>
                  <w:vAlign w:val="center"/>
                </w:tcPr>
                <w:p w14:paraId="1FE024E7">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eastAsia" w:ascii="Times New Roman" w:hAnsi="Times New Roman" w:eastAsia="宋体" w:cs="Times New Roman"/>
                      <w:color w:val="000000" w:themeColor="text1"/>
                      <w:highlight w:val="none"/>
                      <w:lang w:eastAsia="zh-CN" w:bidi="ar"/>
                      <w14:textFill>
                        <w14:solidFill>
                          <w14:schemeClr w14:val="tx1"/>
                        </w14:solidFill>
                      </w14:textFill>
                    </w:rPr>
                    <w:t>吉康</w:t>
                  </w:r>
                  <w:r>
                    <w:rPr>
                      <w:rFonts w:hint="default" w:ascii="Times New Roman" w:hAnsi="Times New Roman" w:eastAsia="宋体" w:cs="Times New Roman"/>
                      <w:color w:val="000000" w:themeColor="text1"/>
                      <w:highlight w:val="none"/>
                      <w:lang w:eastAsia="zh-CN" w:bidi="ar"/>
                      <w14:textFill>
                        <w14:solidFill>
                          <w14:schemeClr w14:val="tx1"/>
                        </w14:solidFill>
                      </w14:textFill>
                    </w:rPr>
                    <w:t>脱水站处理达标后回注</w:t>
                  </w:r>
                </w:p>
              </w:tc>
            </w:tr>
            <w:tr w14:paraId="4DFCC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12" w:type="dxa"/>
                  <w:tcBorders>
                    <w:left w:val="single" w:color="000000" w:sz="2" w:space="0"/>
                  </w:tcBorders>
                  <w:vAlign w:val="center"/>
                </w:tcPr>
                <w:p w14:paraId="614409F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t>洗井用水</w:t>
                  </w:r>
                </w:p>
              </w:tc>
              <w:tc>
                <w:tcPr>
                  <w:tcW w:w="1229" w:type="dxa"/>
                  <w:vAlign w:val="center"/>
                </w:tcPr>
                <w:p w14:paraId="0A3E6B26">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166.67</w:t>
                  </w:r>
                </w:p>
              </w:tc>
              <w:tc>
                <w:tcPr>
                  <w:tcW w:w="1478" w:type="dxa"/>
                  <w:vAlign w:val="center"/>
                </w:tcPr>
                <w:p w14:paraId="17A1494E">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16.67</w:t>
                  </w:r>
                </w:p>
              </w:tc>
              <w:tc>
                <w:tcPr>
                  <w:tcW w:w="1507" w:type="dxa"/>
                  <w:vAlign w:val="center"/>
                </w:tcPr>
                <w:p w14:paraId="2185E72A">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150</w:t>
                  </w:r>
                </w:p>
              </w:tc>
              <w:tc>
                <w:tcPr>
                  <w:tcW w:w="2204" w:type="dxa"/>
                  <w:vMerge w:val="continue"/>
                  <w:vAlign w:val="center"/>
                </w:tcPr>
                <w:p w14:paraId="29020815">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p>
              </w:tc>
            </w:tr>
            <w:tr w14:paraId="0B523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712" w:type="dxa"/>
                  <w:tcBorders>
                    <w:left w:val="single" w:color="000000" w:sz="2" w:space="0"/>
                  </w:tcBorders>
                  <w:vAlign w:val="center"/>
                </w:tcPr>
                <w:p w14:paraId="768E633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生活用水</w:t>
                  </w:r>
                </w:p>
              </w:tc>
              <w:tc>
                <w:tcPr>
                  <w:tcW w:w="1229" w:type="dxa"/>
                  <w:vAlign w:val="center"/>
                </w:tcPr>
                <w:p w14:paraId="4F808E64">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384</w:t>
                  </w:r>
                </w:p>
              </w:tc>
              <w:tc>
                <w:tcPr>
                  <w:tcW w:w="1478" w:type="dxa"/>
                  <w:vAlign w:val="center"/>
                </w:tcPr>
                <w:p w14:paraId="11E37DB4">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76.8</w:t>
                  </w:r>
                </w:p>
              </w:tc>
              <w:tc>
                <w:tcPr>
                  <w:tcW w:w="1507" w:type="dxa"/>
                  <w:vAlign w:val="center"/>
                </w:tcPr>
                <w:p w14:paraId="5F5A2107">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307.2</w:t>
                  </w:r>
                </w:p>
              </w:tc>
              <w:tc>
                <w:tcPr>
                  <w:tcW w:w="2204" w:type="dxa"/>
                  <w:vAlign w:val="center"/>
                </w:tcPr>
                <w:p w14:paraId="1FB2040E">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highlight w:val="none"/>
                      <w:lang w:eastAsia="zh-CN"/>
                      <w14:textFill>
                        <w14:solidFill>
                          <w14:schemeClr w14:val="tx1"/>
                        </w14:solidFill>
                      </w14:textFill>
                    </w:rPr>
                    <w:t>市政污水处理厂处理</w:t>
                  </w:r>
                </w:p>
              </w:tc>
            </w:tr>
            <w:tr w14:paraId="12659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712" w:type="dxa"/>
                  <w:tcBorders>
                    <w:left w:val="single" w:color="000000" w:sz="2" w:space="0"/>
                  </w:tcBorders>
                  <w:vAlign w:val="center"/>
                </w:tcPr>
                <w:p w14:paraId="6D69C72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锅炉用水</w:t>
                  </w:r>
                </w:p>
              </w:tc>
              <w:tc>
                <w:tcPr>
                  <w:tcW w:w="1229" w:type="dxa"/>
                  <w:vAlign w:val="center"/>
                </w:tcPr>
                <w:p w14:paraId="0E09D4EC">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480</w:t>
                  </w:r>
                </w:p>
              </w:tc>
              <w:tc>
                <w:tcPr>
                  <w:tcW w:w="1478" w:type="dxa"/>
                  <w:vAlign w:val="center"/>
                </w:tcPr>
                <w:p w14:paraId="2A3A2C97">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480</w:t>
                  </w:r>
                </w:p>
              </w:tc>
              <w:tc>
                <w:tcPr>
                  <w:tcW w:w="1507" w:type="dxa"/>
                  <w:vAlign w:val="center"/>
                </w:tcPr>
                <w:p w14:paraId="14CD61F1">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bidi="ar"/>
                      <w14:textFill>
                        <w14:solidFill>
                          <w14:schemeClr w14:val="tx1"/>
                        </w14:solidFill>
                      </w14:textFill>
                    </w:rPr>
                    <w:t>0</w:t>
                  </w:r>
                </w:p>
              </w:tc>
              <w:tc>
                <w:tcPr>
                  <w:tcW w:w="2204" w:type="dxa"/>
                  <w:vAlign w:val="center"/>
                </w:tcPr>
                <w:p w14:paraId="26332029">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r>
            <w:tr w14:paraId="430C5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712" w:type="dxa"/>
                  <w:tcBorders>
                    <w:left w:val="single" w:color="000000" w:sz="2" w:space="0"/>
                  </w:tcBorders>
                  <w:vAlign w:val="center"/>
                </w:tcPr>
                <w:p w14:paraId="5E0ED4E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1"/>
                      <w:szCs w:val="21"/>
                      <w:highlight w:val="none"/>
                      <w:lang w:eastAsia="zh-CN"/>
                      <w14:textFill>
                        <w14:solidFill>
                          <w14:schemeClr w14:val="tx1"/>
                        </w14:solidFill>
                      </w14:textFill>
                    </w:rPr>
                    <w:t>合计</w:t>
                  </w:r>
                </w:p>
              </w:tc>
              <w:tc>
                <w:tcPr>
                  <w:tcW w:w="1229" w:type="dxa"/>
                  <w:vAlign w:val="center"/>
                </w:tcPr>
                <w:p w14:paraId="7A0ACACE">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72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030</w:t>
                  </w:r>
                  <w:r>
                    <w:rPr>
                      <w:rFonts w:hint="default" w:ascii="Times New Roman" w:hAnsi="Times New Roman" w:eastAsia="宋体" w:cs="Times New Roman"/>
                      <w:color w:val="000000" w:themeColor="text1"/>
                      <w:highlight w:val="none"/>
                      <w14:textFill>
                        <w14:solidFill>
                          <w14:schemeClr w14:val="tx1"/>
                        </w14:solidFill>
                      </w14:textFill>
                    </w:rPr>
                    <w:t>.67</w:t>
                  </w:r>
                </w:p>
              </w:tc>
              <w:tc>
                <w:tcPr>
                  <w:tcW w:w="1478" w:type="dxa"/>
                  <w:vAlign w:val="center"/>
                </w:tcPr>
                <w:p w14:paraId="0B132AB7">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4573.47</w:t>
                  </w:r>
                </w:p>
              </w:tc>
              <w:tc>
                <w:tcPr>
                  <w:tcW w:w="1507" w:type="dxa"/>
                  <w:vAlign w:val="center"/>
                </w:tcPr>
                <w:p w14:paraId="795A54EA">
                  <w:pPr>
                    <w:keepNext w:val="0"/>
                    <w:keepLines w:val="0"/>
                    <w:pageBreakBefore w:val="0"/>
                    <w:widowControl/>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7457.2</w:t>
                  </w:r>
                </w:p>
              </w:tc>
              <w:tc>
                <w:tcPr>
                  <w:tcW w:w="2204" w:type="dxa"/>
                  <w:vAlign w:val="center"/>
                </w:tcPr>
                <w:p w14:paraId="19789C2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highlight w:val="none"/>
                      <w:lang w:eastAsia="zh-CN" w:bidi="ar"/>
                      <w14:textFill>
                        <w14:solidFill>
                          <w14:schemeClr w14:val="tx1"/>
                        </w14:solidFill>
                      </w14:textFill>
                    </w:rPr>
                    <w:t>/</w:t>
                  </w:r>
                </w:p>
              </w:tc>
            </w:tr>
          </w:tbl>
          <w:p w14:paraId="4C890A1A">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lef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项目水平衡图见图2-3。</w:t>
            </w:r>
          </w:p>
          <w:p w14:paraId="76027C52">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snapToGrid w:val="0"/>
                <w:color w:val="000000" w:themeColor="text1"/>
                <w:kern w:val="0"/>
                <w:sz w:val="24"/>
                <w:szCs w:val="24"/>
                <w:lang w:val="en-US" w:eastAsia="zh-CN" w:bidi="ar"/>
                <w14:textFill>
                  <w14:solidFill>
                    <w14:schemeClr w14:val="tx1"/>
                  </w14:solidFill>
                </w14:textFill>
              </w:rPr>
              <w:drawing>
                <wp:inline distT="0" distB="0" distL="114300" distR="114300">
                  <wp:extent cx="5193665" cy="2516505"/>
                  <wp:effectExtent l="0" t="0" r="6985" b="1714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12"/>
                          <a:stretch>
                            <a:fillRect/>
                          </a:stretch>
                        </pic:blipFill>
                        <pic:spPr>
                          <a:xfrm>
                            <a:off x="0" y="0"/>
                            <a:ext cx="5193665" cy="2516505"/>
                          </a:xfrm>
                          <a:prstGeom prst="rect">
                            <a:avLst/>
                          </a:prstGeom>
                          <a:noFill/>
                          <a:ln w="9525">
                            <a:noFill/>
                          </a:ln>
                        </pic:spPr>
                      </pic:pic>
                    </a:graphicData>
                  </a:graphic>
                </wp:inline>
              </w:drawing>
            </w:r>
          </w:p>
          <w:p w14:paraId="29FD171A">
            <w:pPr>
              <w:pStyle w:val="22"/>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 xml:space="preserve">图2-3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项目水平衡图（单位：m</w:t>
            </w:r>
            <w:r>
              <w:rPr>
                <w:rFonts w:hint="default" w:ascii="Times New Roman" w:hAnsi="Times New Roman" w:eastAsia="宋体" w:cs="Times New Roman"/>
                <w:b/>
                <w:bCs/>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p w14:paraId="6D6C0E4B">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3"/>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3"/>
                <w:sz w:val="24"/>
                <w:szCs w:val="24"/>
                <w:highlight w:val="none"/>
                <w:lang w:eastAsia="zh-CN"/>
                <w14:textFill>
                  <w14:solidFill>
                    <w14:schemeClr w14:val="tx1"/>
                  </w14:solidFill>
                </w14:textFill>
              </w:rPr>
              <w:t>.4供电</w:t>
            </w:r>
          </w:p>
          <w:p w14:paraId="7373779A">
            <w:pPr>
              <w:pStyle w:val="22"/>
              <w:widowControl w:val="0"/>
              <w:kinsoku/>
              <w:spacing w:line="361" w:lineRule="auto"/>
              <w:ind w:left="30" w:firstLine="418"/>
              <w:jc w:val="both"/>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本项目钻井作业动力主要依靠工业用电。每井钻井队配备柴油发电机作为备用电源，仅在工业用电中断等应急情况下使用，消耗的柴油均符合国家标准；电力供应有充分保障</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p>
          <w:p w14:paraId="74516652">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t>.依托工程</w:t>
            </w:r>
          </w:p>
          <w:p w14:paraId="3B0AB60A">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（1）</w:t>
            </w:r>
            <w:r>
              <w:rPr>
                <w:rFonts w:hint="eastAsia" w:ascii="Times New Roman" w:hAnsi="Times New Roman" w:eastAsia="宋体" w:cs="Times New Roman"/>
                <w:color w:val="000000" w:themeColor="text1"/>
                <w:spacing w:val="-3"/>
                <w:sz w:val="24"/>
                <w:szCs w:val="24"/>
                <w:highlight w:val="none"/>
                <w:lang w:eastAsia="zh-CN"/>
                <w14:textFill>
                  <w14:solidFill>
                    <w14:schemeClr w14:val="tx1"/>
                  </w14:solidFill>
                </w14:textFill>
              </w:rPr>
              <w:t>吉康</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脱水站基本情况</w:t>
            </w:r>
          </w:p>
          <w:p w14:paraId="7751BBD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吉康脱水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站于202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年投运，主要承担原油脱水、储存、外输工作，采用“热化学沉降+电化学脱水”两级脱水工艺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吉康脱水站于2022年6月29日取得《吉康油田原油脱水站建设工程环境影响报告表》批复（昌州环评〔2022〕104号），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于</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2024年1月22日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进行了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竣工环境保护</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自主</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验收。</w:t>
            </w:r>
            <w:r>
              <w:rPr>
                <w:rFonts w:hint="eastAsia" w:ascii="宋体" w:hAnsi="宋体" w:eastAsia="宋体" w:cs="宋体"/>
                <w:color w:val="000000" w:themeColor="text1"/>
                <w:kern w:val="0"/>
                <w:sz w:val="24"/>
                <w:szCs w:val="24"/>
                <w:lang w:val="en-US" w:eastAsia="zh-CN" w:bidi="ar"/>
                <w14:textFill>
                  <w14:solidFill>
                    <w14:schemeClr w14:val="tx1"/>
                  </w14:solidFill>
                </w14:textFill>
              </w:rPr>
              <w:t>《吉康油田萨探1块二叠系井井子沟组油藏开发先导试验工程环境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影响报告书》对吉康脱水站进行改扩建，其中原油处理规模扩建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19.3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t/a，扩建后总处理规模30×10</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t/a。采出水处理规模扩建2000m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/d，扩建后总处理规模4000m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/d。</w:t>
            </w:r>
          </w:p>
          <w:p w14:paraId="24F65F59">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目前吉康脱水站已验收原油处理规模为11×10</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t/a，实际处理能力约为7.93×10</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t/a，剩余处理能力为3.07×10</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t/a，可满足本项目需求。</w:t>
            </w:r>
          </w:p>
          <w:p w14:paraId="1AB49846">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68"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（2）工艺流程</w:t>
            </w:r>
          </w:p>
          <w:p w14:paraId="1D427F16">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脱水站生产工艺主要为：加药、三相分离、电加热、脉冲电脱水。《</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油田原油脱水站建设工程环境影响报告表》已于2022年6月29日取得昌吉回族自治州生态环境局批复意见（昌州环评</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〔2022〕104号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1B1237AD">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（3）采出水污水处理工艺流程</w:t>
            </w:r>
          </w:p>
          <w:p w14:paraId="24EEA2A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本项目采用的技术工艺为加药调节混凝—高效絮凝沉淀—溶气气浮—多级过滤—精细过滤工艺。</w:t>
            </w:r>
          </w:p>
          <w:p w14:paraId="71E34426">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2"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工艺流程简述：</w:t>
            </w:r>
          </w:p>
          <w:p w14:paraId="36BA5154">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采出水经过脱水站进行处理，从三相分离器出口输送至储水罐，通过污水泵将污水输送至污水缓冲罐；压裂返排液经运输至场内储存于污水罐中，本项目从缓冲罐取水进行处理，处理合格后暂存于清水罐，后运输至指定注水站回注。</w:t>
            </w:r>
          </w:p>
          <w:p w14:paraId="24CED02B">
            <w:pPr>
              <w:keepNext w:val="0"/>
              <w:keepLines w:val="0"/>
              <w:pageBreakBefore w:val="0"/>
              <w:widowControl/>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压裂返排液在处理之前需要对污水中的油进行预处理，不能让油进入后段系统。然后调整pH，只有将pH调整在7-9之间，才能保证系统的正常处理。调节pH要在PAC药剂添加之前完成，污水进入处理系统后，首先添加PAC，再添加PAM。通过搅拌将其与污水混合均匀，充分混合后进入高效絮凝沉淀池进行固液分离。混合均匀的固液混合物通过斜板进行沉降，沉降后的污泥通过定期进行排放、收集，统一处理。沉淀池的上清液进入气浮池，通过溶气罐产生的微小气泡将污水中的含油物质及微小颗粒进行去除。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脱水站污水处理系统建成后，由</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脱水站分离的采出水经站内污水处理系统处理达标后回注地层，不向外环境排放。</w:t>
            </w:r>
          </w:p>
          <w:p w14:paraId="2D14D47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18"/>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该污水处理装置出水水质执行《碎屑岩油藏注水水质指标技术要求及分析方法》（SY/T5329-2022）中标准要求（悬浮物≤5mg/L，含油≤5mg/L，腐蚀率≤0.076mm/年）</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p>
          <w:p w14:paraId="4F6173E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18"/>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本工程产生废水量共计360.67m</w:t>
            </w:r>
            <w:r>
              <w:rPr>
                <w:rFonts w:hint="default" w:ascii="Times New Roman" w:hAnsi="Times New Roman" w:eastAsia="宋体" w:cs="Times New Roman"/>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，若井口全部出油，落地油预计为0.1t，故</w:t>
            </w:r>
            <w:r>
              <w:rPr>
                <w:rFonts w:hint="eastAsia" w:ascii="Times New Roman" w:hAnsi="Times New Roman" w:cs="Times New Roman"/>
                <w:color w:val="000000" w:themeColor="text1"/>
                <w:sz w:val="24"/>
                <w:szCs w:val="24"/>
                <w:highlight w:val="none"/>
                <w:lang w:eastAsia="zh-CN" w:bidi="ar"/>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脱水站剩余处理能力可以满足本工程需求。本工程井下作业废液采用专用废液收集罐收集，落地油暂存于专用钢制桶内最终运至</w:t>
            </w:r>
            <w:r>
              <w:rPr>
                <w:rFonts w:hint="eastAsia" w:ascii="Times New Roman" w:hAnsi="Times New Roman" w:cs="Times New Roman"/>
                <w:color w:val="000000" w:themeColor="text1"/>
                <w:sz w:val="24"/>
                <w:szCs w:val="24"/>
                <w:highlight w:val="none"/>
                <w:lang w:eastAsia="zh-CN" w:bidi="ar"/>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脱水站处理。</w:t>
            </w:r>
          </w:p>
        </w:tc>
      </w:tr>
      <w:bookmarkEnd w:id="3"/>
      <w:tr w14:paraId="42F2E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04" w:type="dxa"/>
            <w:vAlign w:val="center"/>
          </w:tcPr>
          <w:p w14:paraId="1F92640E">
            <w:pPr>
              <w:widowControl w:val="0"/>
              <w:kinsoku/>
              <w:spacing w:line="360" w:lineRule="auto"/>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总平面及现场布置</w:t>
            </w:r>
          </w:p>
        </w:tc>
        <w:tc>
          <w:tcPr>
            <w:tcW w:w="8387" w:type="dxa"/>
            <w:tcBorders>
              <w:top w:val="single" w:color="auto" w:sz="4" w:space="0"/>
            </w:tcBorders>
          </w:tcPr>
          <w:p w14:paraId="4E153DEF">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bidi="ar"/>
                <w14:textFill>
                  <w14:solidFill>
                    <w14:schemeClr w14:val="tx1"/>
                  </w14:solidFill>
                </w14:textFill>
              </w:rPr>
            </w:pPr>
            <w:r>
              <w:rPr>
                <w:rFonts w:ascii="Times New Roman" w:hAnsi="Times New Roman" w:cs="Times New Roman"/>
                <w:b/>
                <w:bCs/>
                <w:color w:val="000000" w:themeColor="text1"/>
                <w:sz w:val="24"/>
                <w:szCs w:val="24"/>
                <w:highlight w:val="none"/>
                <w:lang w:eastAsia="zh-CN" w:bidi="ar"/>
                <w14:textFill>
                  <w14:solidFill>
                    <w14:schemeClr w14:val="tx1"/>
                  </w14:solidFill>
                </w14:textFill>
              </w:rPr>
              <w:t>1.钻井期井场平面布置</w:t>
            </w:r>
          </w:p>
          <w:p w14:paraId="1FF5D34A">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76" w:firstLineChars="200"/>
              <w:jc w:val="both"/>
              <w:textAlignment w:val="baseline"/>
              <w:rPr>
                <w:rFonts w:ascii="Times New Roman" w:hAnsi="Times New Roman" w:cs="Times New Roman"/>
                <w:color w:val="000000" w:themeColor="text1"/>
                <w:spacing w:val="-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本项目新钻井2口，本项目不设置取料场（借土场）</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井场平整时剥离的表层土（厚度约0.2m），单独集中堆放于井场上风向的“临时堆土区”，表面采用密目防尘网100%全覆盖并设置临时围挡，完井后全部用于原场地的地貌及植被恢复。本工程不设混凝土现场拌合站。 钻机设备基础等所需的混凝土设施均采用商品混凝土由商混运输车直接拉运至现场浇筑。钻井及施工作业动力主要依托区域工业电网供电，仅配备柴油发电机作为应急备用电源</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钻井期井场布置依据《钻前工程及井场布置技术要求》（SY/T5466-2013）相关要求，设有柴油储罐、发电机房、不落地系统、泥浆储罐区、岩屑储罐区、值班房等，钻井期井场平面布置示意图见附图</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w:t>
            </w:r>
          </w:p>
          <w:p w14:paraId="34B79314">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bidi="ar"/>
                <w14:textFill>
                  <w14:solidFill>
                    <w14:schemeClr w14:val="tx1"/>
                  </w14:solidFill>
                </w14:textFill>
              </w:rPr>
            </w:pPr>
            <w:r>
              <w:rPr>
                <w:rFonts w:ascii="Times New Roman" w:hAnsi="Times New Roman" w:cs="Times New Roman"/>
                <w:b/>
                <w:bCs/>
                <w:color w:val="000000" w:themeColor="text1"/>
                <w:sz w:val="24"/>
                <w:szCs w:val="24"/>
                <w:highlight w:val="none"/>
                <w:lang w:eastAsia="zh-CN" w:bidi="ar"/>
                <w14:textFill>
                  <w14:solidFill>
                    <w14:schemeClr w14:val="tx1"/>
                  </w14:solidFill>
                </w14:textFill>
              </w:rPr>
              <w:t>2.试油期井场平面布置</w:t>
            </w:r>
          </w:p>
          <w:p w14:paraId="01922DE7">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200"/>
              <w:jc w:val="both"/>
              <w:textAlignment w:val="baseline"/>
              <w:rPr>
                <w:rFonts w:ascii="Times New Roman" w:hAnsi="Times New Roman" w:cs="Times New Roman"/>
                <w:color w:val="000000" w:themeColor="text1"/>
                <w:spacing w:val="-1"/>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试油期井场布置发电房、采出液储罐、试油废水罐、值班</w:t>
            </w:r>
            <w:r>
              <w:rPr>
                <w:rFonts w:ascii="Times New Roman" w:hAnsi="Times New Roman" w:cs="Times New Roman"/>
                <w:color w:val="000000" w:themeColor="text1"/>
                <w:spacing w:val="-3"/>
                <w:sz w:val="24"/>
                <w:szCs w:val="24"/>
                <w:highlight w:val="none"/>
                <w:lang w:eastAsia="zh-CN"/>
                <w14:textFill>
                  <w14:solidFill>
                    <w14:schemeClr w14:val="tx1"/>
                  </w14:solidFill>
                </w14:textFill>
              </w:rPr>
              <w:t>房等设施并设置紧急</w:t>
            </w:r>
            <w:r>
              <w:rPr>
                <w:rFonts w:ascii="Times New Roman" w:hAnsi="Times New Roman" w:cs="Times New Roman"/>
                <w:color w:val="000000" w:themeColor="text1"/>
                <w:spacing w:val="-1"/>
                <w:sz w:val="24"/>
                <w:szCs w:val="24"/>
                <w:highlight w:val="none"/>
                <w:lang w:eastAsia="zh-CN"/>
                <w14:textFill>
                  <w14:solidFill>
                    <w14:schemeClr w14:val="tx1"/>
                  </w14:solidFill>
                </w14:textFill>
              </w:rPr>
              <w:t>集合点等，试油期井场平面布置示意图见附图</w:t>
            </w:r>
            <w:r>
              <w:rPr>
                <w:rFonts w:hint="eastAsia" w:ascii="Times New Roman" w:hAnsi="Times New Roman" w:cs="Times New Roman"/>
                <w:color w:val="000000" w:themeColor="text1"/>
                <w:spacing w:val="-1"/>
                <w:sz w:val="24"/>
                <w:szCs w:val="24"/>
                <w:highlight w:val="none"/>
                <w:lang w:val="en-US" w:eastAsia="zh-CN"/>
                <w14:textFill>
                  <w14:solidFill>
                    <w14:schemeClr w14:val="tx1"/>
                  </w14:solidFill>
                </w14:textFill>
              </w:rPr>
              <w:t>9</w:t>
            </w:r>
            <w:r>
              <w:rPr>
                <w:rFonts w:ascii="Times New Roman" w:hAnsi="Times New Roman" w:cs="Times New Roman"/>
                <w:color w:val="000000" w:themeColor="text1"/>
                <w:spacing w:val="-1"/>
                <w:sz w:val="24"/>
                <w:szCs w:val="24"/>
                <w:highlight w:val="none"/>
                <w:lang w:eastAsia="zh-CN"/>
                <w14:textFill>
                  <w14:solidFill>
                    <w14:schemeClr w14:val="tx1"/>
                  </w14:solidFill>
                </w14:textFill>
              </w:rPr>
              <w:t>。</w:t>
            </w:r>
          </w:p>
          <w:p w14:paraId="5FF79CE8">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bidi="ar"/>
                <w14:textFill>
                  <w14:solidFill>
                    <w14:schemeClr w14:val="tx1"/>
                  </w14:solidFill>
                </w14:textFill>
              </w:rPr>
            </w:pPr>
            <w:r>
              <w:rPr>
                <w:rFonts w:ascii="Times New Roman" w:hAnsi="Times New Roman" w:cs="Times New Roman"/>
                <w:b/>
                <w:bCs/>
                <w:color w:val="000000" w:themeColor="text1"/>
                <w:sz w:val="24"/>
                <w:szCs w:val="24"/>
                <w:highlight w:val="none"/>
                <w:lang w:eastAsia="zh-CN" w:bidi="ar"/>
                <w14:textFill>
                  <w14:solidFill>
                    <w14:schemeClr w14:val="tx1"/>
                  </w14:solidFill>
                </w14:textFill>
              </w:rPr>
              <w:t>3.工期安排</w:t>
            </w:r>
          </w:p>
          <w:p w14:paraId="394B4DA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76" w:firstLineChars="200"/>
              <w:jc w:val="both"/>
              <w:textAlignment w:val="baseline"/>
              <w:rPr>
                <w:rFonts w:ascii="Times New Roman" w:hAnsi="Times New Roman" w:cs="Times New Roman"/>
                <w:color w:val="000000" w:themeColor="text1"/>
                <w:spacing w:val="-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本项目施工时序依次为钻井、试油、完井三部分，本项目单井钻井期为90天，试油期为300天。本项目用工实行轮休制度，采用两班两倒工作制，每班12小时。</w:t>
            </w:r>
          </w:p>
          <w:p w14:paraId="18EE7E52">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bidi="ar"/>
                <w14:textFill>
                  <w14:solidFill>
                    <w14:schemeClr w14:val="tx1"/>
                  </w14:solidFill>
                </w14:textFill>
              </w:rPr>
            </w:pPr>
            <w:r>
              <w:rPr>
                <w:rFonts w:ascii="Times New Roman" w:hAnsi="Times New Roman" w:cs="Times New Roman"/>
                <w:b/>
                <w:bCs/>
                <w:color w:val="000000" w:themeColor="text1"/>
                <w:sz w:val="24"/>
                <w:szCs w:val="24"/>
                <w:highlight w:val="none"/>
                <w:lang w:eastAsia="zh-CN" w:bidi="ar"/>
                <w14:textFill>
                  <w14:solidFill>
                    <w14:schemeClr w14:val="tx1"/>
                  </w14:solidFill>
                </w14:textFill>
              </w:rPr>
              <w:t>4.临时工程平面布置</w:t>
            </w:r>
          </w:p>
          <w:p w14:paraId="1070DF4B">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76" w:firstLineChars="200"/>
              <w:jc w:val="both"/>
              <w:textAlignment w:val="baseline"/>
              <w:rPr>
                <w:rFonts w:ascii="Times New Roman" w:hAnsi="Times New Roman" w:cs="Times New Roman"/>
                <w:color w:val="000000" w:themeColor="text1"/>
                <w:spacing w:val="-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本项目在各钻试场设1处生活营地，共2处生活营地，</w:t>
            </w:r>
            <w:r>
              <w:rPr>
                <w:rFonts w:hint="eastAsia" w:ascii="Times New Roman" w:hAnsi="Times New Roman" w:cs="Times New Roman"/>
                <w:color w:val="000000" w:themeColor="text1"/>
                <w:spacing w:val="-1"/>
                <w:sz w:val="24"/>
                <w:szCs w:val="24"/>
                <w:highlight w:val="none"/>
                <w:lang w:eastAsia="zh-CN"/>
                <w14:textFill>
                  <w14:solidFill>
                    <w14:schemeClr w14:val="tx1"/>
                  </w14:solidFill>
                </w14:textFill>
              </w:rPr>
              <w:t>防渗收集池</w:t>
            </w:r>
            <w:r>
              <w:rPr>
                <w:rFonts w:ascii="Times New Roman" w:hAnsi="Times New Roman" w:cs="Times New Roman"/>
                <w:color w:val="000000" w:themeColor="text1"/>
                <w:spacing w:val="-1"/>
                <w:sz w:val="24"/>
                <w:szCs w:val="24"/>
                <w:highlight w:val="none"/>
                <w:lang w:eastAsia="zh-CN"/>
                <w14:textFill>
                  <w14:solidFill>
                    <w14:schemeClr w14:val="tx1"/>
                  </w14:solidFill>
                </w14:textFill>
              </w:rPr>
              <w:t>设置在生活营地内，生活污水排入</w:t>
            </w:r>
            <w:r>
              <w:rPr>
                <w:rFonts w:hint="eastAsia" w:ascii="Times New Roman" w:hAnsi="Times New Roman" w:cs="Times New Roman"/>
                <w:color w:val="000000" w:themeColor="text1"/>
                <w:spacing w:val="-1"/>
                <w:sz w:val="24"/>
                <w:szCs w:val="24"/>
                <w:highlight w:val="none"/>
                <w:lang w:eastAsia="zh-CN"/>
                <w14:textFill>
                  <w14:solidFill>
                    <w14:schemeClr w14:val="tx1"/>
                  </w14:solidFill>
                </w14:textFill>
              </w:rPr>
              <w:t>防渗收集池</w:t>
            </w:r>
            <w:r>
              <w:rPr>
                <w:rFonts w:ascii="Times New Roman" w:hAnsi="Times New Roman" w:cs="Times New Roman"/>
                <w:color w:val="000000" w:themeColor="text1"/>
                <w:spacing w:val="-1"/>
                <w:sz w:val="24"/>
                <w:szCs w:val="24"/>
                <w:highlight w:val="none"/>
                <w:lang w:eastAsia="zh-CN"/>
                <w14:textFill>
                  <w14:solidFill>
                    <w14:schemeClr w14:val="tx1"/>
                  </w14:solidFill>
                </w14:textFill>
              </w:rPr>
              <w:t>，定期用吸污车外运处理。根据井口位置和周围已建道路情况修建临时道路。</w:t>
            </w:r>
          </w:p>
          <w:p w14:paraId="5532E902">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bidi="ar"/>
                <w14:textFill>
                  <w14:solidFill>
                    <w14:schemeClr w14:val="tx1"/>
                  </w14:solidFill>
                </w14:textFill>
              </w:rPr>
            </w:pPr>
            <w:r>
              <w:rPr>
                <w:rFonts w:ascii="Times New Roman" w:hAnsi="Times New Roman" w:cs="Times New Roman"/>
                <w:b/>
                <w:bCs/>
                <w:color w:val="000000" w:themeColor="text1"/>
                <w:sz w:val="24"/>
                <w:szCs w:val="24"/>
                <w:highlight w:val="none"/>
                <w:lang w:eastAsia="zh-CN" w:bidi="ar"/>
                <w14:textFill>
                  <w14:solidFill>
                    <w14:schemeClr w14:val="tx1"/>
                  </w14:solidFill>
                </w14:textFill>
              </w:rPr>
              <w:t>5.土石方平衡</w:t>
            </w:r>
          </w:p>
          <w:p w14:paraId="2F4168B6">
            <w:pPr>
              <w:pStyle w:val="22"/>
              <w:widowControl w:val="0"/>
              <w:numPr>
                <w:ilvl w:val="0"/>
                <w:numId w:val="0"/>
              </w:numPr>
              <w:spacing w:line="360" w:lineRule="auto"/>
              <w:ind w:firstLine="472" w:firstLineChars="200"/>
              <w:jc w:val="both"/>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井场和探临道路平整过程中需要对占地范围内表土进行剥离，剥离后用砂石料对井场和探临道路进行铺垫，剥离表土单独堆放，用于完井后临时占地的恢复，无弃方产生</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施工避开大风季节，防止开挖土石方流失</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。土石方平衡分析具体如下：</w:t>
            </w:r>
          </w:p>
          <w:p w14:paraId="157578E7">
            <w:pPr>
              <w:pStyle w:val="22"/>
              <w:widowControl w:val="0"/>
              <w:numPr>
                <w:ilvl w:val="0"/>
                <w:numId w:val="0"/>
              </w:numPr>
              <w:spacing w:line="360" w:lineRule="auto"/>
              <w:ind w:firstLine="472" w:firstLineChars="200"/>
              <w:jc w:val="both"/>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根据</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建设单位提供</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设计资料可知</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各井场</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钻前工程</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挖方</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作业为井场平整、铺垫和探临道路建设过程中表层土的剥离</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表层土剥离厚度约0</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各</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井场平均铺垫厚度约0.</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m，探临道路平均铺垫厚度约0.</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m，据此计算，</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项目总挖</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土方量约</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为</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4283.1</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highlight w:val="none"/>
                <w:vertAlign w:val="baseline"/>
                <w:lang w:val="en-US" w:eastAsia="zh-CN"/>
                <w14:textFill>
                  <w14:solidFill>
                    <w14:schemeClr w14:val="tx1"/>
                  </w14:solidFill>
                </w14:textFill>
              </w:rPr>
              <w:t>其中吉阜103H井</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1913.1</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highlight w:val="none"/>
                <w:vertAlign w:val="baseline"/>
                <w:lang w:val="en-US" w:eastAsia="zh-CN"/>
                <w14:textFill>
                  <w14:solidFill>
                    <w14:schemeClr w14:val="tx1"/>
                  </w14:solidFill>
                </w14:textFill>
              </w:rPr>
              <w:t>、吉阜1001H井</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2370</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总填</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土方量约</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4283.1</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highlight w:val="none"/>
                <w:vertAlign w:val="baseline"/>
                <w:lang w:val="en-US" w:eastAsia="zh-CN"/>
                <w14:textFill>
                  <w14:solidFill>
                    <w14:schemeClr w14:val="tx1"/>
                  </w14:solidFill>
                </w14:textFill>
              </w:rPr>
              <w:t>其中吉阜103H井</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1913.1</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highlight w:val="none"/>
                <w:vertAlign w:val="baseline"/>
                <w:lang w:val="en-US" w:eastAsia="zh-CN"/>
                <w14:textFill>
                  <w14:solidFill>
                    <w14:schemeClr w14:val="tx1"/>
                  </w14:solidFill>
                </w14:textFill>
              </w:rPr>
              <w:t>、吉阜1001H井</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2370</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项目挖填土石方量一致，无需</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借方</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，完井后剥离表层土用于覆盖临时占地，以便植被自然恢复，无弃方产生。项目土石方平衡见下表。</w:t>
            </w:r>
          </w:p>
          <w:p w14:paraId="1D21C46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项目土石方平衡见下表</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2-15</w:t>
            </w:r>
            <w:r>
              <w:rPr>
                <w:rFonts w:ascii="Times New Roman" w:hAnsi="Times New Roman" w:cs="Times New Roman"/>
                <w:color w:val="000000" w:themeColor="text1"/>
                <w:spacing w:val="-2"/>
                <w:sz w:val="24"/>
                <w:szCs w:val="24"/>
                <w:highlight w:val="none"/>
                <w:lang w:eastAsia="zh-CN"/>
                <w14:textFill>
                  <w14:solidFill>
                    <w14:schemeClr w14:val="tx1"/>
                  </w14:solidFill>
                </w14:textFill>
              </w:rPr>
              <w:t>。</w:t>
            </w:r>
          </w:p>
          <w:p w14:paraId="337757C4">
            <w:pPr>
              <w:pStyle w:val="22"/>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1"/>
                <w:szCs w:val="21"/>
                <w:highlight w:val="none"/>
                <w:lang w:eastAsia="zh-CN"/>
                <w14:textFill>
                  <w14:solidFill>
                    <w14:schemeClr w14:val="tx1"/>
                  </w14:solidFill>
                </w14:textFill>
              </w:rPr>
              <w:t>表2-1</w:t>
            </w:r>
            <w:r>
              <w:rPr>
                <w:rFonts w:hint="eastAsia" w:ascii="Times New Roman" w:hAnsi="Times New Roman" w:cs="Times New Roman"/>
                <w:b/>
                <w:bCs/>
                <w:color w:val="000000" w:themeColor="text1"/>
                <w:spacing w:val="-2"/>
                <w:sz w:val="21"/>
                <w:szCs w:val="21"/>
                <w:highlight w:val="none"/>
                <w:lang w:val="en-US" w:eastAsia="zh-CN"/>
                <w14:textFill>
                  <w14:solidFill>
                    <w14:schemeClr w14:val="tx1"/>
                  </w14:solidFill>
                </w14:textFill>
              </w:rPr>
              <w:t>5</w:t>
            </w:r>
            <w:r>
              <w:rPr>
                <w:rFonts w:ascii="Times New Roman" w:hAnsi="Times New Roman" w:cs="Times New Roman"/>
                <w:b/>
                <w:bCs/>
                <w:color w:val="000000" w:themeColor="text1"/>
                <w:spacing w:val="-2"/>
                <w:sz w:val="21"/>
                <w:szCs w:val="21"/>
                <w:highlight w:val="none"/>
                <w:lang w:eastAsia="zh-CN"/>
                <w14:textFill>
                  <w14:solidFill>
                    <w14:schemeClr w14:val="tx1"/>
                  </w14:solidFill>
                </w14:textFill>
              </w:rPr>
              <w:t xml:space="preserve"> </w:t>
            </w:r>
            <w:r>
              <w:rPr>
                <w:rFonts w:hint="eastAsia" w:ascii="Times New Roman" w:hAnsi="Times New Roman" w:cs="Times New Roman"/>
                <w:b/>
                <w:bCs/>
                <w:color w:val="000000" w:themeColor="text1"/>
                <w:spacing w:val="-2"/>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2"/>
                <w:sz w:val="21"/>
                <w:szCs w:val="21"/>
                <w:highlight w:val="none"/>
                <w:lang w:eastAsia="zh-CN"/>
                <w14:textFill>
                  <w14:solidFill>
                    <w14:schemeClr w14:val="tx1"/>
                  </w14:solidFill>
                </w14:textFill>
              </w:rPr>
              <w:t>土石方平衡一览表</w:t>
            </w:r>
          </w:p>
          <w:tbl>
            <w:tblPr>
              <w:tblStyle w:val="21"/>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3"/>
              <w:gridCol w:w="1177"/>
              <w:gridCol w:w="1177"/>
              <w:gridCol w:w="1899"/>
              <w:gridCol w:w="934"/>
              <w:gridCol w:w="942"/>
            </w:tblGrid>
            <w:tr w14:paraId="3B0B2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245" w:type="pct"/>
                  <w:vMerge w:val="restart"/>
                  <w:vAlign w:val="center"/>
                </w:tcPr>
                <w:p w14:paraId="046EB939">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cs="Times New Roman" w:eastAsiaTheme="minorEastAsia"/>
                      <w:b/>
                      <w:bCs/>
                      <w:color w:val="000000" w:themeColor="text1"/>
                      <w:spacing w:val="5"/>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spacing w:val="5"/>
                      <w:sz w:val="21"/>
                      <w:szCs w:val="21"/>
                      <w:highlight w:val="none"/>
                      <w:lang w:val="en-US" w:eastAsia="zh-CN"/>
                      <w14:textFill>
                        <w14:solidFill>
                          <w14:schemeClr w14:val="tx1"/>
                        </w14:solidFill>
                      </w14:textFill>
                    </w:rPr>
                    <w:t>井场名称</w:t>
                  </w:r>
                </w:p>
              </w:tc>
              <w:tc>
                <w:tcPr>
                  <w:tcW w:w="721" w:type="pct"/>
                  <w:vMerge w:val="restart"/>
                  <w:tcBorders>
                    <w:bottom w:val="nil"/>
                  </w:tcBorders>
                  <w:vAlign w:val="center"/>
                </w:tcPr>
                <w:p w14:paraId="582213A7">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8"/>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8"/>
                      <w:sz w:val="21"/>
                      <w:szCs w:val="21"/>
                      <w:highlight w:val="none"/>
                      <w:lang w:eastAsia="zh-CN"/>
                      <w14:textFill>
                        <w14:solidFill>
                          <w14:schemeClr w14:val="tx1"/>
                        </w14:solidFill>
                      </w14:textFill>
                    </w:rPr>
                    <w:t>挖方（m</w:t>
                  </w:r>
                  <w:r>
                    <w:rPr>
                      <w:rFonts w:ascii="Times New Roman" w:hAnsi="Times New Roman" w:cs="Times New Roman" w:eastAsiaTheme="minorEastAsia"/>
                      <w:b/>
                      <w:bCs/>
                      <w:color w:val="000000" w:themeColor="text1"/>
                      <w:spacing w:val="8"/>
                      <w:sz w:val="21"/>
                      <w:szCs w:val="21"/>
                      <w:highlight w:val="none"/>
                      <w:vertAlign w:val="superscript"/>
                      <w:lang w:eastAsia="zh-CN"/>
                      <w14:textFill>
                        <w14:solidFill>
                          <w14:schemeClr w14:val="tx1"/>
                        </w14:solidFill>
                      </w14:textFill>
                    </w:rPr>
                    <w:t>3</w:t>
                  </w:r>
                  <w:r>
                    <w:rPr>
                      <w:rFonts w:ascii="Times New Roman" w:hAnsi="Times New Roman" w:cs="Times New Roman" w:eastAsiaTheme="minorEastAsia"/>
                      <w:b/>
                      <w:bCs/>
                      <w:color w:val="000000" w:themeColor="text1"/>
                      <w:spacing w:val="8"/>
                      <w:sz w:val="21"/>
                      <w:szCs w:val="21"/>
                      <w:highlight w:val="none"/>
                      <w:lang w:eastAsia="zh-CN"/>
                      <w14:textFill>
                        <w14:solidFill>
                          <w14:schemeClr w14:val="tx1"/>
                        </w14:solidFill>
                      </w14:textFill>
                    </w:rPr>
                    <w:t>）</w:t>
                  </w:r>
                </w:p>
              </w:tc>
              <w:tc>
                <w:tcPr>
                  <w:tcW w:w="721" w:type="pct"/>
                  <w:vMerge w:val="restart"/>
                  <w:tcBorders>
                    <w:bottom w:val="nil"/>
                  </w:tcBorders>
                  <w:vAlign w:val="center"/>
                </w:tcPr>
                <w:p w14:paraId="2012AA95">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8"/>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8"/>
                      <w:sz w:val="21"/>
                      <w:szCs w:val="21"/>
                      <w:highlight w:val="none"/>
                      <w:lang w:eastAsia="zh-CN"/>
                      <w14:textFill>
                        <w14:solidFill>
                          <w14:schemeClr w14:val="tx1"/>
                        </w14:solidFill>
                      </w14:textFill>
                    </w:rPr>
                    <w:t>填方（m</w:t>
                  </w:r>
                  <w:r>
                    <w:rPr>
                      <w:rFonts w:ascii="Times New Roman" w:hAnsi="Times New Roman" w:cs="Times New Roman" w:eastAsiaTheme="minorEastAsia"/>
                      <w:b/>
                      <w:bCs/>
                      <w:color w:val="000000" w:themeColor="text1"/>
                      <w:spacing w:val="8"/>
                      <w:sz w:val="21"/>
                      <w:szCs w:val="21"/>
                      <w:highlight w:val="none"/>
                      <w:vertAlign w:val="superscript"/>
                      <w:lang w:eastAsia="zh-CN"/>
                      <w14:textFill>
                        <w14:solidFill>
                          <w14:schemeClr w14:val="tx1"/>
                        </w14:solidFill>
                      </w14:textFill>
                    </w:rPr>
                    <w:t>3</w:t>
                  </w:r>
                  <w:r>
                    <w:rPr>
                      <w:rFonts w:ascii="Times New Roman" w:hAnsi="Times New Roman" w:cs="Times New Roman" w:eastAsiaTheme="minorEastAsia"/>
                      <w:b/>
                      <w:bCs/>
                      <w:color w:val="000000" w:themeColor="text1"/>
                      <w:spacing w:val="8"/>
                      <w:sz w:val="21"/>
                      <w:szCs w:val="21"/>
                      <w:highlight w:val="none"/>
                      <w:lang w:eastAsia="zh-CN"/>
                      <w14:textFill>
                        <w14:solidFill>
                          <w14:schemeClr w14:val="tx1"/>
                        </w14:solidFill>
                      </w14:textFill>
                    </w:rPr>
                    <w:t>）</w:t>
                  </w:r>
                </w:p>
              </w:tc>
              <w:tc>
                <w:tcPr>
                  <w:tcW w:w="1163" w:type="pct"/>
                  <w:vMerge w:val="restart"/>
                  <w:tcBorders>
                    <w:bottom w:val="nil"/>
                  </w:tcBorders>
                  <w:vAlign w:val="center"/>
                </w:tcPr>
                <w:p w14:paraId="0726C6B0">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8"/>
                      <w:sz w:val="21"/>
                      <w:szCs w:val="21"/>
                      <w:highlight w:val="none"/>
                      <w:lang w:eastAsia="zh-CN"/>
                      <w14:textFill>
                        <w14:solidFill>
                          <w14:schemeClr w14:val="tx1"/>
                        </w14:solidFill>
                      </w14:textFill>
                    </w:rPr>
                    <w:t>借方</w:t>
                  </w:r>
                  <w:r>
                    <w:rPr>
                      <w:rFonts w:ascii="Times New Roman" w:hAnsi="Times New Roman" w:cs="Times New Roman" w:eastAsiaTheme="minorEastAsia"/>
                      <w:b/>
                      <w:bCs/>
                      <w:color w:val="000000" w:themeColor="text1"/>
                      <w:spacing w:val="11"/>
                      <w:sz w:val="21"/>
                      <w:szCs w:val="21"/>
                      <w:highlight w:val="none"/>
                      <w:lang w:eastAsia="zh-CN"/>
                      <w14:textFill>
                        <w14:solidFill>
                          <w14:schemeClr w14:val="tx1"/>
                        </w14:solidFill>
                      </w14:textFill>
                    </w:rPr>
                    <w:t>（</w:t>
                  </w:r>
                  <w:r>
                    <w:rPr>
                      <w:rFonts w:ascii="Times New Roman" w:hAnsi="Times New Roman" w:cs="Times New Roman" w:eastAsiaTheme="minorEastAsia"/>
                      <w:b/>
                      <w:bCs/>
                      <w:color w:val="000000" w:themeColor="text1"/>
                      <w:spacing w:val="3"/>
                      <w:sz w:val="21"/>
                      <w:szCs w:val="21"/>
                      <w:highlight w:val="none"/>
                      <w:lang w:eastAsia="zh-CN"/>
                      <w14:textFill>
                        <w14:solidFill>
                          <w14:schemeClr w14:val="tx1"/>
                        </w14:solidFill>
                      </w14:textFill>
                    </w:rPr>
                    <w:t>m</w:t>
                  </w:r>
                  <w:r>
                    <w:rPr>
                      <w:rFonts w:ascii="Times New Roman" w:hAnsi="Times New Roman" w:cs="Times New Roman" w:eastAsiaTheme="minorEastAsia"/>
                      <w:b/>
                      <w:bCs/>
                      <w:color w:val="000000" w:themeColor="text1"/>
                      <w:spacing w:val="3"/>
                      <w:position w:val="6"/>
                      <w:sz w:val="21"/>
                      <w:szCs w:val="21"/>
                      <w:highlight w:val="none"/>
                      <w:vertAlign w:val="superscript"/>
                      <w:lang w:eastAsia="zh-CN"/>
                      <w14:textFill>
                        <w14:solidFill>
                          <w14:schemeClr w14:val="tx1"/>
                        </w14:solidFill>
                      </w14:textFill>
                    </w:rPr>
                    <w:t>3</w:t>
                  </w:r>
                  <w:r>
                    <w:rPr>
                      <w:rFonts w:ascii="Times New Roman" w:hAnsi="Times New Roman" w:cs="Times New Roman" w:eastAsiaTheme="minorEastAsia"/>
                      <w:b/>
                      <w:bCs/>
                      <w:color w:val="000000" w:themeColor="text1"/>
                      <w:spacing w:val="3"/>
                      <w:sz w:val="21"/>
                      <w:szCs w:val="21"/>
                      <w:highlight w:val="none"/>
                      <w:lang w:eastAsia="zh-CN"/>
                      <w14:textFill>
                        <w14:solidFill>
                          <w14:schemeClr w14:val="tx1"/>
                        </w14:solidFill>
                      </w14:textFill>
                    </w:rPr>
                    <w:t>）</w:t>
                  </w:r>
                </w:p>
              </w:tc>
              <w:tc>
                <w:tcPr>
                  <w:tcW w:w="1149" w:type="pct"/>
                  <w:gridSpan w:val="2"/>
                  <w:tcBorders>
                    <w:right w:val="single" w:color="000000" w:sz="4" w:space="0"/>
                  </w:tcBorders>
                  <w:vAlign w:val="center"/>
                </w:tcPr>
                <w:p w14:paraId="75A0F605">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5"/>
                      <w:sz w:val="21"/>
                      <w:szCs w:val="21"/>
                      <w:highlight w:val="none"/>
                      <w:lang w:eastAsia="zh-CN"/>
                      <w14:textFill>
                        <w14:solidFill>
                          <w14:schemeClr w14:val="tx1"/>
                        </w14:solidFill>
                      </w14:textFill>
                    </w:rPr>
                    <w:t>弃方（m</w:t>
                  </w:r>
                  <w:r>
                    <w:rPr>
                      <w:rFonts w:ascii="Times New Roman" w:hAnsi="Times New Roman" w:cs="Times New Roman" w:eastAsiaTheme="minorEastAsia"/>
                      <w:b/>
                      <w:bCs/>
                      <w:color w:val="000000" w:themeColor="text1"/>
                      <w:spacing w:val="5"/>
                      <w:sz w:val="21"/>
                      <w:szCs w:val="21"/>
                      <w:highlight w:val="none"/>
                      <w:vertAlign w:val="superscript"/>
                      <w:lang w:eastAsia="zh-CN"/>
                      <w14:textFill>
                        <w14:solidFill>
                          <w14:schemeClr w14:val="tx1"/>
                        </w14:solidFill>
                      </w14:textFill>
                    </w:rPr>
                    <w:t>3</w:t>
                  </w:r>
                  <w:r>
                    <w:rPr>
                      <w:rFonts w:ascii="Times New Roman" w:hAnsi="Times New Roman" w:cs="Times New Roman" w:eastAsiaTheme="minorEastAsia"/>
                      <w:b/>
                      <w:bCs/>
                      <w:color w:val="000000" w:themeColor="text1"/>
                      <w:spacing w:val="5"/>
                      <w:sz w:val="21"/>
                      <w:szCs w:val="21"/>
                      <w:highlight w:val="none"/>
                      <w:lang w:eastAsia="zh-CN"/>
                      <w14:textFill>
                        <w14:solidFill>
                          <w14:schemeClr w14:val="tx1"/>
                        </w14:solidFill>
                      </w14:textFill>
                    </w:rPr>
                    <w:t>）</w:t>
                  </w:r>
                </w:p>
              </w:tc>
            </w:tr>
            <w:tr w14:paraId="14592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245" w:type="pct"/>
                  <w:vMerge w:val="continue"/>
                  <w:vAlign w:val="center"/>
                </w:tcPr>
                <w:p w14:paraId="35910BDF">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highlight w:val="none"/>
                      <w:lang w:eastAsia="zh-CN"/>
                      <w14:textFill>
                        <w14:solidFill>
                          <w14:schemeClr w14:val="tx1"/>
                        </w14:solidFill>
                      </w14:textFill>
                    </w:rPr>
                  </w:pPr>
                </w:p>
              </w:tc>
              <w:tc>
                <w:tcPr>
                  <w:tcW w:w="721" w:type="pct"/>
                  <w:vMerge w:val="continue"/>
                  <w:tcBorders>
                    <w:top w:val="nil"/>
                  </w:tcBorders>
                  <w:vAlign w:val="center"/>
                </w:tcPr>
                <w:p w14:paraId="18813398">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highlight w:val="none"/>
                      <w:lang w:eastAsia="zh-CN"/>
                      <w14:textFill>
                        <w14:solidFill>
                          <w14:schemeClr w14:val="tx1"/>
                        </w14:solidFill>
                      </w14:textFill>
                    </w:rPr>
                  </w:pPr>
                </w:p>
              </w:tc>
              <w:tc>
                <w:tcPr>
                  <w:tcW w:w="721" w:type="pct"/>
                  <w:vMerge w:val="continue"/>
                  <w:tcBorders>
                    <w:top w:val="nil"/>
                  </w:tcBorders>
                  <w:vAlign w:val="center"/>
                </w:tcPr>
                <w:p w14:paraId="2FA50FEF">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highlight w:val="none"/>
                      <w:lang w:eastAsia="zh-CN"/>
                      <w14:textFill>
                        <w14:solidFill>
                          <w14:schemeClr w14:val="tx1"/>
                        </w14:solidFill>
                      </w14:textFill>
                    </w:rPr>
                  </w:pPr>
                </w:p>
              </w:tc>
              <w:tc>
                <w:tcPr>
                  <w:tcW w:w="1163" w:type="pct"/>
                  <w:vMerge w:val="continue"/>
                  <w:tcBorders>
                    <w:top w:val="nil"/>
                  </w:tcBorders>
                  <w:vAlign w:val="center"/>
                </w:tcPr>
                <w:p w14:paraId="6A6102C3">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highlight w:val="none"/>
                      <w:lang w:eastAsia="zh-CN"/>
                      <w14:textFill>
                        <w14:solidFill>
                          <w14:schemeClr w14:val="tx1"/>
                        </w14:solidFill>
                      </w14:textFill>
                    </w:rPr>
                  </w:pPr>
                </w:p>
              </w:tc>
              <w:tc>
                <w:tcPr>
                  <w:tcW w:w="572" w:type="pct"/>
                  <w:vAlign w:val="center"/>
                </w:tcPr>
                <w:p w14:paraId="26B3E2DC">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3"/>
                      <w:sz w:val="21"/>
                      <w:szCs w:val="21"/>
                      <w:highlight w:val="none"/>
                      <w:lang w:eastAsia="zh-CN"/>
                      <w14:textFill>
                        <w14:solidFill>
                          <w14:schemeClr w14:val="tx1"/>
                        </w14:solidFill>
                      </w14:textFill>
                    </w:rPr>
                    <w:t>数量</w:t>
                  </w:r>
                </w:p>
              </w:tc>
              <w:tc>
                <w:tcPr>
                  <w:tcW w:w="576" w:type="pct"/>
                  <w:tcBorders>
                    <w:right w:val="single" w:color="000000" w:sz="4" w:space="0"/>
                  </w:tcBorders>
                  <w:vAlign w:val="center"/>
                </w:tcPr>
                <w:p w14:paraId="5E12DA9A">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3"/>
                      <w:sz w:val="21"/>
                      <w:szCs w:val="21"/>
                      <w:highlight w:val="none"/>
                      <w:lang w:eastAsia="zh-CN"/>
                      <w14:textFill>
                        <w14:solidFill>
                          <w14:schemeClr w14:val="tx1"/>
                        </w14:solidFill>
                      </w14:textFill>
                    </w:rPr>
                    <w:t>去向</w:t>
                  </w:r>
                </w:p>
              </w:tc>
            </w:tr>
            <w:tr w14:paraId="5E27A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245" w:type="pct"/>
                  <w:vAlign w:val="center"/>
                </w:tcPr>
                <w:p w14:paraId="3B3EE705">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cs="Times New Roman" w:eastAsiaTheme="minorEastAsia"/>
                      <w:color w:val="000000" w:themeColor="text1"/>
                      <w:spacing w:val="3"/>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3"/>
                      <w:highlight w:val="none"/>
                      <w:lang w:val="en-US" w:eastAsia="zh-CN"/>
                      <w14:textFill>
                        <w14:solidFill>
                          <w14:schemeClr w14:val="tx1"/>
                        </w14:solidFill>
                      </w14:textFill>
                    </w:rPr>
                    <w:t>吉阜103H井</w:t>
                  </w:r>
                </w:p>
              </w:tc>
              <w:tc>
                <w:tcPr>
                  <w:tcW w:w="1185" w:type="dxa"/>
                  <w:vAlign w:val="center"/>
                </w:tcPr>
                <w:p w14:paraId="77316FF9">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t>1913.1</w:t>
                  </w:r>
                </w:p>
              </w:tc>
              <w:tc>
                <w:tcPr>
                  <w:tcW w:w="721" w:type="pct"/>
                  <w:vAlign w:val="center"/>
                </w:tcPr>
                <w:p w14:paraId="3EA19666">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t>1913.1</w:t>
                  </w:r>
                </w:p>
              </w:tc>
              <w:tc>
                <w:tcPr>
                  <w:tcW w:w="1163" w:type="pct"/>
                  <w:vAlign w:val="center"/>
                </w:tcPr>
                <w:p w14:paraId="5813931B">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8"/>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t>0</w:t>
                  </w:r>
                </w:p>
              </w:tc>
              <w:tc>
                <w:tcPr>
                  <w:tcW w:w="572" w:type="pct"/>
                  <w:vAlign w:val="center"/>
                </w:tcPr>
                <w:p w14:paraId="01FF5AAA">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0</w:t>
                  </w:r>
                </w:p>
              </w:tc>
              <w:tc>
                <w:tcPr>
                  <w:tcW w:w="576" w:type="pct"/>
                  <w:tcBorders>
                    <w:right w:val="single" w:color="000000" w:sz="4" w:space="0"/>
                  </w:tcBorders>
                  <w:vAlign w:val="center"/>
                </w:tcPr>
                <w:p w14:paraId="3C45D5CB">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2"/>
                      <w:highlight w:val="none"/>
                      <w:lang w:eastAsia="zh-CN"/>
                      <w14:textFill>
                        <w14:solidFill>
                          <w14:schemeClr w14:val="tx1"/>
                        </w14:solidFill>
                      </w14:textFill>
                    </w:rPr>
                  </w:pPr>
                  <w:r>
                    <w:rPr>
                      <w:rFonts w:ascii="Times New Roman" w:hAnsi="Times New Roman" w:cs="Times New Roman" w:eastAsiaTheme="minorEastAsia"/>
                      <w:color w:val="000000" w:themeColor="text1"/>
                      <w:spacing w:val="2"/>
                      <w:highlight w:val="none"/>
                      <w:lang w:eastAsia="zh-CN"/>
                      <w14:textFill>
                        <w14:solidFill>
                          <w14:schemeClr w14:val="tx1"/>
                        </w14:solidFill>
                      </w14:textFill>
                    </w:rPr>
                    <w:t>/</w:t>
                  </w:r>
                </w:p>
              </w:tc>
            </w:tr>
            <w:tr w14:paraId="36503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245" w:type="pct"/>
                  <w:vAlign w:val="center"/>
                </w:tcPr>
                <w:p w14:paraId="1E3025DA">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cs="Times New Roman" w:eastAsiaTheme="minorEastAsia"/>
                      <w:color w:val="000000" w:themeColor="text1"/>
                      <w:spacing w:val="3"/>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3"/>
                      <w:highlight w:val="none"/>
                      <w:lang w:val="en-US" w:eastAsia="zh-CN"/>
                      <w14:textFill>
                        <w14:solidFill>
                          <w14:schemeClr w14:val="tx1"/>
                        </w14:solidFill>
                      </w14:textFill>
                    </w:rPr>
                    <w:t>吉阜1001H井</w:t>
                  </w:r>
                </w:p>
              </w:tc>
              <w:tc>
                <w:tcPr>
                  <w:tcW w:w="1185" w:type="dxa"/>
                  <w:vAlign w:val="center"/>
                </w:tcPr>
                <w:p w14:paraId="31857691">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t>2370</w:t>
                  </w:r>
                </w:p>
              </w:tc>
              <w:tc>
                <w:tcPr>
                  <w:tcW w:w="721" w:type="pct"/>
                  <w:vAlign w:val="center"/>
                </w:tcPr>
                <w:p w14:paraId="06D5D2CE">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t>2370</w:t>
                  </w:r>
                </w:p>
              </w:tc>
              <w:tc>
                <w:tcPr>
                  <w:tcW w:w="1163" w:type="pct"/>
                  <w:vAlign w:val="center"/>
                </w:tcPr>
                <w:p w14:paraId="27D2F4A7">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8"/>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t>0</w:t>
                  </w:r>
                </w:p>
              </w:tc>
              <w:tc>
                <w:tcPr>
                  <w:tcW w:w="572" w:type="pct"/>
                  <w:vAlign w:val="center"/>
                </w:tcPr>
                <w:p w14:paraId="5BA3643C">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0</w:t>
                  </w:r>
                </w:p>
              </w:tc>
              <w:tc>
                <w:tcPr>
                  <w:tcW w:w="576" w:type="pct"/>
                  <w:tcBorders>
                    <w:right w:val="single" w:color="000000" w:sz="4" w:space="0"/>
                  </w:tcBorders>
                  <w:vAlign w:val="center"/>
                </w:tcPr>
                <w:p w14:paraId="17831B85">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ascii="Times New Roman" w:hAnsi="Times New Roman" w:cs="Times New Roman" w:eastAsiaTheme="minorEastAsia"/>
                      <w:color w:val="000000" w:themeColor="text1"/>
                      <w:spacing w:val="2"/>
                      <w:highlight w:val="none"/>
                      <w:lang w:eastAsia="zh-CN"/>
                      <w14:textFill>
                        <w14:solidFill>
                          <w14:schemeClr w14:val="tx1"/>
                        </w14:solidFill>
                      </w14:textFill>
                    </w:rPr>
                  </w:pPr>
                  <w:r>
                    <w:rPr>
                      <w:rFonts w:ascii="Times New Roman" w:hAnsi="Times New Roman" w:cs="Times New Roman" w:eastAsiaTheme="minorEastAsia"/>
                      <w:color w:val="000000" w:themeColor="text1"/>
                      <w:spacing w:val="2"/>
                      <w:highlight w:val="none"/>
                      <w:lang w:eastAsia="zh-CN"/>
                      <w14:textFill>
                        <w14:solidFill>
                          <w14:schemeClr w14:val="tx1"/>
                        </w14:solidFill>
                      </w14:textFill>
                    </w:rPr>
                    <w:t>/</w:t>
                  </w:r>
                </w:p>
              </w:tc>
            </w:tr>
            <w:tr w14:paraId="5331E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245" w:type="pct"/>
                  <w:vAlign w:val="center"/>
                </w:tcPr>
                <w:p w14:paraId="2B2808F7">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3"/>
                      <w:highlight w:val="none"/>
                      <w:lang w:eastAsia="zh-CN"/>
                      <w14:textFill>
                        <w14:solidFill>
                          <w14:schemeClr w14:val="tx1"/>
                        </w14:solidFill>
                      </w14:textFill>
                    </w:rPr>
                  </w:pPr>
                  <w:r>
                    <w:rPr>
                      <w:rFonts w:ascii="Times New Roman" w:hAnsi="Times New Roman" w:cs="Times New Roman" w:eastAsiaTheme="minorEastAsia"/>
                      <w:color w:val="000000" w:themeColor="text1"/>
                      <w:spacing w:val="3"/>
                      <w:highlight w:val="none"/>
                      <w:lang w:eastAsia="zh-CN"/>
                      <w14:textFill>
                        <w14:solidFill>
                          <w14:schemeClr w14:val="tx1"/>
                        </w14:solidFill>
                      </w14:textFill>
                    </w:rPr>
                    <w:t>合计</w:t>
                  </w:r>
                </w:p>
              </w:tc>
              <w:tc>
                <w:tcPr>
                  <w:tcW w:w="1185" w:type="dxa"/>
                  <w:vAlign w:val="center"/>
                </w:tcPr>
                <w:p w14:paraId="3D3AF430">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hint="default"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t>4283.1</w:t>
                  </w:r>
                </w:p>
              </w:tc>
              <w:tc>
                <w:tcPr>
                  <w:tcW w:w="721" w:type="pct"/>
                  <w:vAlign w:val="center"/>
                </w:tcPr>
                <w:p w14:paraId="29A462A3">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hint="default"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t>4283.1</w:t>
                  </w:r>
                </w:p>
              </w:tc>
              <w:tc>
                <w:tcPr>
                  <w:tcW w:w="1163" w:type="pct"/>
                  <w:vAlign w:val="center"/>
                </w:tcPr>
                <w:p w14:paraId="787A5C18">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8"/>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pacing w:val="8"/>
                      <w:sz w:val="21"/>
                      <w:szCs w:val="21"/>
                      <w:highlight w:val="none"/>
                      <w:lang w:val="en-US" w:eastAsia="zh-CN"/>
                      <w14:textFill>
                        <w14:solidFill>
                          <w14:schemeClr w14:val="tx1"/>
                        </w14:solidFill>
                      </w14:textFill>
                    </w:rPr>
                    <w:t>0</w:t>
                  </w:r>
                </w:p>
              </w:tc>
              <w:tc>
                <w:tcPr>
                  <w:tcW w:w="572" w:type="pct"/>
                  <w:vAlign w:val="center"/>
                </w:tcPr>
                <w:p w14:paraId="3E1D7ACB">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0</w:t>
                  </w:r>
                </w:p>
              </w:tc>
              <w:tc>
                <w:tcPr>
                  <w:tcW w:w="576" w:type="pct"/>
                  <w:tcBorders>
                    <w:right w:val="single" w:color="000000" w:sz="4" w:space="0"/>
                  </w:tcBorders>
                  <w:vAlign w:val="center"/>
                </w:tcPr>
                <w:p w14:paraId="5F012067">
                  <w:pPr>
                    <w:keepNext w:val="0"/>
                    <w:keepLines w:val="0"/>
                    <w:pageBreakBefore w:val="0"/>
                    <w:widowControl/>
                    <w:kinsoku/>
                    <w:wordWrap/>
                    <w:overflowPunct/>
                    <w:topLinePunct w:val="0"/>
                    <w:autoSpaceDE w:val="0"/>
                    <w:autoSpaceDN w:val="0"/>
                    <w:bidi w:val="0"/>
                    <w:adjustRightInd w:val="0"/>
                    <w:snapToGrid w:val="0"/>
                    <w:spacing w:line="240" w:lineRule="auto"/>
                    <w:ind w:right="0" w:rightChars="0"/>
                    <w:jc w:val="center"/>
                    <w:textAlignment w:val="baseline"/>
                    <w:rPr>
                      <w:rFonts w:ascii="Times New Roman" w:hAnsi="Times New Roman" w:cs="Times New Roman" w:eastAsiaTheme="minorEastAsia"/>
                      <w:color w:val="000000" w:themeColor="text1"/>
                      <w:spacing w:val="2"/>
                      <w:highlight w:val="none"/>
                      <w:lang w:eastAsia="zh-CN"/>
                      <w14:textFill>
                        <w14:solidFill>
                          <w14:schemeClr w14:val="tx1"/>
                        </w14:solidFill>
                      </w14:textFill>
                    </w:rPr>
                  </w:pPr>
                  <w:r>
                    <w:rPr>
                      <w:rFonts w:ascii="Times New Roman" w:hAnsi="Times New Roman" w:cs="Times New Roman" w:eastAsiaTheme="minorEastAsia"/>
                      <w:color w:val="000000" w:themeColor="text1"/>
                      <w:spacing w:val="2"/>
                      <w:highlight w:val="none"/>
                      <w:lang w:eastAsia="zh-CN"/>
                      <w14:textFill>
                        <w14:solidFill>
                          <w14:schemeClr w14:val="tx1"/>
                        </w14:solidFill>
                      </w14:textFill>
                    </w:rPr>
                    <w:t>/</w:t>
                  </w:r>
                </w:p>
              </w:tc>
            </w:tr>
          </w:tbl>
          <w:p w14:paraId="4C487685">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ascii="Times New Roman" w:hAnsi="Times New Roman" w:cs="Times New Roman"/>
                <w:b/>
                <w:bCs/>
                <w:color w:val="000000" w:themeColor="text1"/>
                <w:sz w:val="24"/>
                <w:szCs w:val="24"/>
                <w:highlight w:val="none"/>
                <w:lang w:eastAsia="zh-CN" w:bidi="ar"/>
                <w14:textFill>
                  <w14:solidFill>
                    <w14:schemeClr w14:val="tx1"/>
                  </w14:solidFill>
                </w14:textFill>
              </w:rPr>
            </w:pPr>
            <w:r>
              <w:rPr>
                <w:rFonts w:ascii="Times New Roman" w:hAnsi="Times New Roman" w:cs="Times New Roman"/>
                <w:b/>
                <w:bCs/>
                <w:color w:val="000000" w:themeColor="text1"/>
                <w:sz w:val="24"/>
                <w:szCs w:val="24"/>
                <w:highlight w:val="none"/>
                <w:lang w:eastAsia="zh-CN" w:bidi="ar"/>
                <w14:textFill>
                  <w14:solidFill>
                    <w14:schemeClr w14:val="tx1"/>
                  </w14:solidFill>
                </w14:textFill>
              </w:rPr>
              <w:t>6.防渗设计</w:t>
            </w:r>
          </w:p>
          <w:p w14:paraId="12F7AEA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76" w:firstLineChars="200"/>
              <w:jc w:val="both"/>
              <w:textAlignment w:val="baseline"/>
              <w:rPr>
                <w:rFonts w:ascii="Times New Roman" w:hAnsi="Times New Roman" w:cs="Times New Roman"/>
                <w:color w:val="000000" w:themeColor="text1"/>
                <w:spacing w:val="-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本项目钻井井场柴油罐区、岩屑储罐</w:t>
            </w:r>
            <w:r>
              <w:rPr>
                <w:rFonts w:ascii="Times New Roman" w:hAnsi="Times New Roman" w:cs="Times New Roman"/>
                <w:color w:val="000000" w:themeColor="text1"/>
                <w:sz w:val="24"/>
                <w:szCs w:val="24"/>
                <w:highlight w:val="none"/>
                <w:lang w:eastAsia="zh-CN"/>
                <w14:textFill>
                  <w14:solidFill>
                    <w14:schemeClr w14:val="tx1"/>
                  </w14:solidFill>
                </w14:textFill>
              </w:rPr>
              <w:t>及其油品储存区采取重点防渗，参照《危险废物贮存污染控制标准》（</w:t>
            </w:r>
            <w:r>
              <w:rPr>
                <w:rFonts w:ascii="Times New Roman" w:hAnsi="Times New Roman" w:eastAsia="Times New Roman" w:cs="Times New Roman"/>
                <w:color w:val="000000" w:themeColor="text1"/>
                <w:spacing w:val="-1"/>
                <w:sz w:val="24"/>
                <w:szCs w:val="24"/>
                <w:highlight w:val="none"/>
                <w:lang w:eastAsia="zh-CN"/>
                <w14:textFill>
                  <w14:solidFill>
                    <w14:schemeClr w14:val="tx1"/>
                  </w14:solidFill>
                </w14:textFill>
              </w:rPr>
              <w:t>GB18597-2023</w:t>
            </w:r>
            <w:r>
              <w:rPr>
                <w:rFonts w:ascii="Times New Roman" w:hAnsi="Times New Roman" w:cs="Times New Roman"/>
                <w:color w:val="000000" w:themeColor="text1"/>
                <w:spacing w:val="-1"/>
                <w:sz w:val="24"/>
                <w:szCs w:val="24"/>
                <w:highlight w:val="none"/>
                <w:lang w:eastAsia="zh-CN"/>
                <w14:textFill>
                  <w14:solidFill>
                    <w14:schemeClr w14:val="tx1"/>
                  </w14:solidFill>
                </w14:textFill>
              </w:rPr>
              <w:t>）中相应防渗要求进行防渗；材料房、配电房、录井房、地质房等采取简单</w:t>
            </w:r>
            <w:r>
              <w:rPr>
                <w:rFonts w:ascii="Times New Roman" w:hAnsi="Times New Roman" w:cs="Times New Roman"/>
                <w:color w:val="000000" w:themeColor="text1"/>
                <w:spacing w:val="-2"/>
                <w:sz w:val="24"/>
                <w:szCs w:val="24"/>
                <w:highlight w:val="none"/>
                <w:lang w:eastAsia="zh-CN"/>
                <w14:textFill>
                  <w14:solidFill>
                    <w14:schemeClr w14:val="tx1"/>
                  </w14:solidFill>
                </w14:textFill>
              </w:rPr>
              <w:t>防渗要求，具体防渗措施为铺垫戈壁料，碾压平整</w:t>
            </w:r>
            <w:r>
              <w:rPr>
                <w:rFonts w:ascii="Times New Roman" w:hAnsi="Times New Roman" w:cs="Times New Roman"/>
                <w:color w:val="000000" w:themeColor="text1"/>
                <w:spacing w:val="-1"/>
                <w:sz w:val="24"/>
                <w:szCs w:val="24"/>
                <w:highlight w:val="none"/>
                <w:lang w:eastAsia="zh-CN"/>
                <w14:textFill>
                  <w14:solidFill>
                    <w14:schemeClr w14:val="tx1"/>
                  </w14:solidFill>
                </w14:textFill>
              </w:rPr>
              <w:t>。</w:t>
            </w:r>
          </w:p>
        </w:tc>
      </w:tr>
      <w:tr w14:paraId="2F63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7CDE47EC">
            <w:pPr>
              <w:widowControl w:val="0"/>
              <w:kinsoku/>
              <w:spacing w:line="360" w:lineRule="auto"/>
              <w:jc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施工方案</w:t>
            </w:r>
          </w:p>
        </w:tc>
        <w:tc>
          <w:tcPr>
            <w:tcW w:w="8387" w:type="dxa"/>
          </w:tcPr>
          <w:p w14:paraId="767A214A">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7"/>
                <w:sz w:val="24"/>
                <w:szCs w:val="24"/>
                <w:highlight w:val="none"/>
                <w:lang w:eastAsia="zh-CN"/>
                <w14:textFill>
                  <w14:solidFill>
                    <w14:schemeClr w14:val="tx1"/>
                  </w14:solidFill>
                </w14:textFill>
              </w:rPr>
              <w:t>工艺流程简述（图示</w:t>
            </w:r>
            <w:r>
              <w:rPr>
                <w:rFonts w:ascii="Times New Roman" w:hAnsi="Times New Roman" w:cs="Times New Roman"/>
                <w:b/>
                <w:bCs/>
                <w:color w:val="000000" w:themeColor="text1"/>
                <w:spacing w:val="-1"/>
                <w:sz w:val="24"/>
                <w:szCs w:val="24"/>
                <w:highlight w:val="none"/>
                <w:lang w:eastAsia="zh-CN"/>
                <w14:textFill>
                  <w14:solidFill>
                    <w14:schemeClr w14:val="tx1"/>
                  </w14:solidFill>
                </w14:textFill>
              </w:rPr>
              <w:t>）：</w:t>
            </w:r>
          </w:p>
          <w:p w14:paraId="465C1E2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92"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3"/>
                <w:sz w:val="24"/>
                <w:szCs w:val="24"/>
                <w:highlight w:val="none"/>
                <w:lang w:eastAsia="zh-CN"/>
                <w14:textFill>
                  <w14:solidFill>
                    <w14:schemeClr w14:val="tx1"/>
                  </w14:solidFill>
                </w14:textFill>
              </w:rPr>
              <w:t>本项目包括钻井及试油工程，其中单井</w:t>
            </w:r>
            <w:r>
              <w:rPr>
                <w:rFonts w:ascii="Times New Roman" w:hAnsi="Times New Roman" w:cs="Times New Roman"/>
                <w:color w:val="000000" w:themeColor="text1"/>
                <w:spacing w:val="-1"/>
                <w:sz w:val="24"/>
                <w:szCs w:val="24"/>
                <w:highlight w:val="none"/>
                <w:lang w:eastAsia="zh-CN"/>
                <w14:textFill>
                  <w14:solidFill>
                    <w14:schemeClr w14:val="tx1"/>
                  </w14:solidFill>
                </w14:textFill>
              </w:rPr>
              <w:t>钻井期为90天，</w:t>
            </w:r>
            <w:r>
              <w:rPr>
                <w:rFonts w:ascii="Times New Roman" w:hAnsi="Times New Roman" w:cs="Times New Roman"/>
                <w:color w:val="000000" w:themeColor="text1"/>
                <w:spacing w:val="3"/>
                <w:sz w:val="24"/>
                <w:szCs w:val="24"/>
                <w:highlight w:val="none"/>
                <w:lang w:eastAsia="zh-CN"/>
                <w14:textFill>
                  <w14:solidFill>
                    <w14:schemeClr w14:val="tx1"/>
                  </w14:solidFill>
                </w14:textFill>
              </w:rPr>
              <w:t>试油期300天。</w:t>
            </w:r>
          </w:p>
          <w:p w14:paraId="56FC9069">
            <w:pPr>
              <w:pStyle w:val="22"/>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left="0"/>
              <w:jc w:val="both"/>
              <w:textAlignment w:val="baseline"/>
              <w:rPr>
                <w:rFonts w:ascii="Times New Roman" w:hAnsi="Times New Roman" w:cs="Times New Roman"/>
                <w:b/>
                <w:bCs/>
                <w:color w:val="000000" w:themeColor="text1"/>
                <w:spacing w:val="-8"/>
                <w:sz w:val="24"/>
                <w:szCs w:val="24"/>
                <w:highlight w:val="none"/>
                <w14:textFill>
                  <w14:solidFill>
                    <w14:schemeClr w14:val="tx1"/>
                  </w14:solidFill>
                </w14:textFill>
              </w:rPr>
            </w:pPr>
            <w:r>
              <w:rPr>
                <w:rFonts w:ascii="Times New Roman" w:hAnsi="Times New Roman" w:cs="Times New Roman"/>
                <w:b/>
                <w:bCs/>
                <w:color w:val="000000" w:themeColor="text1"/>
                <w:spacing w:val="-8"/>
                <w:sz w:val="24"/>
                <w:szCs w:val="24"/>
                <w:highlight w:val="none"/>
                <w14:textFill>
                  <w14:solidFill>
                    <w14:schemeClr w14:val="tx1"/>
                  </w14:solidFill>
                </w14:textFill>
              </w:rPr>
              <w:t>钻井工艺流程</w:t>
            </w:r>
          </w:p>
          <w:p w14:paraId="323CDD5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92" w:firstLineChars="200"/>
              <w:jc w:val="both"/>
              <w:textAlignment w:val="baseline"/>
              <w:rPr>
                <w:rFonts w:ascii="Times New Roman" w:hAnsi="Times New Roman" w:cs="Times New Roman"/>
                <w:color w:val="000000" w:themeColor="text1"/>
                <w:spacing w:val="3"/>
                <w:sz w:val="24"/>
                <w:szCs w:val="24"/>
                <w:highlight w:val="none"/>
                <w:lang w:eastAsia="zh-CN"/>
                <w14:textFill>
                  <w14:solidFill>
                    <w14:schemeClr w14:val="tx1"/>
                  </w14:solidFill>
                </w14:textFill>
              </w:rPr>
            </w:pPr>
            <w:r>
              <w:rPr>
                <w:rFonts w:ascii="Times New Roman" w:hAnsi="Times New Roman" w:cs="Times New Roman"/>
                <w:color w:val="000000" w:themeColor="text1"/>
                <w:spacing w:val="3"/>
                <w:sz w:val="24"/>
                <w:szCs w:val="24"/>
                <w:highlight w:val="none"/>
                <w:lang w:eastAsia="zh-CN"/>
                <w14:textFill>
                  <w14:solidFill>
                    <w14:schemeClr w14:val="tx1"/>
                  </w14:solidFill>
                </w14:textFill>
              </w:rPr>
              <w:t>项目钻井工艺流程及其产污节点图见图2-4。</w:t>
            </w:r>
          </w:p>
          <w:p w14:paraId="64053517">
            <w:pPr>
              <w:pStyle w:val="22"/>
              <w:keepNext w:val="0"/>
              <w:keepLines w:val="0"/>
              <w:pageBreakBefore w:val="0"/>
              <w:widowControl w:val="0"/>
              <w:kinsoku/>
              <w:wordWrap/>
              <w:overflowPunct/>
              <w:topLinePunct w:val="0"/>
              <w:autoSpaceDE w:val="0"/>
              <w:autoSpaceDN w:val="0"/>
              <w:bidi w:val="0"/>
              <w:adjustRightInd w:val="0"/>
              <w:snapToGrid w:val="0"/>
              <w:ind w:left="0" w:firstLine="0" w:firstLineChars="0"/>
              <w:jc w:val="center"/>
              <w:textAlignment w:val="baseline"/>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position w:val="-66"/>
                <w:highlight w:val="none"/>
                <w14:textFill>
                  <w14:solidFill>
                    <w14:schemeClr w14:val="tx1"/>
                  </w14:solidFill>
                </w14:textFill>
              </w:rPr>
              <w:drawing>
                <wp:inline distT="0" distB="0" distL="0" distR="0">
                  <wp:extent cx="4810760" cy="2095500"/>
                  <wp:effectExtent l="0" t="0" r="8890" b="0"/>
                  <wp:docPr id="40" name="IM 26"/>
                  <wp:cNvGraphicFramePr/>
                  <a:graphic xmlns:a="http://schemas.openxmlformats.org/drawingml/2006/main">
                    <a:graphicData uri="http://schemas.openxmlformats.org/drawingml/2006/picture">
                      <pic:pic xmlns:pic="http://schemas.openxmlformats.org/drawingml/2006/picture">
                        <pic:nvPicPr>
                          <pic:cNvPr id="40" name="IM 26"/>
                          <pic:cNvPicPr/>
                        </pic:nvPicPr>
                        <pic:blipFill>
                          <a:blip r:embed="rId13"/>
                          <a:stretch>
                            <a:fillRect/>
                          </a:stretch>
                        </pic:blipFill>
                        <pic:spPr>
                          <a:xfrm>
                            <a:off x="0" y="0"/>
                            <a:ext cx="4811267" cy="2095500"/>
                          </a:xfrm>
                          <a:prstGeom prst="rect">
                            <a:avLst/>
                          </a:prstGeom>
                        </pic:spPr>
                      </pic:pic>
                    </a:graphicData>
                  </a:graphic>
                </wp:inline>
              </w:drawing>
            </w:r>
          </w:p>
          <w:p w14:paraId="36D29A4F">
            <w:pPr>
              <w:pStyle w:val="22"/>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pacing w:val="4"/>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4"/>
                <w:sz w:val="21"/>
                <w:szCs w:val="21"/>
                <w:highlight w:val="none"/>
                <w:lang w:eastAsia="zh-CN"/>
                <w14:textFill>
                  <w14:solidFill>
                    <w14:schemeClr w14:val="tx1"/>
                  </w14:solidFill>
                </w14:textFill>
              </w:rPr>
              <w:t xml:space="preserve">图2-4 </w:t>
            </w:r>
            <w:r>
              <w:rPr>
                <w:rFonts w:hint="eastAsia" w:ascii="Times New Roman" w:hAnsi="Times New Roman" w:cs="Times New Roman"/>
                <w:b/>
                <w:bCs/>
                <w:color w:val="000000" w:themeColor="text1"/>
                <w:spacing w:val="4"/>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4"/>
                <w:sz w:val="21"/>
                <w:szCs w:val="21"/>
                <w:highlight w:val="none"/>
                <w:lang w:eastAsia="zh-CN"/>
                <w14:textFill>
                  <w14:solidFill>
                    <w14:schemeClr w14:val="tx1"/>
                  </w14:solidFill>
                </w14:textFill>
              </w:rPr>
              <w:t>钻井工艺流程及产污节点图</w:t>
            </w:r>
          </w:p>
          <w:p w14:paraId="07D3B600">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钻井工程包括：钻前作业、设备进场，钻井施工、试油作业、地貌恢复。</w:t>
            </w:r>
          </w:p>
          <w:p w14:paraId="5FF9E10F">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1.1钻前</w:t>
            </w:r>
            <w:r>
              <w:rPr>
                <w:rFonts w:ascii="Times New Roman" w:hAnsi="Times New Roman" w:cs="Times New Roman"/>
                <w:b/>
                <w:bCs/>
                <w:color w:val="000000" w:themeColor="text1"/>
                <w:spacing w:val="-4"/>
                <w:sz w:val="24"/>
                <w:szCs w:val="24"/>
                <w:highlight w:val="none"/>
                <w:lang w:eastAsia="zh-CN"/>
                <w14:textFill>
                  <w14:solidFill>
                    <w14:schemeClr w14:val="tx1"/>
                  </w14:solidFill>
                </w14:textFill>
              </w:rPr>
              <w:t>作业</w:t>
            </w:r>
          </w:p>
          <w:p w14:paraId="103BEC1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（1）钻前整理场地，并保证全套钻井设备达到相关的安装标准。</w:t>
            </w:r>
          </w:p>
          <w:p w14:paraId="65DD20EB">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（2）在钻机安装的过程中，注意保护井口设备。</w:t>
            </w:r>
          </w:p>
          <w:p w14:paraId="6F44CD2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（3）要求天车、转盘、井口三点成一条铅垂线，误差小于10mm；确保在施工过程中不偏磨井口套管及井控设备。</w:t>
            </w:r>
          </w:p>
          <w:p w14:paraId="3D7F660D">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（4）设备运转正常，安全装置灵活好用。各种仪器仪表准确灵敏好用。</w:t>
            </w:r>
          </w:p>
          <w:p w14:paraId="5B7AD79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（5）地面高压管线用清水按标准试压。</w:t>
            </w:r>
          </w:p>
          <w:p w14:paraId="12AC9D2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（6）钻具在入井前必须用通径规通径。</w:t>
            </w:r>
          </w:p>
          <w:p w14:paraId="0315EC5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（7）对所有的下井钻具进行外观检查和超声波探伤，准确丈量钻具，钻具记录上注明内外径、扣型，特殊工具要画草图。</w:t>
            </w:r>
          </w:p>
          <w:p w14:paraId="7B17784C">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（8）修建进场道路。</w:t>
            </w:r>
          </w:p>
          <w:p w14:paraId="4E6F0781">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1.2钻井施工</w:t>
            </w:r>
          </w:p>
          <w:p w14:paraId="147FAF1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钻井是采用旋转的钻头给所钻的地层一定的压力，使钻头的牙齿嵌入地层，然后旋转钻头，利用旋转钻头的扭矩来切削地层，并用循环的钻井液将钻屑带出井眼，以保证持续钻井。</w:t>
            </w:r>
            <w:r>
              <w:rPr>
                <w:rFonts w:ascii="Times New Roman" w:hAnsi="Times New Roman" w:cs="Times New Roman"/>
                <w:color w:val="000000" w:themeColor="text1"/>
                <w:sz w:val="24"/>
                <w:szCs w:val="24"/>
                <w:highlight w:val="none"/>
                <w14:textFill>
                  <w14:solidFill>
                    <w14:schemeClr w14:val="tx1"/>
                  </w14:solidFill>
                </w14:textFill>
              </w:rPr>
              <w:t>钻井施工作业流程及排污节点见图2-</w:t>
            </w:r>
            <w:r>
              <w:rPr>
                <w:rFonts w:ascii="Times New Roman" w:hAnsi="Times New Roman" w:cs="Times New Roman"/>
                <w:color w:val="000000" w:themeColor="text1"/>
                <w:sz w:val="24"/>
                <w:szCs w:val="24"/>
                <w:highlight w:val="none"/>
                <w:lang w:eastAsia="zh-CN"/>
                <w14:textFill>
                  <w14:solidFill>
                    <w14:schemeClr w14:val="tx1"/>
                  </w14:solidFill>
                </w14:textFill>
              </w:rPr>
              <w:t>5</w:t>
            </w:r>
            <w:r>
              <w:rPr>
                <w:rFonts w:ascii="Times New Roman" w:hAnsi="Times New Roman" w:cs="Times New Roman"/>
                <w:color w:val="000000" w:themeColor="text1"/>
                <w:sz w:val="24"/>
                <w:szCs w:val="24"/>
                <w:highlight w:val="none"/>
                <w14:textFill>
                  <w14:solidFill>
                    <w14:schemeClr w14:val="tx1"/>
                  </w14:solidFill>
                </w14:textFill>
              </w:rPr>
              <w:t>。</w:t>
            </w:r>
          </w:p>
          <w:p w14:paraId="016BD26E">
            <w:pPr>
              <w:pStyle w:val="22"/>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baseline"/>
              <w:rPr>
                <w:rFonts w:ascii="Times New Roman" w:hAnsi="Times New Roman" w:cs="Times New Roman"/>
                <w:b/>
                <w:bCs/>
                <w:color w:val="000000" w:themeColor="text1"/>
                <w:sz w:val="24"/>
                <w:szCs w:val="24"/>
                <w:highlight w:val="none"/>
                <w14:textFill>
                  <w14:solidFill>
                    <w14:schemeClr w14:val="tx1"/>
                  </w14:solidFill>
                </w14:textFill>
              </w:rPr>
            </w:pPr>
            <w:r>
              <w:rPr>
                <w:rFonts w:ascii="Times New Roman" w:hAnsi="Times New Roman" w:cs="Times New Roman"/>
                <w:color w:val="000000" w:themeColor="text1"/>
                <w:position w:val="-68"/>
                <w:highlight w:val="none"/>
                <w14:textFill>
                  <w14:solidFill>
                    <w14:schemeClr w14:val="tx1"/>
                  </w14:solidFill>
                </w14:textFill>
              </w:rPr>
              <w:drawing>
                <wp:inline distT="0" distB="0" distL="0" distR="0">
                  <wp:extent cx="3585845" cy="2179320"/>
                  <wp:effectExtent l="0" t="0" r="14605" b="1143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4"/>
                          <a:stretch>
                            <a:fillRect/>
                          </a:stretch>
                        </pic:blipFill>
                        <pic:spPr>
                          <a:xfrm>
                            <a:off x="0" y="0"/>
                            <a:ext cx="3585971" cy="2179320"/>
                          </a:xfrm>
                          <a:prstGeom prst="rect">
                            <a:avLst/>
                          </a:prstGeom>
                        </pic:spPr>
                      </pic:pic>
                    </a:graphicData>
                  </a:graphic>
                </wp:inline>
              </w:drawing>
            </w:r>
          </w:p>
          <w:p w14:paraId="207482BB">
            <w:pPr>
              <w:pStyle w:val="22"/>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6"/>
                <w:sz w:val="21"/>
                <w:szCs w:val="21"/>
                <w:highlight w:val="none"/>
                <w:lang w:eastAsia="zh-CN"/>
                <w14:textFill>
                  <w14:solidFill>
                    <w14:schemeClr w14:val="tx1"/>
                  </w14:solidFill>
                </w14:textFill>
              </w:rPr>
              <w:t xml:space="preserve">图2-5 </w:t>
            </w:r>
            <w:r>
              <w:rPr>
                <w:rFonts w:hint="eastAsia" w:ascii="Times New Roman" w:hAnsi="Times New Roman" w:cs="Times New Roman"/>
                <w:b/>
                <w:bCs/>
                <w:color w:val="000000" w:themeColor="text1"/>
                <w:spacing w:val="6"/>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6"/>
                <w:sz w:val="21"/>
                <w:szCs w:val="21"/>
                <w:highlight w:val="none"/>
                <w:lang w:eastAsia="zh-CN"/>
                <w14:textFill>
                  <w14:solidFill>
                    <w14:schemeClr w14:val="tx1"/>
                  </w14:solidFill>
                </w14:textFill>
              </w:rPr>
              <w:t>钻井施工作业流程及产污节点图</w:t>
            </w:r>
          </w:p>
          <w:p w14:paraId="38492141">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钻井时井筒排出的钻井泥浆及岩屑进入泥浆不落地循环系统，随后用专用车辆拉至环保处置单位集中处理。</w:t>
            </w:r>
          </w:p>
          <w:p w14:paraId="4148529A">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1.3固井作业</w:t>
            </w:r>
          </w:p>
          <w:p w14:paraId="0E95C6B3">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固井是在已钻成的井眼内下入套管，然后在套管与井壁之间环空内注入水泥浆将套管和地层固结在一起的工艺过程，可防止复杂情况以保证安全继续钻进下一段井眼或保证顺利开采生产层中的油、气。</w:t>
            </w:r>
          </w:p>
          <w:p w14:paraId="22F471F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固井工程包括下套管和注水泥两个过程。下套管就是在已经钻成的井眼中按规定深度下入一定直径、由某种或几种不同钢级及壁厚的套管组成的套管柱。注水泥就是在地面上将水泥浆通过套管柱</w:t>
            </w:r>
            <w:r>
              <w:rPr>
                <w:rFonts w:hint="eastAsia" w:ascii="Times New Roman" w:hAnsi="Times New Roman" w:cs="Times New Roman"/>
                <w:color w:val="000000" w:themeColor="text1"/>
                <w:sz w:val="24"/>
                <w:szCs w:val="24"/>
                <w:highlight w:val="none"/>
                <w:lang w:eastAsia="zh-CN"/>
                <w14:textFill>
                  <w14:solidFill>
                    <w14:schemeClr w14:val="tx1"/>
                  </w14:solidFill>
                </w14:textFill>
              </w:rPr>
              <w:t>注入</w:t>
            </w:r>
            <w:r>
              <w:rPr>
                <w:rFonts w:ascii="Times New Roman" w:hAnsi="Times New Roman" w:cs="Times New Roman"/>
                <w:color w:val="000000" w:themeColor="text1"/>
                <w:sz w:val="24"/>
                <w:szCs w:val="24"/>
                <w:highlight w:val="none"/>
                <w:lang w:eastAsia="zh-CN"/>
                <w14:textFill>
                  <w14:solidFill>
                    <w14:schemeClr w14:val="tx1"/>
                  </w14:solidFill>
                </w14:textFill>
              </w:rPr>
              <w:t>井眼与套管柱之间的环形空间中的过程。固井的主要目的是封隔疏松的易塌、易漏地层；封隔油、气、水层，防止互相窜漏。固井作业的主要设备有水泥搅拌机、下灰罐车、混合漏斗和其他附属安全防喷设备等。</w:t>
            </w:r>
          </w:p>
          <w:p w14:paraId="16C48EEF">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另外，现场施工前根据实际情况要做水泥浆配方及性能复核试验，同时，如果是钻井中井漏严重，则应考虑采用双凝水泥浆体系固井，从而提高固井质量，防止因为井漏事故造成地下水环境污染。</w:t>
            </w:r>
          </w:p>
          <w:p w14:paraId="0DAC32E1">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2.试油作业</w:t>
            </w:r>
          </w:p>
          <w:p w14:paraId="2228A33A">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在钻井施工完毕后对目的层进行试油作业。主要包括试油准备、储层改造和试油。</w:t>
            </w:r>
          </w:p>
          <w:p w14:paraId="0C0AB879">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2.1试油准备</w:t>
            </w:r>
          </w:p>
          <w:p w14:paraId="1253A99D">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试油准备主要进行通井、洗井和试压工作。通井时用钻杆或油管带通井规下入井内，检查套管是否有影响试油工具通过的弯曲和固体物质等；洗井使用泵注设备，利用洗井液，通过井内管柱内外循环，清除套管壁杂物等；试压用气体或液体介质，对地面流程、井口设备、井下套管等进行耐压程度检验。</w:t>
            </w:r>
          </w:p>
          <w:p w14:paraId="2E9EB398">
            <w:pPr>
              <w:pStyle w:val="22"/>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2.2储层改造</w:t>
            </w:r>
          </w:p>
          <w:p w14:paraId="195C939B">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储层改造包括射孔和压裂两个工序。射孔时利用专用设备和射孔枪，对套管和井壁进行射孔，建立地层与井筒之间的通道；射孔方式为：桥射联作；压裂时用泵车将压裂液挤入油层，当把油层压出许多裂缝后加入支撑剂（如石英砂等），使其充填进裂缝，可有效提高油气层的渗透能力。停泵后，压裂返排液自喷返排至地面专用废液收集罐中，拉运至</w:t>
            </w:r>
            <w:r>
              <w:rPr>
                <w:rFonts w:hint="eastAsia" w:ascii="Times New Roman" w:hAnsi="Times New Roman" w:cs="Times New Roman"/>
                <w:color w:val="000000" w:themeColor="text1"/>
                <w:sz w:val="24"/>
                <w:szCs w:val="24"/>
                <w:highlight w:val="none"/>
                <w:lang w:eastAsia="zh-CN"/>
                <w14:textFill>
                  <w14:solidFill>
                    <w14:schemeClr w14:val="tx1"/>
                  </w14:solidFill>
                </w14:textFill>
              </w:rPr>
              <w:t>吉康</w:t>
            </w:r>
            <w:r>
              <w:rPr>
                <w:rFonts w:ascii="Times New Roman" w:hAnsi="Times New Roman" w:cs="Times New Roman"/>
                <w:color w:val="000000" w:themeColor="text1"/>
                <w:sz w:val="24"/>
                <w:szCs w:val="24"/>
                <w:highlight w:val="none"/>
                <w:lang w:eastAsia="zh-CN"/>
                <w14:textFill>
                  <w14:solidFill>
                    <w14:schemeClr w14:val="tx1"/>
                  </w14:solidFill>
                </w14:textFill>
              </w:rPr>
              <w:t>脱水站污水处理系统处理。</w:t>
            </w:r>
          </w:p>
          <w:p w14:paraId="0F975C6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其中压裂工艺具体为：泵注桥塞射孔连作→压裂→焖井→排液→测试生产。</w:t>
            </w:r>
          </w:p>
          <w:p w14:paraId="3CC1A78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项目压裂作业工艺流程及其产污环节图见图2-6。</w:t>
            </w:r>
          </w:p>
          <w:p w14:paraId="6C43B489">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drawing>
                <wp:inline distT="0" distB="0" distL="114300" distR="114300">
                  <wp:extent cx="4613275" cy="1137920"/>
                  <wp:effectExtent l="0" t="0" r="15875" b="5080"/>
                  <wp:docPr id="5" name="图片 5" descr="压裂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压裂工艺"/>
                          <pic:cNvPicPr>
                            <a:picLocks noChangeAspect="1"/>
                          </pic:cNvPicPr>
                        </pic:nvPicPr>
                        <pic:blipFill>
                          <a:blip r:embed="rId15"/>
                          <a:stretch>
                            <a:fillRect/>
                          </a:stretch>
                        </pic:blipFill>
                        <pic:spPr>
                          <a:xfrm>
                            <a:off x="0" y="0"/>
                            <a:ext cx="4613275" cy="1137920"/>
                          </a:xfrm>
                          <a:prstGeom prst="rect">
                            <a:avLst/>
                          </a:prstGeom>
                        </pic:spPr>
                      </pic:pic>
                    </a:graphicData>
                  </a:graphic>
                </wp:inline>
              </w:drawing>
            </w:r>
          </w:p>
          <w:p w14:paraId="7C71E03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pacing w:val="5"/>
                <w:highlight w:val="none"/>
                <w:lang w:eastAsia="zh-CN"/>
                <w14:textFill>
                  <w14:solidFill>
                    <w14:schemeClr w14:val="tx1"/>
                  </w14:solidFill>
                </w14:textFill>
              </w:rPr>
              <w:t xml:space="preserve">图2-6 </w:t>
            </w:r>
            <w:r>
              <w:rPr>
                <w:rFonts w:hint="eastAsia" w:ascii="Times New Roman" w:hAnsi="Times New Roman" w:eastAsia="宋体" w:cs="Times New Roman"/>
                <w:b/>
                <w:bCs/>
                <w:color w:val="000000" w:themeColor="text1"/>
                <w:spacing w:val="5"/>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spacing w:val="5"/>
                <w:highlight w:val="none"/>
                <w:lang w:eastAsia="zh-CN"/>
                <w14:textFill>
                  <w14:solidFill>
                    <w14:schemeClr w14:val="tx1"/>
                  </w14:solidFill>
                </w14:textFill>
              </w:rPr>
              <w:t>压裂作业工艺流程及产污环节图</w:t>
            </w:r>
          </w:p>
          <w:p w14:paraId="37B33595">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2.3试油</w:t>
            </w:r>
          </w:p>
          <w:p w14:paraId="711B775B">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储层改造完成后方可进行试油作业，需在井口安装分离器，对获取的地层油、气、水进行取样。采出液进入地面储罐，最终由罐车拉运至</w:t>
            </w:r>
            <w:r>
              <w:rPr>
                <w:rFonts w:hint="eastAsia" w:ascii="Times New Roman" w:hAnsi="Times New Roman" w:cs="Times New Roman"/>
                <w:color w:val="000000" w:themeColor="text1"/>
                <w:sz w:val="24"/>
                <w:szCs w:val="24"/>
                <w:highlight w:val="none"/>
                <w:lang w:eastAsia="zh-CN"/>
                <w14:textFill>
                  <w14:solidFill>
                    <w14:schemeClr w14:val="tx1"/>
                  </w14:solidFill>
                </w14:textFill>
              </w:rPr>
              <w:t>吉康</w:t>
            </w:r>
            <w:r>
              <w:rPr>
                <w:rFonts w:ascii="Times New Roman" w:hAnsi="Times New Roman" w:cs="Times New Roman"/>
                <w:color w:val="000000" w:themeColor="text1"/>
                <w:sz w:val="24"/>
                <w:szCs w:val="24"/>
                <w:highlight w:val="none"/>
                <w:lang w:eastAsia="zh-CN"/>
                <w14:textFill>
                  <w14:solidFill>
                    <w14:schemeClr w14:val="tx1"/>
                  </w14:solidFill>
                </w14:textFill>
              </w:rPr>
              <w:t>脱水站原油处理系统处理，具备燃烧条件的伴生气通过地面排气管线充分燃烧后放空。</w:t>
            </w:r>
          </w:p>
          <w:p w14:paraId="45BEE34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项目试油作业流程见图2-7。</w:t>
            </w:r>
          </w:p>
          <w:p w14:paraId="4722197F">
            <w:pPr>
              <w:pStyle w:val="22"/>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drawing>
                <wp:inline distT="0" distB="0" distL="114300" distR="114300">
                  <wp:extent cx="3608705" cy="2499995"/>
                  <wp:effectExtent l="0" t="0" r="10795" b="14605"/>
                  <wp:docPr id="3" name="图片 3" descr="e80b3dd4f6e8fc2d5bd7f6884012b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80b3dd4f6e8fc2d5bd7f6884012b00"/>
                          <pic:cNvPicPr>
                            <a:picLocks noChangeAspect="1"/>
                          </pic:cNvPicPr>
                        </pic:nvPicPr>
                        <pic:blipFill>
                          <a:blip r:embed="rId16"/>
                          <a:stretch>
                            <a:fillRect/>
                          </a:stretch>
                        </pic:blipFill>
                        <pic:spPr>
                          <a:xfrm>
                            <a:off x="0" y="0"/>
                            <a:ext cx="3608705" cy="2499995"/>
                          </a:xfrm>
                          <a:prstGeom prst="rect">
                            <a:avLst/>
                          </a:prstGeom>
                        </pic:spPr>
                      </pic:pic>
                    </a:graphicData>
                  </a:graphic>
                </wp:inline>
              </w:drawing>
            </w:r>
          </w:p>
          <w:p w14:paraId="0238FCE6">
            <w:pPr>
              <w:pStyle w:val="22"/>
              <w:keepNext w:val="0"/>
              <w:keepLines w:val="0"/>
              <w:pageBreakBefore w:val="0"/>
              <w:widowControl w:val="0"/>
              <w:kinsoku/>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5"/>
                <w:sz w:val="21"/>
                <w:szCs w:val="21"/>
                <w:highlight w:val="none"/>
                <w:lang w:eastAsia="zh-CN"/>
                <w14:textFill>
                  <w14:solidFill>
                    <w14:schemeClr w14:val="tx1"/>
                  </w14:solidFill>
                </w14:textFill>
              </w:rPr>
              <w:t xml:space="preserve">图2-7 </w:t>
            </w:r>
            <w:r>
              <w:rPr>
                <w:rFonts w:hint="eastAsia" w:ascii="Times New Roman" w:hAnsi="Times New Roman" w:cs="Times New Roman"/>
                <w:b/>
                <w:bCs/>
                <w:color w:val="000000" w:themeColor="text1"/>
                <w:spacing w:val="5"/>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5"/>
                <w:sz w:val="21"/>
                <w:szCs w:val="21"/>
                <w:highlight w:val="none"/>
                <w:lang w:eastAsia="zh-CN"/>
                <w14:textFill>
                  <w14:solidFill>
                    <w14:schemeClr w14:val="tx1"/>
                  </w14:solidFill>
                </w14:textFill>
              </w:rPr>
              <w:t>试油作业流程及产污节点图</w:t>
            </w:r>
          </w:p>
          <w:p w14:paraId="5F4ABC46">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3.钻后工程（完井和封井）</w:t>
            </w:r>
          </w:p>
          <w:p w14:paraId="5125B687">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试油作业结束后，如该油井具备商业开采价值，则对油井进行关井，后期根据油田开发要求转入开采井（转开采井的污染影响不包含在本次评价工作中）。如该油井不具备开采价值，则对地面设施进行拆除，对井口按照《吐哈油田报废井封井实施细则（试行）》进行封井作业。撤去所有生产设施、平整井场；清理钻井现场，将垃圾、物料清理干净。</w:t>
            </w:r>
          </w:p>
          <w:p w14:paraId="2ED8358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（1）临时封井：在试油获得相关参数后，进行临时封井，在井下50—100m注入水形成水泥塞，水泥塞试压合格后完成临时封井。</w:t>
            </w:r>
          </w:p>
          <w:p w14:paraId="3789753F">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2）永久封井：具体按照吐哈油田报废井封井实施细则执行，如果有农田，应该按照敏感级报废油水井封井处理，措施为：①挤封已射孔井段，对射孔井段进行挤封，挤封后余留水泥塞面不得低于射孔井段顶界50m;②打水泥塞，在表套管脚位置用100m厚水泥塞进行封堵；③打水泥塞，在井口段附近（井深6m—15m）以下，用不小于50m水泥塞进行封堵；④封堵套管环空，卸套管法兰处放压堵头，注入水泥浆；⑤封堵井口，用水泥封堵井口，地面打混凝土墩，尺寸宜长1m×宽1m高×0.8m；混凝土上表面标注井号（字体深度大于15mm，长宽60mm×40mm）。</w:t>
            </w:r>
          </w:p>
        </w:tc>
      </w:tr>
      <w:tr w14:paraId="5E78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14:paraId="23DBC11D">
            <w:pPr>
              <w:widowControl w:val="0"/>
              <w:kinsoku/>
              <w:spacing w:line="500" w:lineRule="exact"/>
              <w:jc w:val="center"/>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其他</w:t>
            </w:r>
          </w:p>
        </w:tc>
        <w:tc>
          <w:tcPr>
            <w:tcW w:w="8387" w:type="dxa"/>
            <w:vAlign w:val="center"/>
          </w:tcPr>
          <w:p w14:paraId="408C391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无</w:t>
            </w:r>
          </w:p>
        </w:tc>
      </w:tr>
    </w:tbl>
    <w:p w14:paraId="4387E5B9">
      <w:pPr>
        <w:kinsoku/>
        <w:rPr>
          <w:rFonts w:ascii="Times New Roman" w:hAnsi="Times New Roman" w:eastAsia="宋体" w:cs="Times New Roman"/>
          <w:b/>
          <w:bCs/>
          <w:color w:val="000000" w:themeColor="text1"/>
          <w:spacing w:val="7"/>
          <w:sz w:val="31"/>
          <w:szCs w:val="31"/>
          <w:highlight w:val="none"/>
          <w14:textFill>
            <w14:solidFill>
              <w14:schemeClr w14:val="tx1"/>
            </w14:solidFill>
          </w14:textFill>
        </w:rPr>
      </w:pPr>
      <w:r>
        <w:rPr>
          <w:rFonts w:ascii="Times New Roman" w:hAnsi="Times New Roman" w:eastAsia="宋体" w:cs="Times New Roman"/>
          <w:b/>
          <w:bCs/>
          <w:color w:val="000000" w:themeColor="text1"/>
          <w:spacing w:val="7"/>
          <w:sz w:val="31"/>
          <w:szCs w:val="31"/>
          <w:highlight w:val="none"/>
          <w14:textFill>
            <w14:solidFill>
              <w14:schemeClr w14:val="tx1"/>
            </w14:solidFill>
          </w14:textFill>
        </w:rPr>
        <w:br w:type="page"/>
      </w:r>
    </w:p>
    <w:p w14:paraId="4F84BC41">
      <w:pPr>
        <w:kinsoku/>
        <w:spacing w:before="101" w:line="360" w:lineRule="auto"/>
        <w:jc w:val="center"/>
        <w:outlineLvl w:val="0"/>
        <w:rPr>
          <w:rFonts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spacing w:val="7"/>
          <w:sz w:val="31"/>
          <w:szCs w:val="31"/>
          <w:highlight w:val="none"/>
          <w:lang w:eastAsia="zh-CN"/>
          <w14:textFill>
            <w14:solidFill>
              <w14:schemeClr w14:val="tx1"/>
            </w14:solidFill>
          </w14:textFill>
        </w:rPr>
        <w:t>三、生态环境现状、保护目标及评价标准</w:t>
      </w:r>
    </w:p>
    <w:tbl>
      <w:tblPr>
        <w:tblStyle w:val="21"/>
        <w:tblW w:w="90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1"/>
        <w:gridCol w:w="8108"/>
      </w:tblGrid>
      <w:tr w14:paraId="647C7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jc w:val="center"/>
        </w:trPr>
        <w:tc>
          <w:tcPr>
            <w:tcW w:w="991" w:type="dxa"/>
            <w:tcBorders>
              <w:left w:val="single" w:color="000000" w:sz="4" w:space="0"/>
            </w:tcBorders>
            <w:vAlign w:val="center"/>
          </w:tcPr>
          <w:p w14:paraId="3236DF7B">
            <w:pPr>
              <w:pStyle w:val="22"/>
              <w:kinsoku/>
              <w:spacing w:before="65" w:line="360" w:lineRule="auto"/>
              <w:jc w:val="center"/>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spacing w:val="14"/>
                <w:sz w:val="24"/>
                <w:szCs w:val="24"/>
                <w:highlight w:val="none"/>
                <w14:textFill>
                  <w14:solidFill>
                    <w14:schemeClr w14:val="tx1"/>
                  </w14:solidFill>
                </w14:textFill>
              </w:rPr>
              <w:t>生态环境</w:t>
            </w:r>
            <w:r>
              <w:rPr>
                <w:rFonts w:ascii="Times New Roman" w:hAnsi="Times New Roman" w:cs="Times New Roman"/>
                <w:color w:val="000000" w:themeColor="text1"/>
                <w:spacing w:val="9"/>
                <w:sz w:val="24"/>
                <w:szCs w:val="24"/>
                <w:highlight w:val="none"/>
                <w14:textFill>
                  <w14:solidFill>
                    <w14:schemeClr w14:val="tx1"/>
                  </w14:solidFill>
                </w14:textFill>
              </w:rPr>
              <w:t>现状</w:t>
            </w:r>
          </w:p>
        </w:tc>
        <w:tc>
          <w:tcPr>
            <w:tcW w:w="8108" w:type="dxa"/>
            <w:tcBorders>
              <w:right w:val="single" w:color="000000" w:sz="4" w:space="0"/>
            </w:tcBorders>
          </w:tcPr>
          <w:p w14:paraId="7E2851AA">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textAlignment w:val="baseline"/>
              <w:rPr>
                <w:rFonts w:ascii="Times New Roman" w:hAnsi="Times New Roman" w:cs="Times New Roman"/>
                <w:b/>
                <w:bCs/>
                <w:color w:val="000000" w:themeColor="text1"/>
                <w:spacing w:val="-6"/>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6"/>
                <w:sz w:val="24"/>
                <w:szCs w:val="24"/>
                <w:highlight w:val="none"/>
                <w:lang w:eastAsia="zh-CN"/>
                <w14:textFill>
                  <w14:solidFill>
                    <w14:schemeClr w14:val="tx1"/>
                  </w14:solidFill>
                </w14:textFill>
              </w:rPr>
              <w:t>1.生态功能区划</w:t>
            </w:r>
          </w:p>
          <w:p w14:paraId="6BD1DABF">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firstLine="456" w:firstLineChars="200"/>
              <w:textAlignment w:val="baseline"/>
              <w:rPr>
                <w:rFonts w:ascii="Times New Roman" w:hAnsi="Times New Roman" w:cs="Times New Roman"/>
                <w:color w:val="000000" w:themeColor="text1"/>
                <w:spacing w:val="-6"/>
                <w:sz w:val="24"/>
                <w:szCs w:val="24"/>
                <w:highlight w:val="none"/>
                <w:lang w:eastAsia="zh-CN"/>
                <w14:textFill>
                  <w14:solidFill>
                    <w14:schemeClr w14:val="tx1"/>
                  </w14:solidFill>
                </w14:textFill>
              </w:rPr>
            </w:pPr>
            <w:r>
              <w:rPr>
                <w:rFonts w:ascii="Times New Roman" w:hAnsi="Times New Roman" w:cs="Times New Roman"/>
                <w:color w:val="000000" w:themeColor="text1"/>
                <w:spacing w:val="-6"/>
                <w:sz w:val="24"/>
                <w:szCs w:val="24"/>
                <w:highlight w:val="none"/>
                <w:lang w:eastAsia="zh-CN"/>
                <w14:textFill>
                  <w14:solidFill>
                    <w14:schemeClr w14:val="tx1"/>
                  </w14:solidFill>
                </w14:textFill>
              </w:rPr>
              <w:t>根据《全国生态功能区划》（2015.11），本项目位于“产品提供功能区——农产品提供功能区——乌苏</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ascii="Times New Roman" w:hAnsi="Times New Roman" w:cs="Times New Roman"/>
                <w:color w:val="000000" w:themeColor="text1"/>
                <w:spacing w:val="-6"/>
                <w:sz w:val="24"/>
                <w:szCs w:val="24"/>
                <w:highlight w:val="none"/>
                <w:lang w:eastAsia="zh-CN"/>
                <w14:textFill>
                  <w14:solidFill>
                    <w14:schemeClr w14:val="tx1"/>
                  </w14:solidFill>
                </w14:textFill>
              </w:rPr>
              <w:t>石河子</w:t>
            </w:r>
            <w:r>
              <w:rPr>
                <w:rFonts w:hint="eastAsia" w:ascii="Times New Roman" w:hAnsi="Times New Roman" w:cs="Times New Roman"/>
                <w:color w:val="000000" w:themeColor="text1"/>
                <w:spacing w:val="-6"/>
                <w:sz w:val="24"/>
                <w:szCs w:val="24"/>
                <w:highlight w:val="none"/>
                <w:lang w:eastAsia="zh-CN"/>
                <w14:textFill>
                  <w14:solidFill>
                    <w14:schemeClr w14:val="tx1"/>
                  </w14:solidFill>
                </w14:textFill>
              </w:rPr>
              <w:t>－</w:t>
            </w:r>
            <w:r>
              <w:rPr>
                <w:rFonts w:ascii="Times New Roman" w:hAnsi="Times New Roman" w:cs="Times New Roman"/>
                <w:color w:val="000000" w:themeColor="text1"/>
                <w:spacing w:val="-6"/>
                <w:sz w:val="24"/>
                <w:szCs w:val="24"/>
                <w:highlight w:val="none"/>
                <w:lang w:eastAsia="zh-CN"/>
                <w14:textFill>
                  <w14:solidFill>
                    <w14:schemeClr w14:val="tx1"/>
                  </w14:solidFill>
                </w14:textFill>
              </w:rPr>
              <w:t>昌吉绿洲农产品提供功能区”。该区域的主要生态问题为农田侵占、土壤肥力下降、农业面源污染严重等。</w:t>
            </w:r>
          </w:p>
          <w:p w14:paraId="6CC1B21E">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firstLine="480" w:firstLineChars="200"/>
              <w:textAlignment w:val="baseline"/>
              <w:rPr>
                <w:rFonts w:ascii="Times New Roman" w:hAnsi="Times New Roman" w:cs="Times New Roman"/>
                <w:color w:val="000000" w:themeColor="text1"/>
                <w:spacing w:val="-6"/>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根据《新疆生态功能区划简表》，本项目位于“准噶尔盆地温性荒漠与绿洲农业生态区——准噶尔盆地南部荒漠绿洲农业生态亚区——阜康一木垒绿洲农业、荒漠草地保护生态功能区”，该区域的主要生态环境问题为地下水超采、荒漠植被退化、沙漠化威胁、局部土壤盐渍化、河流萎缩、滥开荒地等。</w:t>
            </w:r>
          </w:p>
          <w:p w14:paraId="769AC6DB">
            <w:pPr>
              <w:pStyle w:val="22"/>
              <w:kinsoku/>
              <w:spacing w:before="34" w:line="360" w:lineRule="auto"/>
              <w:ind w:left="13"/>
              <w:rPr>
                <w:rFonts w:hint="default" w:ascii="Times New Roman" w:hAnsi="Times New Roman" w:eastAsia="宋体" w:cs="Times New Roman"/>
                <w:b/>
                <w:bCs/>
                <w:color w:val="000000" w:themeColor="text1"/>
                <w:spacing w:val="-6"/>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6"/>
                <w:sz w:val="24"/>
                <w:szCs w:val="24"/>
                <w:lang w:val="en-US" w:eastAsia="zh-CN"/>
                <w14:textFill>
                  <w14:solidFill>
                    <w14:schemeClr w14:val="tx1"/>
                  </w14:solidFill>
                </w14:textFill>
              </w:rPr>
              <w:t>2. 主体功能区规划调查</w:t>
            </w:r>
          </w:p>
          <w:p w14:paraId="0181B9AA">
            <w:pPr>
              <w:pStyle w:val="22"/>
              <w:kinsoku/>
              <w:spacing w:before="34" w:line="360" w:lineRule="auto"/>
              <w:ind w:left="13"/>
              <w:rPr>
                <w:color w:val="000000" w:themeColor="text1"/>
                <w14:textFill>
                  <w14:solidFill>
                    <w14:schemeClr w14:val="tx1"/>
                  </w14:solidFill>
                </w14:textFill>
              </w:rPr>
            </w:pPr>
            <w:r>
              <w:rPr>
                <w:rFonts w:hint="default" w:ascii="Times New Roman" w:hAnsi="Times New Roman" w:eastAsia="宋体" w:cs="Times New Roman"/>
                <w:b/>
                <w:bCs/>
                <w:color w:val="000000" w:themeColor="text1"/>
                <w:spacing w:val="-6"/>
                <w:sz w:val="24"/>
                <w:szCs w:val="24"/>
                <w:lang w:val="en-US" w:eastAsia="zh-CN"/>
                <w14:textFill>
                  <w14:solidFill>
                    <w14:schemeClr w14:val="tx1"/>
                  </w14:solidFill>
                </w14:textFill>
              </w:rPr>
              <w:t>2.1 区域主体功能定位</w:t>
            </w:r>
            <w:r>
              <w:rPr>
                <w:color w:val="000000" w:themeColor="text1"/>
                <w14:textFill>
                  <w14:solidFill>
                    <w14:schemeClr w14:val="tx1"/>
                  </w14:solidFill>
                </w14:textFill>
              </w:rPr>
              <w:t xml:space="preserve"> </w:t>
            </w:r>
          </w:p>
          <w:p w14:paraId="3C401162">
            <w:pPr>
              <w:kinsoku/>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根据《新疆维吾尔自治区主体功能区规划》（2016年10月24日），新疆国土空间按开发内容分为城市化地区、农产品主产区和重点生态功能区三类。本项目建设地点位于昌吉回族自治州吉木萨尔县二工镇，经调查核实，区域主体功能定位属于“国家级农产品主产区（天山北坡主产区）”。该区的功能定位为：保障农牧产品供给安全的重要区域，农牧民安居乐业的美好家园，社会主义新农村建设的示范区。</w:t>
            </w:r>
          </w:p>
          <w:p w14:paraId="109CC190">
            <w:pPr>
              <w:pStyle w:val="14"/>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360" w:lineRule="auto"/>
              <w:jc w:val="left"/>
              <w:textAlignment w:val="baseline"/>
              <w:rPr>
                <w:color w:val="000000" w:themeColor="text1"/>
                <w14:textFill>
                  <w14:solidFill>
                    <w14:schemeClr w14:val="tx1"/>
                  </w14:solidFill>
                </w14:textFill>
              </w:rPr>
            </w:pPr>
            <w:r>
              <w:rPr>
                <w:rFonts w:hint="default" w:ascii="Times New Roman" w:hAnsi="Times New Roman" w:eastAsia="宋体" w:cs="Times New Roman"/>
                <w:b/>
                <w:bCs/>
                <w:snapToGrid w:val="0"/>
                <w:color w:val="000000" w:themeColor="text1"/>
                <w:spacing w:val="-6"/>
                <w:sz w:val="24"/>
                <w:szCs w:val="24"/>
                <w:lang w:val="en-US" w:eastAsia="zh-CN" w:bidi="ar-SA"/>
                <w14:textFill>
                  <w14:solidFill>
                    <w14:schemeClr w14:val="tx1"/>
                  </w14:solidFill>
                </w14:textFill>
              </w:rPr>
              <w:t>2.2 生态管控要求与调查相符性</w:t>
            </w:r>
          </w:p>
          <w:p w14:paraId="281B325D">
            <w:pPr>
              <w:kinsoku/>
              <w:spacing w:line="360" w:lineRule="auto"/>
              <w:ind w:firstLine="472" w:firstLineChars="200"/>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在生态环境管控与开发原则方面，《规划》明确指出：位于农产品主产区的点状能源和矿产资源基地建设，必须进行严格的生态环境影响评估；开发过程中应尽可能减少对生态空间与农业空间的占用，并在施工结束后同步、及时地修复生态环境。</w:t>
            </w:r>
          </w:p>
          <w:p w14:paraId="5EB42C80">
            <w:pPr>
              <w:kinsoku/>
              <w:spacing w:line="360" w:lineRule="auto"/>
              <w:ind w:firstLine="472" w:firstLineChars="200"/>
              <w:rPr>
                <w:rFonts w:ascii="Times New Roman" w:hAnsi="Times New Roman" w:cs="Times New Roman"/>
                <w:b/>
                <w:bCs/>
                <w:color w:val="000000" w:themeColor="text1"/>
                <w:spacing w:val="-6"/>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经现场生态现状调查，本项目为陆地石油天然气勘探评价井钻试工程，属于《规划》允许的点状能源建设。项目临时占地类型主要为其他草地及农村道路，周边虽有农田分布，但本项目选址并未直接占用基本农田和耕地。区域生态系统主要为荒漠灌草植被（覆盖度约10%），生态敏感性相对较低。在严格落实环评提出的表土剥离暂存、“泥浆不落地”、危废分区重点防渗，以及完（封）井后及时利用原生表土进行地貌与植被恢复等生态保护措施的前提下，本项目的建设活动及现状选址，与“国家级农产品主产区”的生态空间及农业空间管控约束要求高度相符。</w:t>
            </w:r>
          </w:p>
          <w:p w14:paraId="5DDB15EB">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textAlignment w:val="baseline"/>
              <w:rPr>
                <w:rFonts w:ascii="Times New Roman" w:hAnsi="Times New Roman" w:cs="Times New Roman"/>
                <w:b/>
                <w:bCs/>
                <w:color w:val="000000" w:themeColor="text1"/>
                <w:spacing w:val="-6"/>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6"/>
                <w:sz w:val="24"/>
                <w:szCs w:val="24"/>
                <w:highlight w:val="none"/>
                <w:lang w:val="en-US" w:eastAsia="zh-CN"/>
                <w14:textFill>
                  <w14:solidFill>
                    <w14:schemeClr w14:val="tx1"/>
                  </w14:solidFill>
                </w14:textFill>
              </w:rPr>
              <w:t>3</w:t>
            </w:r>
            <w:r>
              <w:rPr>
                <w:rFonts w:ascii="Times New Roman" w:hAnsi="Times New Roman" w:cs="Times New Roman"/>
                <w:b/>
                <w:bCs/>
                <w:color w:val="000000" w:themeColor="text1"/>
                <w:spacing w:val="-6"/>
                <w:sz w:val="24"/>
                <w:szCs w:val="24"/>
                <w:highlight w:val="none"/>
                <w:lang w:eastAsia="zh-CN"/>
                <w14:textFill>
                  <w14:solidFill>
                    <w14:schemeClr w14:val="tx1"/>
                  </w14:solidFill>
                </w14:textFill>
              </w:rPr>
              <w:t>.生态环境现状</w:t>
            </w:r>
          </w:p>
          <w:p w14:paraId="38E4BD4D">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3</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.1植被现状</w:t>
            </w:r>
          </w:p>
          <w:p w14:paraId="3A3F0026">
            <w:pPr>
              <w:keepNext w:val="0"/>
              <w:keepLines w:val="0"/>
              <w:pageBreakBefore w:val="0"/>
              <w:widowControl/>
              <w:kinsoku/>
              <w:wordWrap/>
              <w:overflowPunct/>
              <w:topLinePunct w:val="0"/>
              <w:autoSpaceDE w:val="0"/>
              <w:autoSpaceDN w:val="0"/>
              <w:bidi w:val="0"/>
              <w:adjustRightInd w:val="0"/>
              <w:snapToGrid w:val="0"/>
              <w:spacing w:line="360" w:lineRule="auto"/>
              <w:ind w:left="0" w:firstLine="472" w:firstLineChars="200"/>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根据现场踏勘和相关文献资料分析，项目区域生态类型属于典型的荒漠</w:t>
            </w:r>
            <w:r>
              <w:rPr>
                <w:rFonts w:hint="eastAsia" w:ascii="宋体" w:hAnsi="宋体" w:eastAsia="宋体" w:cs="宋体"/>
                <w:color w:val="000000" w:themeColor="text1"/>
                <w:spacing w:val="-2"/>
                <w:sz w:val="24"/>
                <w:szCs w:val="24"/>
                <w:highlight w:val="none"/>
                <w:lang w:eastAsia="zh-CN"/>
                <w14:textFill>
                  <w14:solidFill>
                    <w14:schemeClr w14:val="tx1"/>
                  </w14:solidFill>
                </w14:textFill>
              </w:rPr>
              <w:t>灌草</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植被带，区域植被群落结构较为简单，主要由红砂（</w:t>
            </w:r>
            <w:r>
              <w:rPr>
                <w:rFonts w:ascii="Times New Roman" w:hAnsi="Times New Roman" w:eastAsia="宋体" w:cs="Times New Roman"/>
                <w:i/>
                <w:iCs/>
                <w:color w:val="000000" w:themeColor="text1"/>
                <w:spacing w:val="-2"/>
                <w:sz w:val="24"/>
                <w:szCs w:val="24"/>
                <w:highlight w:val="none"/>
                <w:lang w:eastAsia="zh-CN"/>
                <w14:textFill>
                  <w14:solidFill>
                    <w14:schemeClr w14:val="tx1"/>
                  </w14:solidFill>
                </w14:textFill>
              </w:rPr>
              <w:t>Reaumuria</w:t>
            </w:r>
            <w:r>
              <w:rPr>
                <w:rFonts w:hint="eastAsia" w:ascii="Times New Roman" w:hAnsi="Times New Roman" w:eastAsia="宋体" w:cs="Times New Roman"/>
                <w:i/>
                <w:iCs/>
                <w:color w:val="000000" w:themeColor="text1"/>
                <w:spacing w:val="-2"/>
                <w:sz w:val="24"/>
                <w:szCs w:val="24"/>
                <w:highlight w:val="none"/>
                <w:lang w:val="en-US" w:eastAsia="zh-CN"/>
                <w14:textFill>
                  <w14:solidFill>
                    <w14:schemeClr w14:val="tx1"/>
                  </w14:solidFill>
                </w14:textFill>
              </w:rPr>
              <w:t xml:space="preserve"> </w:t>
            </w:r>
            <w:r>
              <w:rPr>
                <w:rFonts w:ascii="Times New Roman" w:hAnsi="Times New Roman" w:eastAsia="宋体" w:cs="Times New Roman"/>
                <w:i/>
                <w:iCs/>
                <w:color w:val="000000" w:themeColor="text1"/>
                <w:spacing w:val="-2"/>
                <w:sz w:val="24"/>
                <w:szCs w:val="24"/>
                <w:highlight w:val="none"/>
                <w:lang w:eastAsia="zh-CN"/>
                <w14:textFill>
                  <w14:solidFill>
                    <w14:schemeClr w14:val="tx1"/>
                  </w14:solidFill>
                </w14:textFill>
              </w:rPr>
              <w:t>songarica</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）、骆驼蓬（</w:t>
            </w:r>
            <w:r>
              <w:rPr>
                <w:rFonts w:ascii="Times New Roman" w:hAnsi="Times New Roman" w:eastAsia="宋体" w:cs="Times New Roman"/>
                <w:i/>
                <w:iCs/>
                <w:color w:val="000000" w:themeColor="text1"/>
                <w:spacing w:val="-2"/>
                <w:sz w:val="24"/>
                <w:szCs w:val="24"/>
                <w:highlight w:val="none"/>
                <w:lang w:eastAsia="zh-CN"/>
                <w14:textFill>
                  <w14:solidFill>
                    <w14:schemeClr w14:val="tx1"/>
                  </w14:solidFill>
                </w14:textFill>
              </w:rPr>
              <w:t>Peganum harmala</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灌丛</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构成。植物种类耐旱性强，生物量低，呈点状分布，主要生于沙砾土或砾石地表上，土壤都有不同程度的盐渍化。施工区域内植被生长状况较差，生态系统稳定性较弱，生态恢复能力有限。</w:t>
            </w:r>
          </w:p>
          <w:p w14:paraId="1DF58F18">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firstLine="472" w:firstLineChars="200"/>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根据现场调查结果，在项目区域及临时占地范围内未发现《国家重点保护野生植物名录》（2021）中的物种，也未发现《新疆维吾尔自治区重点保护野生植物名录》（2023年）中所列植物。项目所涉及区域不属于生态保护红线、自然保护区或重要生态功能区，生态敏感性较低。</w:t>
            </w:r>
          </w:p>
          <w:p w14:paraId="707F44A9">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firstLine="472" w:firstLineChars="200"/>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项目建设所涉及的临时用地正在依法办理征地审批手续，后续将依据国家和自治区相关规定缴纳生态恢复保证金及临时用地费用。根据生态环境保护要求，项目将及时开展地貌整治和原状植被恢复等措施，逐步恢复地表植被覆盖，减少对区域生态系统的干扰和破坏。</w:t>
            </w:r>
          </w:p>
          <w:p w14:paraId="5D7A096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drawing>
                <wp:inline distT="0" distB="0" distL="114300" distR="114300">
                  <wp:extent cx="4962525" cy="2905125"/>
                  <wp:effectExtent l="0" t="0" r="9525" b="952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7"/>
                          <a:stretch>
                            <a:fillRect/>
                          </a:stretch>
                        </pic:blipFill>
                        <pic:spPr>
                          <a:xfrm>
                            <a:off x="0" y="0"/>
                            <a:ext cx="4962525" cy="2905125"/>
                          </a:xfrm>
                          <a:prstGeom prst="rect">
                            <a:avLst/>
                          </a:prstGeom>
                          <a:noFill/>
                          <a:ln>
                            <a:noFill/>
                          </a:ln>
                        </pic:spPr>
                      </pic:pic>
                    </a:graphicData>
                  </a:graphic>
                </wp:inline>
              </w:drawing>
            </w:r>
          </w:p>
          <w:p w14:paraId="2DC7473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红砂灌丛</w:t>
            </w:r>
          </w:p>
          <w:p w14:paraId="51044640">
            <w:pPr>
              <w:pStyle w:val="22"/>
              <w:keepNext w:val="0"/>
              <w:keepLines w:val="0"/>
              <w:pageBreakBefore w:val="0"/>
              <w:widowControl/>
              <w:kinsoku/>
              <w:wordWrap/>
              <w:overflowPunct/>
              <w:topLinePunct w:val="0"/>
              <w:autoSpaceDE w:val="0"/>
              <w:autoSpaceDN w:val="0"/>
              <w:bidi w:val="0"/>
              <w:adjustRightInd w:val="0"/>
              <w:snapToGrid w:val="0"/>
              <w:spacing w:before="0" w:beforeLines="50" w:line="360" w:lineRule="auto"/>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3</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.2野生动物现状</w:t>
            </w:r>
          </w:p>
          <w:p w14:paraId="2C07D859">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按中国动物地理区划的分级标准，项目所在区域属古北界、中亚亚界、蒙新区、准噶尔亚区、准噶尔盆地省。因该区域地处准噶尔盆地东南缘，气候干燥，野生动物的栖息生境极为单一。本项目区域常见啮齿类、爬行类、鸟类等动物，对照《国家重点保护野生动物名录》（2021）、国家林业和草原局公告《陆生野生动物重要栖息地名录（第一批）》（2023年第23号）及自治区人民政府《关于发布新疆维吾尔自治区重点保护野生动物名录（修订）的通知》（新政发〔2022〕75号），未发现以上《名录》中重点保护野生动物和陆生野生动物重要栖息地。区域主要野生动物种类及分布情况见表3-1。</w:t>
            </w:r>
          </w:p>
          <w:p w14:paraId="440392AB">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z w:val="21"/>
                <w:szCs w:val="21"/>
                <w:highlight w:val="none"/>
                <w:lang w:eastAsia="zh-CN"/>
                <w14:textFill>
                  <w14:solidFill>
                    <w14:schemeClr w14:val="tx1"/>
                  </w14:solidFill>
                </w14:textFill>
              </w:rPr>
              <w:t xml:space="preserve">表3-1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z w:val="21"/>
                <w:szCs w:val="21"/>
                <w:highlight w:val="none"/>
                <w:lang w:eastAsia="zh-CN"/>
                <w14:textFill>
                  <w14:solidFill>
                    <w14:schemeClr w14:val="tx1"/>
                  </w14:solidFill>
                </w14:textFill>
              </w:rPr>
              <w:t>评价区域内主要野生动物及分布情况一览表</w:t>
            </w:r>
          </w:p>
          <w:tbl>
            <w:tblPr>
              <w:tblStyle w:val="21"/>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61"/>
              <w:gridCol w:w="1552"/>
              <w:gridCol w:w="3568"/>
              <w:gridCol w:w="2107"/>
            </w:tblGrid>
            <w:tr w14:paraId="6D28D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491" w:type="pct"/>
                  <w:gridSpan w:val="2"/>
                  <w:vMerge w:val="restart"/>
                  <w:tcBorders>
                    <w:top w:val="single" w:color="000000" w:sz="10" w:space="0"/>
                    <w:left w:val="single" w:color="000000" w:sz="2" w:space="0"/>
                    <w:bottom w:val="nil"/>
                  </w:tcBorders>
                  <w:vAlign w:val="center"/>
                </w:tcPr>
                <w:p w14:paraId="581E76C6">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中名</w:t>
                  </w:r>
                </w:p>
              </w:tc>
              <w:tc>
                <w:tcPr>
                  <w:tcW w:w="2205" w:type="pct"/>
                  <w:vMerge w:val="restart"/>
                  <w:tcBorders>
                    <w:top w:val="single" w:color="000000" w:sz="10" w:space="0"/>
                    <w:bottom w:val="nil"/>
                  </w:tcBorders>
                  <w:vAlign w:val="center"/>
                </w:tcPr>
                <w:p w14:paraId="23BF5CCD">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学名</w:t>
                  </w:r>
                </w:p>
              </w:tc>
              <w:tc>
                <w:tcPr>
                  <w:tcW w:w="1302" w:type="pct"/>
                  <w:tcBorders>
                    <w:top w:val="single" w:color="000000" w:sz="10" w:space="0"/>
                    <w:bottom w:val="single" w:color="auto" w:sz="4" w:space="0"/>
                  </w:tcBorders>
                  <w:vAlign w:val="center"/>
                </w:tcPr>
                <w:p w14:paraId="7F57FA43">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分布</w:t>
                  </w:r>
                </w:p>
              </w:tc>
            </w:tr>
            <w:tr w14:paraId="33A97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491" w:type="pct"/>
                  <w:gridSpan w:val="2"/>
                  <w:vMerge w:val="continue"/>
                  <w:tcBorders>
                    <w:top w:val="nil"/>
                    <w:left w:val="single" w:color="000000" w:sz="2" w:space="0"/>
                  </w:tcBorders>
                  <w:vAlign w:val="center"/>
                </w:tcPr>
                <w:p w14:paraId="5381F397">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p>
              </w:tc>
              <w:tc>
                <w:tcPr>
                  <w:tcW w:w="2205" w:type="pct"/>
                  <w:vMerge w:val="continue"/>
                  <w:tcBorders>
                    <w:top w:val="nil"/>
                  </w:tcBorders>
                  <w:vAlign w:val="center"/>
                </w:tcPr>
                <w:p w14:paraId="3B6AC84A">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p>
              </w:tc>
              <w:tc>
                <w:tcPr>
                  <w:tcW w:w="1302" w:type="pct"/>
                  <w:tcBorders>
                    <w:top w:val="single" w:color="auto" w:sz="4" w:space="0"/>
                  </w:tcBorders>
                  <w:vAlign w:val="center"/>
                </w:tcPr>
                <w:p w14:paraId="0A928FF5">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荒漠区</w:t>
                  </w:r>
                </w:p>
              </w:tc>
            </w:tr>
            <w:tr w14:paraId="53DB7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532" w:type="pct"/>
                  <w:tcBorders>
                    <w:left w:val="single" w:color="000000" w:sz="2" w:space="0"/>
                  </w:tcBorders>
                  <w:vAlign w:val="center"/>
                </w:tcPr>
                <w:p w14:paraId="0687A5ED">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1</w:t>
                  </w:r>
                </w:p>
              </w:tc>
              <w:tc>
                <w:tcPr>
                  <w:tcW w:w="959" w:type="pct"/>
                  <w:vAlign w:val="center"/>
                </w:tcPr>
                <w:p w14:paraId="1CF5177E">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lang w:eastAsia="zh-CN"/>
                      <w14:textFill>
                        <w14:solidFill>
                          <w14:schemeClr w14:val="tx1"/>
                        </w14:solidFill>
                      </w14:textFill>
                    </w:rPr>
                    <w:t>荒漠</w:t>
                  </w:r>
                  <w:r>
                    <w:rPr>
                      <w:rFonts w:ascii="Times New Roman" w:hAnsi="Times New Roman" w:cs="Times New Roman"/>
                      <w:color w:val="000000" w:themeColor="text1"/>
                      <w:spacing w:val="5"/>
                      <w:sz w:val="21"/>
                      <w:szCs w:val="21"/>
                      <w:highlight w:val="none"/>
                      <w14:textFill>
                        <w14:solidFill>
                          <w14:schemeClr w14:val="tx1"/>
                        </w14:solidFill>
                      </w14:textFill>
                    </w:rPr>
                    <w:t>沙蜥</w:t>
                  </w:r>
                </w:p>
              </w:tc>
              <w:tc>
                <w:tcPr>
                  <w:tcW w:w="2205" w:type="pct"/>
                </w:tcPr>
                <w:p w14:paraId="0192FE91">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14:textFill>
                        <w14:solidFill>
                          <w14:schemeClr w14:val="tx1"/>
                        </w14:solidFill>
                      </w14:textFill>
                    </w:rPr>
                  </w:pPr>
                  <w:r>
                    <w:rPr>
                      <w:rFonts w:ascii="Times New Roman" w:hAnsi="Times New Roman" w:eastAsia="宋体" w:cs="Times New Roman"/>
                      <w:i/>
                      <w:iCs/>
                      <w:color w:val="000000" w:themeColor="text1"/>
                      <w:highlight w:val="none"/>
                      <w14:textFill>
                        <w14:solidFill>
                          <w14:schemeClr w14:val="tx1"/>
                        </w14:solidFill>
                      </w14:textFill>
                    </w:rPr>
                    <w:t>Phrynocephalus przewalskii</w:t>
                  </w:r>
                </w:p>
              </w:tc>
              <w:tc>
                <w:tcPr>
                  <w:tcW w:w="1302" w:type="pct"/>
                </w:tcPr>
                <w:p w14:paraId="7F3CA038">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lang w:eastAsia="zh-CN"/>
                      <w14:textFill>
                        <w14:solidFill>
                          <w14:schemeClr w14:val="tx1"/>
                        </w14:solidFill>
                      </w14:textFill>
                    </w:rPr>
                  </w:pPr>
                  <w:r>
                    <w:rPr>
                      <w:rFonts w:ascii="Times New Roman" w:hAnsi="Times New Roman" w:eastAsia="宋体" w:cs="Times New Roman"/>
                      <w:i/>
                      <w:iCs/>
                      <w:color w:val="000000" w:themeColor="text1"/>
                      <w:highlight w:val="none"/>
                      <w:lang w:eastAsia="zh-CN"/>
                      <w14:textFill>
                        <w14:solidFill>
                          <w14:schemeClr w14:val="tx1"/>
                        </w14:solidFill>
                      </w14:textFill>
                    </w:rPr>
                    <w:t>++</w:t>
                  </w:r>
                </w:p>
              </w:tc>
            </w:tr>
            <w:tr w14:paraId="30953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532" w:type="pct"/>
                  <w:tcBorders>
                    <w:left w:val="single" w:color="000000" w:sz="2" w:space="0"/>
                  </w:tcBorders>
                  <w:vAlign w:val="center"/>
                </w:tcPr>
                <w:p w14:paraId="246DCF1F">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2</w:t>
                  </w:r>
                </w:p>
              </w:tc>
              <w:tc>
                <w:tcPr>
                  <w:tcW w:w="959" w:type="pct"/>
                  <w:vAlign w:val="center"/>
                </w:tcPr>
                <w:p w14:paraId="23AF8E83">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快步麻蜥</w:t>
                  </w:r>
                </w:p>
              </w:tc>
              <w:tc>
                <w:tcPr>
                  <w:tcW w:w="2205" w:type="pct"/>
                </w:tcPr>
                <w:p w14:paraId="20FAFE8D">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14:textFill>
                        <w14:solidFill>
                          <w14:schemeClr w14:val="tx1"/>
                        </w14:solidFill>
                      </w14:textFill>
                    </w:rPr>
                  </w:pPr>
                  <w:r>
                    <w:rPr>
                      <w:rFonts w:ascii="Times New Roman" w:hAnsi="Times New Roman" w:eastAsia="宋体" w:cs="Times New Roman"/>
                      <w:i/>
                      <w:iCs/>
                      <w:color w:val="000000" w:themeColor="text1"/>
                      <w:highlight w:val="none"/>
                      <w14:textFill>
                        <w14:solidFill>
                          <w14:schemeClr w14:val="tx1"/>
                        </w14:solidFill>
                      </w14:textFill>
                    </w:rPr>
                    <w:t>Eremias velox</w:t>
                  </w:r>
                </w:p>
              </w:tc>
              <w:tc>
                <w:tcPr>
                  <w:tcW w:w="1302" w:type="pct"/>
                </w:tcPr>
                <w:p w14:paraId="58041B39">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lang w:eastAsia="zh-CN"/>
                      <w14:textFill>
                        <w14:solidFill>
                          <w14:schemeClr w14:val="tx1"/>
                        </w14:solidFill>
                      </w14:textFill>
                    </w:rPr>
                  </w:pPr>
                  <w:r>
                    <w:rPr>
                      <w:rFonts w:ascii="Times New Roman" w:hAnsi="Times New Roman" w:eastAsia="宋体" w:cs="Times New Roman"/>
                      <w:i/>
                      <w:iCs/>
                      <w:color w:val="000000" w:themeColor="text1"/>
                      <w:highlight w:val="none"/>
                      <w:lang w:eastAsia="zh-CN"/>
                      <w14:textFill>
                        <w14:solidFill>
                          <w14:schemeClr w14:val="tx1"/>
                        </w14:solidFill>
                      </w14:textFill>
                    </w:rPr>
                    <w:t>+</w:t>
                  </w:r>
                </w:p>
              </w:tc>
            </w:tr>
            <w:tr w14:paraId="7A7B5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532" w:type="pct"/>
                  <w:tcBorders>
                    <w:left w:val="single" w:color="000000" w:sz="2" w:space="0"/>
                  </w:tcBorders>
                  <w:vAlign w:val="center"/>
                </w:tcPr>
                <w:p w14:paraId="673D8FA6">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3</w:t>
                  </w:r>
                </w:p>
              </w:tc>
              <w:tc>
                <w:tcPr>
                  <w:tcW w:w="959" w:type="pct"/>
                  <w:vAlign w:val="center"/>
                </w:tcPr>
                <w:p w14:paraId="3FBCCA84">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小五趾跳鼠</w:t>
                  </w:r>
                </w:p>
              </w:tc>
              <w:tc>
                <w:tcPr>
                  <w:tcW w:w="2205" w:type="pct"/>
                </w:tcPr>
                <w:p w14:paraId="48B2036B">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14:textFill>
                        <w14:solidFill>
                          <w14:schemeClr w14:val="tx1"/>
                        </w14:solidFill>
                      </w14:textFill>
                    </w:rPr>
                  </w:pPr>
                  <w:r>
                    <w:rPr>
                      <w:rFonts w:ascii="Times New Roman" w:hAnsi="Times New Roman" w:eastAsia="宋体" w:cs="Times New Roman"/>
                      <w:i/>
                      <w:iCs/>
                      <w:color w:val="000000" w:themeColor="text1"/>
                      <w:highlight w:val="none"/>
                      <w14:textFill>
                        <w14:solidFill>
                          <w14:schemeClr w14:val="tx1"/>
                        </w14:solidFill>
                      </w14:textFill>
                    </w:rPr>
                    <w:t>Scarturus elater</w:t>
                  </w:r>
                </w:p>
              </w:tc>
              <w:tc>
                <w:tcPr>
                  <w:tcW w:w="1302" w:type="pct"/>
                </w:tcPr>
                <w:p w14:paraId="7039F510">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lang w:eastAsia="zh-CN"/>
                      <w14:textFill>
                        <w14:solidFill>
                          <w14:schemeClr w14:val="tx1"/>
                        </w14:solidFill>
                      </w14:textFill>
                    </w:rPr>
                  </w:pPr>
                  <w:r>
                    <w:rPr>
                      <w:rFonts w:ascii="Times New Roman" w:hAnsi="Times New Roman" w:eastAsia="宋体" w:cs="Times New Roman"/>
                      <w:i/>
                      <w:iCs/>
                      <w:color w:val="000000" w:themeColor="text1"/>
                      <w:highlight w:val="none"/>
                      <w:lang w:eastAsia="zh-CN"/>
                      <w14:textFill>
                        <w14:solidFill>
                          <w14:schemeClr w14:val="tx1"/>
                        </w14:solidFill>
                      </w14:textFill>
                    </w:rPr>
                    <w:t>-</w:t>
                  </w:r>
                </w:p>
              </w:tc>
            </w:tr>
            <w:tr w14:paraId="343411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532" w:type="pct"/>
                  <w:tcBorders>
                    <w:left w:val="single" w:color="000000" w:sz="2" w:space="0"/>
                  </w:tcBorders>
                  <w:vAlign w:val="center"/>
                </w:tcPr>
                <w:p w14:paraId="6871558D">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4</w:t>
                  </w:r>
                </w:p>
              </w:tc>
              <w:tc>
                <w:tcPr>
                  <w:tcW w:w="959" w:type="pct"/>
                  <w:vAlign w:val="center"/>
                </w:tcPr>
                <w:p w14:paraId="5EEBDFA8">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大沙鼠</w:t>
                  </w:r>
                </w:p>
              </w:tc>
              <w:tc>
                <w:tcPr>
                  <w:tcW w:w="2205" w:type="pct"/>
                </w:tcPr>
                <w:p w14:paraId="19F01D48">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14:textFill>
                        <w14:solidFill>
                          <w14:schemeClr w14:val="tx1"/>
                        </w14:solidFill>
                      </w14:textFill>
                    </w:rPr>
                  </w:pPr>
                  <w:r>
                    <w:rPr>
                      <w:rFonts w:ascii="Times New Roman" w:hAnsi="Times New Roman" w:eastAsia="宋体" w:cs="Times New Roman"/>
                      <w:i/>
                      <w:iCs/>
                      <w:color w:val="000000" w:themeColor="text1"/>
                      <w:highlight w:val="none"/>
                      <w14:textFill>
                        <w14:solidFill>
                          <w14:schemeClr w14:val="tx1"/>
                        </w14:solidFill>
                      </w14:textFill>
                    </w:rPr>
                    <w:t>Rhombomys opimus</w:t>
                  </w:r>
                </w:p>
              </w:tc>
              <w:tc>
                <w:tcPr>
                  <w:tcW w:w="1302" w:type="pct"/>
                </w:tcPr>
                <w:p w14:paraId="2BA00031">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lang w:eastAsia="zh-CN"/>
                      <w14:textFill>
                        <w14:solidFill>
                          <w14:schemeClr w14:val="tx1"/>
                        </w14:solidFill>
                      </w14:textFill>
                    </w:rPr>
                  </w:pPr>
                  <w:r>
                    <w:rPr>
                      <w:rFonts w:ascii="Times New Roman" w:hAnsi="Times New Roman" w:eastAsia="宋体" w:cs="Times New Roman"/>
                      <w:i/>
                      <w:iCs/>
                      <w:color w:val="000000" w:themeColor="text1"/>
                      <w:highlight w:val="none"/>
                      <w:lang w:eastAsia="zh-CN"/>
                      <w14:textFill>
                        <w14:solidFill>
                          <w14:schemeClr w14:val="tx1"/>
                        </w14:solidFill>
                      </w14:textFill>
                    </w:rPr>
                    <w:t>-</w:t>
                  </w:r>
                </w:p>
              </w:tc>
            </w:tr>
            <w:tr w14:paraId="2508C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 w:hRule="atLeast"/>
                <w:jc w:val="center"/>
              </w:trPr>
              <w:tc>
                <w:tcPr>
                  <w:tcW w:w="532" w:type="pct"/>
                  <w:tcBorders>
                    <w:left w:val="single" w:color="000000" w:sz="2" w:space="0"/>
                    <w:bottom w:val="single" w:color="000000" w:sz="10" w:space="0"/>
                  </w:tcBorders>
                  <w:vAlign w:val="center"/>
                </w:tcPr>
                <w:p w14:paraId="4C95C979">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5</w:t>
                  </w:r>
                </w:p>
              </w:tc>
              <w:tc>
                <w:tcPr>
                  <w:tcW w:w="959" w:type="pct"/>
                  <w:tcBorders>
                    <w:bottom w:val="single" w:color="000000" w:sz="10" w:space="0"/>
                  </w:tcBorders>
                  <w:vAlign w:val="center"/>
                </w:tcPr>
                <w:p w14:paraId="295EFB54">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子午沙鼠</w:t>
                  </w:r>
                </w:p>
              </w:tc>
              <w:tc>
                <w:tcPr>
                  <w:tcW w:w="2205" w:type="pct"/>
                  <w:tcBorders>
                    <w:bottom w:val="single" w:color="000000" w:sz="10" w:space="0"/>
                  </w:tcBorders>
                </w:tcPr>
                <w:p w14:paraId="3BDC8D39">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14:textFill>
                        <w14:solidFill>
                          <w14:schemeClr w14:val="tx1"/>
                        </w14:solidFill>
                      </w14:textFill>
                    </w:rPr>
                  </w:pPr>
                  <w:r>
                    <w:rPr>
                      <w:rFonts w:ascii="Times New Roman" w:hAnsi="Times New Roman" w:eastAsia="宋体" w:cs="Times New Roman"/>
                      <w:i/>
                      <w:iCs/>
                      <w:color w:val="000000" w:themeColor="text1"/>
                      <w:highlight w:val="none"/>
                      <w14:textFill>
                        <w14:solidFill>
                          <w14:schemeClr w14:val="tx1"/>
                        </w14:solidFill>
                      </w14:textFill>
                    </w:rPr>
                    <w:t>Meriones meridianus</w:t>
                  </w:r>
                </w:p>
              </w:tc>
              <w:tc>
                <w:tcPr>
                  <w:tcW w:w="1302" w:type="pct"/>
                  <w:tcBorders>
                    <w:bottom w:val="single" w:color="000000" w:sz="10" w:space="0"/>
                  </w:tcBorders>
                </w:tcPr>
                <w:p w14:paraId="17229708">
                  <w:pPr>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i/>
                      <w:iCs/>
                      <w:color w:val="000000" w:themeColor="text1"/>
                      <w:highlight w:val="none"/>
                      <w:lang w:eastAsia="zh-CN"/>
                      <w14:textFill>
                        <w14:solidFill>
                          <w14:schemeClr w14:val="tx1"/>
                        </w14:solidFill>
                      </w14:textFill>
                    </w:rPr>
                  </w:pPr>
                  <w:r>
                    <w:rPr>
                      <w:rFonts w:ascii="Times New Roman" w:hAnsi="Times New Roman" w:eastAsia="宋体" w:cs="Times New Roman"/>
                      <w:i/>
                      <w:iCs/>
                      <w:color w:val="000000" w:themeColor="text1"/>
                      <w:highlight w:val="none"/>
                      <w:lang w:eastAsia="zh-CN"/>
                      <w14:textFill>
                        <w14:solidFill>
                          <w14:schemeClr w14:val="tx1"/>
                        </w14:solidFill>
                      </w14:textFill>
                    </w:rPr>
                    <w:t>-</w:t>
                  </w:r>
                </w:p>
              </w:tc>
            </w:tr>
          </w:tbl>
          <w:p w14:paraId="5BD89F4E">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textAlignment w:val="baseline"/>
              <w:rPr>
                <w:rFonts w:ascii="Times New Roman" w:hAnsi="Times New Roman" w:cs="Times New Roman"/>
                <w:color w:val="000000" w:themeColor="text1"/>
                <w:spacing w:val="8"/>
                <w:highlight w:val="none"/>
                <w14:textFill>
                  <w14:solidFill>
                    <w14:schemeClr w14:val="tx1"/>
                  </w14:solidFill>
                </w14:textFill>
              </w:rPr>
            </w:pPr>
            <w:r>
              <w:rPr>
                <w:rFonts w:ascii="Times New Roman" w:hAnsi="Times New Roman" w:cs="Times New Roman"/>
                <w:color w:val="000000" w:themeColor="text1"/>
                <w:spacing w:val="8"/>
                <w:highlight w:val="none"/>
                <w14:textFill>
                  <w14:solidFill>
                    <w14:schemeClr w14:val="tx1"/>
                  </w14:solidFill>
                </w14:textFill>
              </w:rPr>
              <w:t>注：++多见，+少见，—偶见</w:t>
            </w:r>
          </w:p>
          <w:p w14:paraId="20646DB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drawing>
                <wp:inline distT="0" distB="0" distL="114300" distR="114300">
                  <wp:extent cx="4715510" cy="3097530"/>
                  <wp:effectExtent l="0" t="0" r="8890" b="762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8"/>
                          <a:stretch>
                            <a:fillRect/>
                          </a:stretch>
                        </pic:blipFill>
                        <pic:spPr>
                          <a:xfrm>
                            <a:off x="0" y="0"/>
                            <a:ext cx="4715510" cy="3097530"/>
                          </a:xfrm>
                          <a:prstGeom prst="rect">
                            <a:avLst/>
                          </a:prstGeom>
                          <a:noFill/>
                          <a:ln>
                            <a:noFill/>
                          </a:ln>
                        </pic:spPr>
                      </pic:pic>
                    </a:graphicData>
                  </a:graphic>
                </wp:inline>
              </w:drawing>
            </w:r>
          </w:p>
          <w:p w14:paraId="47D110E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荒漠沙蜥</w:t>
            </w:r>
          </w:p>
          <w:p w14:paraId="3A81E2C1">
            <w:pPr>
              <w:pStyle w:val="22"/>
              <w:keepNext w:val="0"/>
              <w:keepLines w:val="0"/>
              <w:pageBreakBefore w:val="0"/>
              <w:widowControl/>
              <w:kinsoku/>
              <w:wordWrap/>
              <w:overflowPunct/>
              <w:topLinePunct w:val="0"/>
              <w:autoSpaceDE w:val="0"/>
              <w:autoSpaceDN w:val="0"/>
              <w:bidi w:val="0"/>
              <w:adjustRightInd w:val="0"/>
              <w:snapToGrid w:val="0"/>
              <w:spacing w:before="0" w:beforeLines="50" w:line="360" w:lineRule="auto"/>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3</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.3土地利用类型</w:t>
            </w:r>
          </w:p>
          <w:p w14:paraId="23E4DD7B">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根据建设单位提供的土地利用类型资料，并参照《土地利用现状分类》（GB/T21010-2017），确定本工程区域的占地类型主要为灌木林地。</w:t>
            </w:r>
          </w:p>
          <w:p w14:paraId="1E118995">
            <w:pPr>
              <w:pStyle w:val="22"/>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ascii="Times New Roman" w:hAnsi="Times New Roman" w:cs="Times New Roman"/>
                <w:b/>
                <w:bCs/>
                <w:color w:val="000000" w:themeColor="text1"/>
                <w:sz w:val="24"/>
                <w:szCs w:val="24"/>
                <w:highlight w:val="none"/>
                <w:lang w:eastAsia="zh-CN"/>
                <w14:textFill>
                  <w14:solidFill>
                    <w14:schemeClr w14:val="tx1"/>
                  </w14:solidFill>
                </w14:textFill>
              </w:rPr>
              <w:t>.4土地沙化现状</w:t>
            </w:r>
          </w:p>
          <w:p w14:paraId="21D7E110">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按照《中华人民共和国防沙治沙法》（2018年10月26日修订）有关规定、《新疆第六次沙化监测报告》以及《关于加强沙区建设项目环境影响评价工作的通知》（新环环评发〔2020〕138号）文件，在沙化土地范围内从事开发建设活动的，必须事先就该项目可能对当地及相关地区生态产生的影响进行环境影响评价，依法提交环境影响报告；环境影响报告应当包括有关防沙治沙的内容。</w:t>
            </w:r>
          </w:p>
          <w:p w14:paraId="71E1E4AC">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（1）项目区沙化土地现状及防沙治沙工作情况</w:t>
            </w:r>
          </w:p>
          <w:p w14:paraId="020E8DBA">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根据《新疆第六次沙化监测报告》，新疆国土总面积为16648.97万公顷，本次沙化监测区面积为15689.13万公顷，沙化监测区分布在14个地州市，88个县市（区）、10个自治区直辖市共98个行政区域。监测结果显示：沙化土地面积7468.21万公顷，占监测区总面积47.60%，具有明显沙化趋势的土地面积437.96万公顷，占监测区总面积2.79%，非沙化土地面积7782.95万公顷，占监测区总面积49.61%。古尔班通古特沙漠面积48695km</w:t>
            </w:r>
            <w:r>
              <w:rPr>
                <w:rFonts w:ascii="Times New Roman" w:hAnsi="Times New Roman" w:cs="Times New Roman"/>
                <w:color w:val="000000" w:themeColor="text1"/>
                <w:sz w:val="24"/>
                <w:szCs w:val="24"/>
                <w:highlight w:val="none"/>
                <w:vertAlign w:val="superscript"/>
                <w:lang w:eastAsia="zh-CN"/>
                <w14:textFill>
                  <w14:solidFill>
                    <w14:schemeClr w14:val="tx1"/>
                  </w14:solidFill>
                </w14:textFill>
              </w:rPr>
              <w:t>2</w:t>
            </w:r>
            <w:r>
              <w:rPr>
                <w:rFonts w:ascii="Times New Roman" w:hAnsi="Times New Roman" w:cs="Times New Roman"/>
                <w:color w:val="000000" w:themeColor="text1"/>
                <w:sz w:val="24"/>
                <w:szCs w:val="24"/>
                <w:highlight w:val="none"/>
                <w:lang w:eastAsia="zh-CN"/>
                <w14:textFill>
                  <w14:solidFill>
                    <w14:schemeClr w14:val="tx1"/>
                  </w14:solidFill>
                </w14:textFill>
              </w:rPr>
              <w:t>，占全疆沙漠的11.05%；沙漠中的沙化土地面积449.44万hm</w:t>
            </w:r>
            <w:r>
              <w:rPr>
                <w:rFonts w:ascii="Times New Roman" w:hAnsi="Times New Roman" w:cs="Times New Roman"/>
                <w:color w:val="000000" w:themeColor="text1"/>
                <w:sz w:val="24"/>
                <w:szCs w:val="24"/>
                <w:highlight w:val="none"/>
                <w:vertAlign w:val="superscript"/>
                <w:lang w:eastAsia="zh-CN"/>
                <w14:textFill>
                  <w14:solidFill>
                    <w14:schemeClr w14:val="tx1"/>
                  </w14:solidFill>
                </w14:textFill>
              </w:rPr>
              <w:t>2</w:t>
            </w:r>
            <w:r>
              <w:rPr>
                <w:rFonts w:ascii="Times New Roman" w:hAnsi="Times New Roman" w:cs="Times New Roman"/>
                <w:color w:val="000000" w:themeColor="text1"/>
                <w:sz w:val="24"/>
                <w:szCs w:val="24"/>
                <w:highlight w:val="none"/>
                <w:lang w:eastAsia="zh-CN"/>
                <w14:textFill>
                  <w14:solidFill>
                    <w14:schemeClr w14:val="tx1"/>
                  </w14:solidFill>
                </w14:textFill>
              </w:rPr>
              <w:t>，其中：流动沙地3.57万hm</w:t>
            </w:r>
            <w:r>
              <w:rPr>
                <w:rFonts w:ascii="Times New Roman" w:hAnsi="Times New Roman" w:cs="Times New Roman"/>
                <w:color w:val="000000" w:themeColor="text1"/>
                <w:sz w:val="24"/>
                <w:szCs w:val="24"/>
                <w:highlight w:val="none"/>
                <w:vertAlign w:val="superscript"/>
                <w:lang w:eastAsia="zh-CN"/>
                <w14:textFill>
                  <w14:solidFill>
                    <w14:schemeClr w14:val="tx1"/>
                  </w14:solidFill>
                </w14:textFill>
              </w:rPr>
              <w:t>2</w:t>
            </w:r>
            <w:r>
              <w:rPr>
                <w:rFonts w:ascii="Times New Roman" w:hAnsi="Times New Roman" w:cs="Times New Roman"/>
                <w:color w:val="000000" w:themeColor="text1"/>
                <w:sz w:val="24"/>
                <w:szCs w:val="24"/>
                <w:highlight w:val="none"/>
                <w:lang w:eastAsia="zh-CN"/>
                <w14:textFill>
                  <w14:solidFill>
                    <w14:schemeClr w14:val="tx1"/>
                  </w14:solidFill>
                </w14:textFill>
              </w:rPr>
              <w:t>，半固定沙地96.92万hm</w:t>
            </w:r>
            <w:r>
              <w:rPr>
                <w:rFonts w:ascii="Times New Roman" w:hAnsi="Times New Roman" w:cs="Times New Roman"/>
                <w:color w:val="000000" w:themeColor="text1"/>
                <w:sz w:val="24"/>
                <w:szCs w:val="24"/>
                <w:highlight w:val="none"/>
                <w:vertAlign w:val="superscript"/>
                <w:lang w:eastAsia="zh-CN"/>
                <w14:textFill>
                  <w14:solidFill>
                    <w14:schemeClr w14:val="tx1"/>
                  </w14:solidFill>
                </w14:textFill>
              </w:rPr>
              <w:t>2</w:t>
            </w:r>
            <w:r>
              <w:rPr>
                <w:rFonts w:ascii="Times New Roman" w:hAnsi="Times New Roman" w:cs="Times New Roman"/>
                <w:color w:val="000000" w:themeColor="text1"/>
                <w:sz w:val="24"/>
                <w:szCs w:val="24"/>
                <w:highlight w:val="none"/>
                <w:lang w:eastAsia="zh-CN"/>
                <w14:textFill>
                  <w14:solidFill>
                    <w14:schemeClr w14:val="tx1"/>
                  </w14:solidFill>
                </w14:textFill>
              </w:rPr>
              <w:t>，固定沙地344.54万hm</w:t>
            </w:r>
            <w:r>
              <w:rPr>
                <w:rFonts w:ascii="Times New Roman" w:hAnsi="Times New Roman" w:cs="Times New Roman"/>
                <w:color w:val="000000" w:themeColor="text1"/>
                <w:sz w:val="24"/>
                <w:szCs w:val="24"/>
                <w:highlight w:val="none"/>
                <w:vertAlign w:val="superscript"/>
                <w:lang w:eastAsia="zh-CN"/>
                <w14:textFill>
                  <w14:solidFill>
                    <w14:schemeClr w14:val="tx1"/>
                  </w14:solidFill>
                </w14:textFill>
              </w:rPr>
              <w:t>2</w:t>
            </w:r>
            <w:r>
              <w:rPr>
                <w:rFonts w:ascii="Times New Roman" w:hAnsi="Times New Roman" w:cs="Times New Roman"/>
                <w:color w:val="000000" w:themeColor="text1"/>
                <w:sz w:val="24"/>
                <w:szCs w:val="24"/>
                <w:highlight w:val="none"/>
                <w:lang w:eastAsia="zh-CN"/>
                <w14:textFill>
                  <w14:solidFill>
                    <w14:schemeClr w14:val="tx1"/>
                  </w14:solidFill>
                </w14:textFill>
              </w:rPr>
              <w:t>，沙化耕地4.41万hm</w:t>
            </w:r>
            <w:r>
              <w:rPr>
                <w:rFonts w:ascii="Times New Roman" w:hAnsi="Times New Roman" w:cs="Times New Roman"/>
                <w:color w:val="000000" w:themeColor="text1"/>
                <w:sz w:val="24"/>
                <w:szCs w:val="24"/>
                <w:highlight w:val="none"/>
                <w:vertAlign w:val="superscript"/>
                <w:lang w:eastAsia="zh-CN"/>
                <w14:textFill>
                  <w14:solidFill>
                    <w14:schemeClr w14:val="tx1"/>
                  </w14:solidFill>
                </w14:textFill>
              </w:rPr>
              <w:t>2</w:t>
            </w:r>
            <w:r>
              <w:rPr>
                <w:rFonts w:ascii="Times New Roman" w:hAnsi="Times New Roman" w:cs="Times New Roman"/>
                <w:color w:val="000000" w:themeColor="text1"/>
                <w:sz w:val="24"/>
                <w:szCs w:val="24"/>
                <w:highlight w:val="none"/>
                <w:lang w:eastAsia="zh-CN"/>
                <w14:textFill>
                  <w14:solidFill>
                    <w14:schemeClr w14:val="tx1"/>
                  </w14:solidFill>
                </w14:textFill>
              </w:rPr>
              <w:t>。</w:t>
            </w:r>
          </w:p>
          <w:p w14:paraId="3CF4BFAC">
            <w:pPr>
              <w:pStyle w:val="22"/>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根据《新疆第六次沙化监测报告》</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近年来，吉木萨尔县通过持续实施三北防护林、退耕还林还草及封沙育林工程，区域防风固沙生态服务功能显著增强。近5年数据显示，吉木萨尔县境内沙化土地面积整体呈“缩减与稳定并存”的趋势，具有明显沙化趋势的土地面积占比持续下降，荒漠植被综合盖度稳中有升。</w:t>
            </w:r>
          </w:p>
          <w:p w14:paraId="035FDA23">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古尔班通古特沙漠位于准噶尔盆地中央，是我国第二大沙漠。本项目评价井位于昌吉州吉木萨尔县</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三台</w:t>
            </w:r>
            <w:r>
              <w:rPr>
                <w:rFonts w:hint="default" w:ascii="Times New Roman" w:hAnsi="Times New Roman" w:eastAsia="宋体" w:cs="Times New Roman"/>
                <w:color w:val="000000" w:themeColor="text1"/>
                <w:sz w:val="24"/>
                <w:szCs w:val="24"/>
                <w:lang w:eastAsia="zh-CN"/>
                <w14:textFill>
                  <w14:solidFill>
                    <w14:schemeClr w14:val="tx1"/>
                  </w14:solidFill>
                </w14:textFill>
              </w:rPr>
              <w:t>镇，地处准噶尔盆地南缘的绿洲-荒漠过渡带。项目井口位置距离古尔班通古特沙漠南缘的直线距离约为60km</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项目区不仅不在沙漠范围内，且与沙漠主体之间存在广阔的防风固沙基干林带和荒漠灌草植被（如白皮锦鸡儿、骆驼蓬）作为生态缓冲屏障。本项目为点状勘探作业，占地极小且实施严格的“表土剥离、工完场清、植被恢复”措施，其施工扰动半径远小于60km的生态安全缓冲距离，绝不会对古尔班通古特沙漠的沙源扩张或区域整体防风固沙格局造成实质性影响。</w:t>
            </w:r>
            <w:r>
              <w:rPr>
                <w:rFonts w:ascii="Times New Roman" w:hAnsi="Times New Roman" w:cs="Times New Roman"/>
                <w:color w:val="000000" w:themeColor="text1"/>
                <w:sz w:val="24"/>
                <w:szCs w:val="24"/>
                <w:highlight w:val="none"/>
                <w:lang w:eastAsia="zh-CN"/>
                <w14:textFill>
                  <w14:solidFill>
                    <w14:schemeClr w14:val="tx1"/>
                  </w14:solidFill>
                </w14:textFill>
              </w:rPr>
              <w:t>土地沙化现状见附图</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w:t>
            </w:r>
            <w:r>
              <w:rPr>
                <w:rFonts w:ascii="Times New Roman" w:hAnsi="Times New Roman" w:cs="Times New Roman"/>
                <w:color w:val="000000" w:themeColor="text1"/>
                <w:sz w:val="24"/>
                <w:szCs w:val="24"/>
                <w:highlight w:val="none"/>
                <w:lang w:eastAsia="zh-CN"/>
                <w14:textFill>
                  <w14:solidFill>
                    <w14:schemeClr w14:val="tx1"/>
                  </w14:solidFill>
                </w14:textFill>
              </w:rPr>
              <w:t>。</w:t>
            </w:r>
          </w:p>
          <w:p w14:paraId="0F4021B9">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（2）项目实施过程中对周边沙化土地的影响</w:t>
            </w:r>
          </w:p>
          <w:p w14:paraId="2A5A78BC">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根据《土地利用现状分类》本项目临时占地为灌木林地，项目临时占地不占用基本农田，存在土地沙化的潜在危害，拟建工程占地范围不涉及已建设的防沙治沙设施。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废渣遇大风天气易产生严重的扬尘，形成沙尘天气。</w:t>
            </w:r>
          </w:p>
          <w:p w14:paraId="6BD69A46">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（3）可能造成的土地沙化和沙尘等生态危害。</w:t>
            </w:r>
          </w:p>
          <w:p w14:paraId="22E96D0D">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项目在施工期土地开挖过程中，若未采取分层开挖、分层回填措施，可能导致土壤的蓄水保肥能力降低，影响区域植被生长，造成土壤逐渐沙化。此外，在施工过程中，各种车辆（尤其是重型卡车）在荒漠上行驶将使经过的土壤变紧实，严重的经过多次碾压后植物很难再生长，甚至退化为沙地。</w:t>
            </w:r>
          </w:p>
          <w:p w14:paraId="70094018">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上述施工作业过程中，对原地貌的扰动大大降低了项目占地范围内的土壤抗侵蚀能力，若未采取相应的防护措施，遇大风极易加重区域沙尘天气。</w:t>
            </w:r>
          </w:p>
          <w:p w14:paraId="2DECD7A6">
            <w:pPr>
              <w:pStyle w:val="22"/>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ascii="Times New Roman" w:hAnsi="Times New Roman" w:cs="Times New Roman"/>
                <w:b/>
                <w:bCs/>
                <w:color w:val="000000" w:themeColor="text1"/>
                <w:sz w:val="24"/>
                <w:szCs w:val="24"/>
                <w:highlight w:val="none"/>
                <w:lang w:eastAsia="zh-CN"/>
                <w14:textFill>
                  <w14:solidFill>
                    <w14:schemeClr w14:val="tx1"/>
                  </w14:solidFill>
                </w14:textFill>
              </w:rPr>
              <w:t>.5水土流失现状</w:t>
            </w:r>
          </w:p>
          <w:p w14:paraId="7219C9C0">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本项目位于新疆维吾尔自治区昌吉回族自治州，根据《关于划分国家级水土流失重点防治区的公告》《全国水土保持规划国家级水土流失重点预防区和重点治理区复核划分成果》（办水保〔2013〕188号），项目区属于“天山北坡国家级水土流失重点预防区”。</w:t>
            </w:r>
          </w:p>
          <w:p w14:paraId="625DD1C5">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1"/>
                <w:szCs w:val="21"/>
                <w:highlight w:val="none"/>
                <w:lang w:eastAsia="zh-CN"/>
                <w14:textFill>
                  <w14:solidFill>
                    <w14:schemeClr w14:val="tx1"/>
                  </w14:solidFill>
                </w14:textFill>
              </w:rPr>
              <w:t xml:space="preserve">表3-2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z w:val="21"/>
                <w:szCs w:val="21"/>
                <w:highlight w:val="none"/>
                <w:lang w:eastAsia="zh-CN"/>
                <w14:textFill>
                  <w14:solidFill>
                    <w14:schemeClr w14:val="tx1"/>
                  </w14:solidFill>
                </w14:textFill>
              </w:rPr>
              <w:t>项目区域在国家级水土流失区划中情况</w:t>
            </w:r>
          </w:p>
          <w:tbl>
            <w:tblPr>
              <w:tblStyle w:val="21"/>
              <w:tblW w:w="79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79"/>
              <w:gridCol w:w="2727"/>
              <w:gridCol w:w="3252"/>
            </w:tblGrid>
            <w:tr w14:paraId="45D45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79" w:type="dxa"/>
                  <w:vAlign w:val="center"/>
                </w:tcPr>
                <w:p w14:paraId="444558B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7"/>
                      <w:sz w:val="21"/>
                      <w:szCs w:val="21"/>
                      <w:highlight w:val="none"/>
                      <w:lang w:eastAsia="zh-CN"/>
                      <w14:textFill>
                        <w14:solidFill>
                          <w14:schemeClr w14:val="tx1"/>
                        </w14:solidFill>
                      </w14:textFill>
                    </w:rPr>
                    <w:t>涉及水土流失区划</w:t>
                  </w:r>
                  <w:r>
                    <w:rPr>
                      <w:rFonts w:ascii="Times New Roman" w:hAnsi="Times New Roman" w:cs="Times New Roman"/>
                      <w:b/>
                      <w:bCs/>
                      <w:color w:val="000000" w:themeColor="text1"/>
                      <w:spacing w:val="3"/>
                      <w:sz w:val="21"/>
                      <w:szCs w:val="21"/>
                      <w:highlight w:val="none"/>
                      <w:lang w:eastAsia="zh-CN"/>
                      <w14:textFill>
                        <w14:solidFill>
                          <w14:schemeClr w14:val="tx1"/>
                        </w14:solidFill>
                      </w14:textFill>
                    </w:rPr>
                    <w:t>的行政区域</w:t>
                  </w:r>
                </w:p>
              </w:tc>
              <w:tc>
                <w:tcPr>
                  <w:tcW w:w="2727" w:type="dxa"/>
                  <w:vAlign w:val="center"/>
                </w:tcPr>
                <w:p w14:paraId="33686E3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2"/>
                      <w:sz w:val="21"/>
                      <w:szCs w:val="21"/>
                      <w:highlight w:val="none"/>
                      <w14:textFill>
                        <w14:solidFill>
                          <w14:schemeClr w14:val="tx1"/>
                        </w14:solidFill>
                      </w14:textFill>
                    </w:rPr>
                    <w:t>大类</w:t>
                  </w:r>
                </w:p>
              </w:tc>
              <w:tc>
                <w:tcPr>
                  <w:tcW w:w="3252" w:type="dxa"/>
                  <w:tcBorders>
                    <w:right w:val="single" w:color="000000" w:sz="4" w:space="0"/>
                  </w:tcBorders>
                  <w:vAlign w:val="center"/>
                </w:tcPr>
                <w:p w14:paraId="485A289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区名称</w:t>
                  </w:r>
                </w:p>
              </w:tc>
            </w:tr>
            <w:tr w14:paraId="48441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79" w:type="dxa"/>
                  <w:vAlign w:val="center"/>
                </w:tcPr>
                <w:p w14:paraId="7EAF801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pacing w:val="7"/>
                      <w:sz w:val="21"/>
                      <w:szCs w:val="21"/>
                      <w:highlight w:val="none"/>
                      <w:lang w:val="en-US" w:eastAsia="zh-CN"/>
                      <w14:textFill>
                        <w14:solidFill>
                          <w14:schemeClr w14:val="tx1"/>
                        </w14:solidFill>
                      </w14:textFill>
                    </w:rPr>
                    <w:t>昌吉回族自治州</w:t>
                  </w:r>
                </w:p>
              </w:tc>
              <w:tc>
                <w:tcPr>
                  <w:tcW w:w="2727" w:type="dxa"/>
                  <w:vAlign w:val="center"/>
                </w:tcPr>
                <w:p w14:paraId="2DD2EDF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7"/>
                      <w:sz w:val="21"/>
                      <w:szCs w:val="21"/>
                      <w:highlight w:val="none"/>
                      <w:lang w:eastAsia="zh-CN"/>
                      <w14:textFill>
                        <w14:solidFill>
                          <w14:schemeClr w14:val="tx1"/>
                        </w14:solidFill>
                      </w14:textFill>
                    </w:rPr>
                    <w:t>国家级水土流失重点预防区</w:t>
                  </w:r>
                </w:p>
              </w:tc>
              <w:tc>
                <w:tcPr>
                  <w:tcW w:w="3252" w:type="dxa"/>
                  <w:tcBorders>
                    <w:right w:val="single" w:color="000000" w:sz="4" w:space="0"/>
                  </w:tcBorders>
                  <w:vAlign w:val="center"/>
                </w:tcPr>
                <w:p w14:paraId="0FFF17E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8"/>
                      <w:sz w:val="21"/>
                      <w:szCs w:val="21"/>
                      <w:highlight w:val="none"/>
                      <w:lang w:eastAsia="zh-CN"/>
                      <w14:textFill>
                        <w14:solidFill>
                          <w14:schemeClr w14:val="tx1"/>
                        </w14:solidFill>
                      </w14:textFill>
                    </w:rPr>
                    <w:t>天山北坡国家级水土流失重点预</w:t>
                  </w:r>
                  <w:r>
                    <w:rPr>
                      <w:rFonts w:ascii="Times New Roman" w:hAnsi="Times New Roman" w:cs="Times New Roman"/>
                      <w:color w:val="000000" w:themeColor="text1"/>
                      <w:spacing w:val="-2"/>
                      <w:sz w:val="21"/>
                      <w:szCs w:val="21"/>
                      <w:highlight w:val="none"/>
                      <w:lang w:eastAsia="zh-CN"/>
                      <w14:textFill>
                        <w14:solidFill>
                          <w14:schemeClr w14:val="tx1"/>
                        </w14:solidFill>
                      </w14:textFill>
                    </w:rPr>
                    <w:t>防区</w:t>
                  </w:r>
                </w:p>
              </w:tc>
            </w:tr>
          </w:tbl>
          <w:p w14:paraId="764F9C74">
            <w:pPr>
              <w:pStyle w:val="22"/>
              <w:keepNext w:val="0"/>
              <w:keepLines w:val="0"/>
              <w:pageBreakBefore w:val="0"/>
              <w:widowControl/>
              <w:kinsoku/>
              <w:wordWrap/>
              <w:overflowPunct/>
              <w:topLinePunct w:val="0"/>
              <w:autoSpaceDE w:val="0"/>
              <w:autoSpaceDN w:val="0"/>
              <w:bidi w:val="0"/>
              <w:adjustRightInd w:val="0"/>
              <w:snapToGrid w:val="0"/>
              <w:spacing w:before="0" w:beforeLines="50"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根据《关于印发新疆自治区级水土流失重点预防区和重点治理区复核划分成果的通知》（新水水保〔2019〕4号）：全疆共划分了2个自治区级重点预防区，4个自治区级重点治理区。依据《昌吉州水土流失重点预防区和重点治理区划分成果》及《昌吉回族自治州两区划分图》可知，本项目不在昌吉回族自治州两区划分的水土流失预防区和治理区。水土保持区划见附图</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7</w:t>
            </w:r>
            <w:r>
              <w:rPr>
                <w:rFonts w:ascii="Times New Roman" w:hAnsi="Times New Roman" w:cs="Times New Roman"/>
                <w:color w:val="000000" w:themeColor="text1"/>
                <w:sz w:val="24"/>
                <w:szCs w:val="24"/>
                <w:highlight w:val="none"/>
                <w:lang w:eastAsia="zh-CN"/>
                <w14:textFill>
                  <w14:solidFill>
                    <w14:schemeClr w14:val="tx1"/>
                  </w14:solidFill>
                </w14:textFill>
              </w:rPr>
              <w:t>。</w:t>
            </w:r>
          </w:p>
          <w:p w14:paraId="673201D4">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本项目环评提出，按照水土保持方案的要求，严格执行各项水土保持措施。</w:t>
            </w:r>
          </w:p>
          <w:p w14:paraId="047D0D3E">
            <w:pPr>
              <w:pStyle w:val="22"/>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ascii="Times New Roman" w:hAnsi="Times New Roman" w:cs="Times New Roman"/>
                <w:b/>
                <w:bCs/>
                <w:color w:val="000000" w:themeColor="text1"/>
                <w:sz w:val="24"/>
                <w:szCs w:val="24"/>
                <w:highlight w:val="none"/>
                <w:lang w:eastAsia="zh-CN"/>
                <w14:textFill>
                  <w14:solidFill>
                    <w14:schemeClr w14:val="tx1"/>
                  </w14:solidFill>
                </w14:textFill>
              </w:rPr>
              <w:t>.环境空气质量现状调查及评价</w:t>
            </w:r>
          </w:p>
          <w:p w14:paraId="4C71B43A">
            <w:pPr>
              <w:pStyle w:val="22"/>
              <w:keepNext w:val="0"/>
              <w:keepLines w:val="0"/>
              <w:pageBreakBefore w:val="0"/>
              <w:widowControl/>
              <w:kinsoku/>
              <w:wordWrap/>
              <w:overflowPunct/>
              <w:topLinePunct w:val="0"/>
              <w:autoSpaceDE w:val="0"/>
              <w:autoSpaceDN w:val="0"/>
              <w:bidi w:val="0"/>
              <w:adjustRightInd w:val="0"/>
              <w:snapToGrid w:val="0"/>
              <w:spacing w:line="360" w:lineRule="auto"/>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4</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.1数据来源</w:t>
            </w:r>
          </w:p>
          <w:p w14:paraId="411BF175">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根据《环境影响评价技术导则大气环境》（HJ2.2-2018）对环境质量现状数据的要求，本项目基本污染物环境质量现状评价采用环境空气质量模型空气质量数据，作为本项目环境空气现状评价基本污染物SO</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2</w:t>
            </w:r>
            <w:r>
              <w:rPr>
                <w:rFonts w:ascii="Times New Roman" w:hAnsi="Times New Roman" w:cs="Times New Roman"/>
                <w:color w:val="000000" w:themeColor="text1"/>
                <w:spacing w:val="-2"/>
                <w:sz w:val="24"/>
                <w:szCs w:val="24"/>
                <w:highlight w:val="none"/>
                <w:lang w:eastAsia="zh-CN"/>
                <w14:textFill>
                  <w14:solidFill>
                    <w14:schemeClr w14:val="tx1"/>
                  </w14:solidFill>
                </w14:textFill>
              </w:rPr>
              <w:t>、NO</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2</w:t>
            </w:r>
            <w:r>
              <w:rPr>
                <w:rFonts w:ascii="Times New Roman" w:hAnsi="Times New Roman" w:cs="Times New Roman"/>
                <w:color w:val="000000" w:themeColor="text1"/>
                <w:spacing w:val="-2"/>
                <w:sz w:val="24"/>
                <w:szCs w:val="24"/>
                <w:highlight w:val="none"/>
                <w:lang w:eastAsia="zh-CN"/>
                <w14:textFill>
                  <w14:solidFill>
                    <w14:schemeClr w14:val="tx1"/>
                  </w14:solidFill>
                </w14:textFill>
              </w:rPr>
              <w:t>、PM</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10</w:t>
            </w:r>
            <w:r>
              <w:rPr>
                <w:rFonts w:ascii="Times New Roman" w:hAnsi="Times New Roman" w:cs="Times New Roman"/>
                <w:color w:val="000000" w:themeColor="text1"/>
                <w:spacing w:val="-2"/>
                <w:sz w:val="24"/>
                <w:szCs w:val="24"/>
                <w:highlight w:val="none"/>
                <w:lang w:eastAsia="zh-CN"/>
                <w14:textFill>
                  <w14:solidFill>
                    <w14:schemeClr w14:val="tx1"/>
                  </w14:solidFill>
                </w14:textFill>
              </w:rPr>
              <w:t>、PM</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2.5</w:t>
            </w:r>
            <w:r>
              <w:rPr>
                <w:rFonts w:ascii="Times New Roman" w:hAnsi="Times New Roman" w:cs="Times New Roman"/>
                <w:color w:val="000000" w:themeColor="text1"/>
                <w:spacing w:val="-2"/>
                <w:sz w:val="24"/>
                <w:szCs w:val="24"/>
                <w:highlight w:val="none"/>
                <w:lang w:eastAsia="zh-CN"/>
                <w14:textFill>
                  <w14:solidFill>
                    <w14:schemeClr w14:val="tx1"/>
                  </w14:solidFill>
                </w14:textFill>
              </w:rPr>
              <w:t>、CO和O</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3</w:t>
            </w:r>
            <w:r>
              <w:rPr>
                <w:rFonts w:ascii="Times New Roman" w:hAnsi="Times New Roman" w:cs="Times New Roman"/>
                <w:color w:val="000000" w:themeColor="text1"/>
                <w:spacing w:val="-2"/>
                <w:sz w:val="24"/>
                <w:szCs w:val="24"/>
                <w:highlight w:val="none"/>
                <w:lang w:eastAsia="zh-CN"/>
                <w14:textFill>
                  <w14:solidFill>
                    <w14:schemeClr w14:val="tx1"/>
                  </w14:solidFill>
                </w14:textFill>
              </w:rPr>
              <w:t>的数据来源。</w:t>
            </w:r>
          </w:p>
          <w:p w14:paraId="680AEDEB">
            <w:pPr>
              <w:pStyle w:val="22"/>
              <w:keepNext w:val="0"/>
              <w:keepLines w:val="0"/>
              <w:pageBreakBefore w:val="0"/>
              <w:widowControl/>
              <w:kinsoku/>
              <w:wordWrap/>
              <w:overflowPunct/>
              <w:topLinePunct w:val="0"/>
              <w:autoSpaceDE w:val="0"/>
              <w:autoSpaceDN w:val="0"/>
              <w:bidi w:val="0"/>
              <w:adjustRightInd w:val="0"/>
              <w:snapToGrid w:val="0"/>
              <w:spacing w:line="360" w:lineRule="auto"/>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4</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.2评价标准</w:t>
            </w:r>
          </w:p>
          <w:p w14:paraId="0656371A">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基本污染物SO</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2</w:t>
            </w:r>
            <w:r>
              <w:rPr>
                <w:rFonts w:ascii="Times New Roman" w:hAnsi="Times New Roman" w:cs="Times New Roman"/>
                <w:color w:val="000000" w:themeColor="text1"/>
                <w:spacing w:val="-2"/>
                <w:sz w:val="24"/>
                <w:szCs w:val="24"/>
                <w:highlight w:val="none"/>
                <w:lang w:eastAsia="zh-CN"/>
                <w14:textFill>
                  <w14:solidFill>
                    <w14:schemeClr w14:val="tx1"/>
                  </w14:solidFill>
                </w14:textFill>
              </w:rPr>
              <w:t>、NO</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2</w:t>
            </w:r>
            <w:r>
              <w:rPr>
                <w:rFonts w:ascii="Times New Roman" w:hAnsi="Times New Roman" w:cs="Times New Roman"/>
                <w:color w:val="000000" w:themeColor="text1"/>
                <w:spacing w:val="-2"/>
                <w:sz w:val="24"/>
                <w:szCs w:val="24"/>
                <w:highlight w:val="none"/>
                <w:lang w:eastAsia="zh-CN"/>
                <w14:textFill>
                  <w14:solidFill>
                    <w14:schemeClr w14:val="tx1"/>
                  </w14:solidFill>
                </w14:textFill>
              </w:rPr>
              <w:t>、PM</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10</w:t>
            </w:r>
            <w:r>
              <w:rPr>
                <w:rFonts w:ascii="Times New Roman" w:hAnsi="Times New Roman" w:cs="Times New Roman"/>
                <w:color w:val="000000" w:themeColor="text1"/>
                <w:spacing w:val="-2"/>
                <w:sz w:val="24"/>
                <w:szCs w:val="24"/>
                <w:highlight w:val="none"/>
                <w:lang w:eastAsia="zh-CN"/>
                <w14:textFill>
                  <w14:solidFill>
                    <w14:schemeClr w14:val="tx1"/>
                  </w14:solidFill>
                </w14:textFill>
              </w:rPr>
              <w:t>、PM</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2.5</w:t>
            </w:r>
            <w:r>
              <w:rPr>
                <w:rFonts w:ascii="Times New Roman" w:hAnsi="Times New Roman" w:cs="Times New Roman"/>
                <w:color w:val="000000" w:themeColor="text1"/>
                <w:spacing w:val="-2"/>
                <w:sz w:val="24"/>
                <w:szCs w:val="24"/>
                <w:highlight w:val="none"/>
                <w:lang w:eastAsia="zh-CN"/>
                <w14:textFill>
                  <w14:solidFill>
                    <w14:schemeClr w14:val="tx1"/>
                  </w14:solidFill>
                </w14:textFill>
              </w:rPr>
              <w:t>、CO和O</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3</w:t>
            </w:r>
            <w:r>
              <w:rPr>
                <w:rFonts w:ascii="Times New Roman" w:hAnsi="Times New Roman" w:cs="Times New Roman"/>
                <w:color w:val="000000" w:themeColor="text1"/>
                <w:spacing w:val="-2"/>
                <w:sz w:val="24"/>
                <w:szCs w:val="24"/>
                <w:highlight w:val="none"/>
                <w:lang w:eastAsia="zh-CN"/>
                <w14:textFill>
                  <w14:solidFill>
                    <w14:schemeClr w14:val="tx1"/>
                  </w14:solidFill>
                </w14:textFill>
              </w:rPr>
              <w:t>执行《环境空气质量标准》（GB</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3095-2026</w:t>
            </w:r>
            <w:r>
              <w:rPr>
                <w:rFonts w:ascii="Times New Roman" w:hAnsi="Times New Roman" w:cs="Times New Roman"/>
                <w:color w:val="000000" w:themeColor="text1"/>
                <w:spacing w:val="-2"/>
                <w:sz w:val="24"/>
                <w:szCs w:val="24"/>
                <w:highlight w:val="none"/>
                <w:lang w:eastAsia="zh-CN"/>
                <w14:textFill>
                  <w14:solidFill>
                    <w14:schemeClr w14:val="tx1"/>
                  </w14:solidFill>
                </w14:textFill>
              </w:rPr>
              <w:t>）中的</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过渡阶段</w:t>
            </w:r>
            <w:r>
              <w:rPr>
                <w:rFonts w:ascii="Times New Roman" w:hAnsi="Times New Roman" w:cs="Times New Roman"/>
                <w:color w:val="000000" w:themeColor="text1"/>
                <w:spacing w:val="-2"/>
                <w:sz w:val="24"/>
                <w:szCs w:val="24"/>
                <w:highlight w:val="none"/>
                <w:lang w:eastAsia="zh-CN"/>
                <w14:textFill>
                  <w14:solidFill>
                    <w14:schemeClr w14:val="tx1"/>
                  </w14:solidFill>
                </w14:textFill>
              </w:rPr>
              <w:t>二级</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浓度限值</w:t>
            </w:r>
            <w:r>
              <w:rPr>
                <w:rFonts w:ascii="Times New Roman" w:hAnsi="Times New Roman" w:cs="Times New Roman"/>
                <w:color w:val="000000" w:themeColor="text1"/>
                <w:spacing w:val="-2"/>
                <w:sz w:val="24"/>
                <w:szCs w:val="24"/>
                <w:highlight w:val="none"/>
                <w:lang w:eastAsia="zh-CN"/>
                <w14:textFill>
                  <w14:solidFill>
                    <w14:schemeClr w14:val="tx1"/>
                  </w14:solidFill>
                </w14:textFill>
              </w:rPr>
              <w:t>。</w:t>
            </w:r>
          </w:p>
          <w:p w14:paraId="348C950C">
            <w:pPr>
              <w:pStyle w:val="22"/>
              <w:keepNext w:val="0"/>
              <w:keepLines w:val="0"/>
              <w:pageBreakBefore w:val="0"/>
              <w:widowControl/>
              <w:kinsoku/>
              <w:wordWrap/>
              <w:overflowPunct/>
              <w:topLinePunct w:val="0"/>
              <w:autoSpaceDE w:val="0"/>
              <w:autoSpaceDN w:val="0"/>
              <w:bidi w:val="0"/>
              <w:adjustRightInd w:val="0"/>
              <w:snapToGrid w:val="0"/>
              <w:spacing w:line="360" w:lineRule="auto"/>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4</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.3评价方法</w:t>
            </w:r>
          </w:p>
          <w:p w14:paraId="103EB478">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14:paraId="509E2188">
            <w:pPr>
              <w:pStyle w:val="22"/>
              <w:keepNext w:val="0"/>
              <w:keepLines w:val="0"/>
              <w:pageBreakBefore w:val="0"/>
              <w:widowControl/>
              <w:kinsoku/>
              <w:wordWrap/>
              <w:overflowPunct/>
              <w:topLinePunct w:val="0"/>
              <w:autoSpaceDE w:val="0"/>
              <w:autoSpaceDN w:val="0"/>
              <w:bidi w:val="0"/>
              <w:adjustRightInd w:val="0"/>
              <w:snapToGrid w:val="0"/>
              <w:spacing w:line="360" w:lineRule="auto"/>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4</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.4空气质量达标区判定</w:t>
            </w:r>
          </w:p>
          <w:p w14:paraId="5D793240">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bookmarkStart w:id="16" w:name="_Ref179977892"/>
            <w:bookmarkStart w:id="17" w:name="_Ref21430043"/>
            <w:r>
              <w:rPr>
                <w:rFonts w:ascii="Times New Roman" w:hAnsi="Times New Roman" w:cs="Times New Roman"/>
                <w:color w:val="000000" w:themeColor="text1"/>
                <w:sz w:val="24"/>
                <w:szCs w:val="24"/>
                <w:highlight w:val="none"/>
                <w:lang w:eastAsia="zh-CN"/>
                <w14:textFill>
                  <w14:solidFill>
                    <w14:schemeClr w14:val="tx1"/>
                  </w14:solidFill>
                </w14:textFill>
              </w:rPr>
              <w:t>根据《环境影响评价技术导则 大气环境》（HJ2.2-2018）要求，项目位于昌吉回族自治州</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吉木萨尔县</w:t>
            </w:r>
            <w:r>
              <w:rPr>
                <w:rFonts w:ascii="Times New Roman" w:hAnsi="Times New Roman" w:cs="Times New Roman"/>
                <w:color w:val="000000" w:themeColor="text1"/>
                <w:sz w:val="24"/>
                <w:szCs w:val="24"/>
                <w:highlight w:val="none"/>
                <w:lang w:eastAsia="zh-CN"/>
                <w14:textFill>
                  <w14:solidFill>
                    <w14:schemeClr w14:val="tx1"/>
                  </w14:solidFill>
                </w14:textFill>
              </w:rPr>
              <w:t>，根据新疆维吾尔自治区生态环境厅发布的《2024年12月和1</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lang w:eastAsia="zh-CN"/>
                <w14:textFill>
                  <w14:solidFill>
                    <w14:schemeClr w14:val="tx1"/>
                  </w14:solidFill>
                </w14:textFill>
              </w:rPr>
              <w:t>12月全区环境空气质量状况及排名》数据显示，昌吉回族自治州2024年基本污染物中SO</w:t>
            </w:r>
            <w:r>
              <w:rPr>
                <w:rFonts w:ascii="Times New Roman" w:hAnsi="Times New Roman" w:cs="Times New Roman"/>
                <w:color w:val="000000" w:themeColor="text1"/>
                <w:sz w:val="24"/>
                <w:szCs w:val="24"/>
                <w:highlight w:val="none"/>
                <w:vertAlign w:val="subscript"/>
                <w:lang w:eastAsia="zh-CN"/>
                <w14:textFill>
                  <w14:solidFill>
                    <w14:schemeClr w14:val="tx1"/>
                  </w14:solidFill>
                </w14:textFill>
              </w:rPr>
              <w:t>2</w:t>
            </w:r>
            <w:r>
              <w:rPr>
                <w:rFonts w:ascii="Times New Roman" w:hAnsi="Times New Roman" w:cs="Times New Roman"/>
                <w:color w:val="000000" w:themeColor="text1"/>
                <w:sz w:val="24"/>
                <w:szCs w:val="24"/>
                <w:highlight w:val="none"/>
                <w:lang w:eastAsia="zh-CN"/>
                <w14:textFill>
                  <w14:solidFill>
                    <w14:schemeClr w14:val="tx1"/>
                  </w14:solidFill>
                </w14:textFill>
              </w:rPr>
              <w:t>、NO</w:t>
            </w:r>
            <w:r>
              <w:rPr>
                <w:rFonts w:ascii="Times New Roman" w:hAnsi="Times New Roman" w:cs="Times New Roman"/>
                <w:color w:val="000000" w:themeColor="text1"/>
                <w:sz w:val="24"/>
                <w:szCs w:val="24"/>
                <w:highlight w:val="none"/>
                <w:vertAlign w:val="subscript"/>
                <w:lang w:eastAsia="zh-CN"/>
                <w14:textFill>
                  <w14:solidFill>
                    <w14:schemeClr w14:val="tx1"/>
                  </w14:solidFill>
                </w14:textFill>
              </w:rPr>
              <w:t>2</w:t>
            </w:r>
            <w:r>
              <w:rPr>
                <w:rFonts w:ascii="Times New Roman" w:hAnsi="Times New Roman" w:cs="Times New Roman"/>
                <w:color w:val="000000" w:themeColor="text1"/>
                <w:sz w:val="24"/>
                <w:szCs w:val="24"/>
                <w:highlight w:val="none"/>
                <w:lang w:eastAsia="zh-CN"/>
                <w14:textFill>
                  <w14:solidFill>
                    <w14:schemeClr w14:val="tx1"/>
                  </w14:solidFill>
                </w14:textFill>
              </w:rPr>
              <w:t>、CO、O</w:t>
            </w:r>
            <w:r>
              <w:rPr>
                <w:rFonts w:ascii="Times New Roman" w:hAnsi="Times New Roman" w:cs="Times New Roman"/>
                <w:color w:val="000000" w:themeColor="text1"/>
                <w:sz w:val="24"/>
                <w:szCs w:val="24"/>
                <w:highlight w:val="none"/>
                <w:vertAlign w:val="subscript"/>
                <w:lang w:eastAsia="zh-CN"/>
                <w14:textFill>
                  <w14:solidFill>
                    <w14:schemeClr w14:val="tx1"/>
                  </w14:solidFill>
                </w14:textFill>
              </w:rPr>
              <w:t>3</w:t>
            </w:r>
            <w:r>
              <w:rPr>
                <w:rFonts w:ascii="Times New Roman" w:hAnsi="Times New Roman" w:cs="Times New Roman"/>
                <w:color w:val="000000" w:themeColor="text1"/>
                <w:sz w:val="24"/>
                <w:szCs w:val="24"/>
                <w:highlight w:val="none"/>
                <w:lang w:eastAsia="zh-CN"/>
                <w14:textFill>
                  <w14:solidFill>
                    <w14:schemeClr w14:val="tx1"/>
                  </w14:solidFill>
                </w14:textFill>
              </w:rPr>
              <w:t>的现状浓度均符合《环境空气质量标准》（GB</w:t>
            </w:r>
            <w:r>
              <w:rPr>
                <w:rFonts w:hint="eastAsia" w:ascii="Times New Roman" w:hAnsi="Times New Roman" w:cs="Times New Roman"/>
                <w:color w:val="000000" w:themeColor="text1"/>
                <w:sz w:val="24"/>
                <w:szCs w:val="24"/>
                <w:highlight w:val="none"/>
                <w:lang w:eastAsia="zh-CN"/>
                <w14:textFill>
                  <w14:solidFill>
                    <w14:schemeClr w14:val="tx1"/>
                  </w14:solidFill>
                </w14:textFill>
              </w:rPr>
              <w:t>3095-2026</w:t>
            </w:r>
            <w:r>
              <w:rPr>
                <w:rFonts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pacing w:val="-2"/>
                <w:sz w:val="24"/>
                <w:szCs w:val="24"/>
                <w:highlight w:val="none"/>
                <w:lang w:eastAsia="zh-CN"/>
                <w14:textFill>
                  <w14:solidFill>
                    <w14:schemeClr w14:val="tx1"/>
                  </w14:solidFill>
                </w14:textFill>
              </w:rPr>
              <w:t>中的</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过渡阶段</w:t>
            </w:r>
            <w:r>
              <w:rPr>
                <w:rFonts w:ascii="Times New Roman" w:hAnsi="Times New Roman" w:cs="Times New Roman"/>
                <w:color w:val="000000" w:themeColor="text1"/>
                <w:spacing w:val="-2"/>
                <w:sz w:val="24"/>
                <w:szCs w:val="24"/>
                <w:highlight w:val="none"/>
                <w:lang w:eastAsia="zh-CN"/>
                <w14:textFill>
                  <w14:solidFill>
                    <w14:schemeClr w14:val="tx1"/>
                  </w14:solidFill>
                </w14:textFill>
              </w:rPr>
              <w:t>二级</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浓度限值</w:t>
            </w:r>
            <w:r>
              <w:rPr>
                <w:rFonts w:ascii="Times New Roman" w:hAnsi="Times New Roman" w:cs="Times New Roman"/>
                <w:color w:val="000000" w:themeColor="text1"/>
                <w:sz w:val="24"/>
                <w:szCs w:val="24"/>
                <w:highlight w:val="none"/>
                <w:lang w:eastAsia="zh-CN"/>
                <w14:textFill>
                  <w14:solidFill>
                    <w14:schemeClr w14:val="tx1"/>
                  </w14:solidFill>
                </w14:textFill>
              </w:rPr>
              <w:t>，PM</w:t>
            </w:r>
            <w:r>
              <w:rPr>
                <w:rFonts w:ascii="Times New Roman" w:hAnsi="Times New Roman" w:cs="Times New Roman"/>
                <w:color w:val="000000" w:themeColor="text1"/>
                <w:sz w:val="24"/>
                <w:szCs w:val="24"/>
                <w:highlight w:val="none"/>
                <w:vertAlign w:val="subscript"/>
                <w:lang w:eastAsia="zh-CN"/>
                <w14:textFill>
                  <w14:solidFill>
                    <w14:schemeClr w14:val="tx1"/>
                  </w14:solidFill>
                </w14:textFill>
              </w:rPr>
              <w:t>10</w:t>
            </w:r>
            <w:r>
              <w:rPr>
                <w:rFonts w:ascii="Times New Roman" w:hAnsi="Times New Roman" w:cs="Times New Roman"/>
                <w:color w:val="000000" w:themeColor="text1"/>
                <w:sz w:val="24"/>
                <w:szCs w:val="24"/>
                <w:highlight w:val="none"/>
                <w:lang w:eastAsia="zh-CN"/>
                <w14:textFill>
                  <w14:solidFill>
                    <w14:schemeClr w14:val="tx1"/>
                  </w14:solidFill>
                </w14:textFill>
              </w:rPr>
              <w:t>和PM</w:t>
            </w:r>
            <w:r>
              <w:rPr>
                <w:rFonts w:ascii="Times New Roman" w:hAnsi="Times New Roman" w:cs="Times New Roman"/>
                <w:color w:val="000000" w:themeColor="text1"/>
                <w:sz w:val="24"/>
                <w:szCs w:val="24"/>
                <w:highlight w:val="none"/>
                <w:vertAlign w:val="subscript"/>
                <w:lang w:eastAsia="zh-CN"/>
                <w14:textFill>
                  <w14:solidFill>
                    <w14:schemeClr w14:val="tx1"/>
                  </w14:solidFill>
                </w14:textFill>
              </w:rPr>
              <w:t>2.5</w:t>
            </w:r>
            <w:r>
              <w:rPr>
                <w:rFonts w:ascii="Times New Roman" w:hAnsi="Times New Roman" w:cs="Times New Roman"/>
                <w:color w:val="000000" w:themeColor="text1"/>
                <w:sz w:val="24"/>
                <w:szCs w:val="24"/>
                <w:highlight w:val="none"/>
                <w:lang w:eastAsia="zh-CN"/>
                <w14:textFill>
                  <w14:solidFill>
                    <w14:schemeClr w14:val="tx1"/>
                  </w14:solidFill>
                </w14:textFill>
              </w:rPr>
              <w:t>的现状浓度超标，具体情况见下表。</w:t>
            </w:r>
          </w:p>
          <w:p w14:paraId="0D89A4E8">
            <w:pPr>
              <w:pStyle w:val="5"/>
              <w:keepNext/>
              <w:keepLines w:val="0"/>
              <w:pageBreakBefore w:val="0"/>
              <w:widowControl/>
              <w:kinsoku/>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表</w:t>
            </w:r>
            <w:bookmarkEnd w:id="16"/>
            <w:r>
              <w:rPr>
                <w:rFonts w:ascii="Times New Roman" w:hAnsi="Times New Roman" w:eastAsia="宋体" w:cs="Times New Roman"/>
                <w:b/>
                <w:bCs/>
                <w:color w:val="000000" w:themeColor="text1"/>
                <w:highlight w:val="none"/>
                <w:lang w:eastAsia="zh-CN"/>
                <w14:textFill>
                  <w14:solidFill>
                    <w14:schemeClr w14:val="tx1"/>
                  </w14:solidFill>
                </w14:textFill>
              </w:rPr>
              <w:t xml:space="preserve">3-3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highlight w:val="none"/>
                <w:lang w:eastAsia="zh-CN"/>
                <w14:textFill>
                  <w14:solidFill>
                    <w14:schemeClr w14:val="tx1"/>
                  </w14:solidFill>
                </w14:textFill>
              </w:rPr>
              <w:t>大气质量及评价结果一览表</w:t>
            </w:r>
          </w:p>
          <w:tbl>
            <w:tblPr>
              <w:tblStyle w:val="21"/>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7"/>
              <w:gridCol w:w="2885"/>
              <w:gridCol w:w="1052"/>
              <w:gridCol w:w="1175"/>
              <w:gridCol w:w="1177"/>
              <w:gridCol w:w="904"/>
            </w:tblGrid>
            <w:tr w14:paraId="37F94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jc w:val="center"/>
              </w:trPr>
              <w:tc>
                <w:tcPr>
                  <w:tcW w:w="554" w:type="pct"/>
                  <w:vAlign w:val="center"/>
                </w:tcPr>
                <w:p w14:paraId="74882215">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pacing w:val="1"/>
                      <w:sz w:val="21"/>
                      <w:szCs w:val="21"/>
                      <w:highlight w:val="none"/>
                      <w14:textFill>
                        <w14:solidFill>
                          <w14:schemeClr w14:val="tx1"/>
                        </w14:solidFill>
                      </w14:textFill>
                    </w:rPr>
                  </w:pPr>
                  <w:r>
                    <w:rPr>
                      <w:rFonts w:ascii="Times New Roman" w:hAnsi="Times New Roman" w:cs="Times New Roman"/>
                      <w:b/>
                      <w:bCs/>
                      <w:color w:val="000000" w:themeColor="text1"/>
                      <w:spacing w:val="1"/>
                      <w:sz w:val="21"/>
                      <w:szCs w:val="21"/>
                      <w:highlight w:val="none"/>
                      <w14:textFill>
                        <w14:solidFill>
                          <w14:schemeClr w14:val="tx1"/>
                        </w14:solidFill>
                      </w14:textFill>
                    </w:rPr>
                    <w:t>污染物</w:t>
                  </w:r>
                </w:p>
              </w:tc>
              <w:tc>
                <w:tcPr>
                  <w:tcW w:w="1782" w:type="pct"/>
                  <w:vAlign w:val="center"/>
                </w:tcPr>
                <w:p w14:paraId="25907C9C">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pacing w:val="1"/>
                      <w:sz w:val="21"/>
                      <w:szCs w:val="21"/>
                      <w:highlight w:val="none"/>
                      <w14:textFill>
                        <w14:solidFill>
                          <w14:schemeClr w14:val="tx1"/>
                        </w14:solidFill>
                      </w14:textFill>
                    </w:rPr>
                  </w:pPr>
                  <w:r>
                    <w:rPr>
                      <w:rFonts w:ascii="Times New Roman" w:hAnsi="Times New Roman" w:cs="Times New Roman"/>
                      <w:b/>
                      <w:bCs/>
                      <w:color w:val="000000" w:themeColor="text1"/>
                      <w:spacing w:val="1"/>
                      <w:sz w:val="21"/>
                      <w:szCs w:val="21"/>
                      <w:highlight w:val="none"/>
                      <w14:textFill>
                        <w14:solidFill>
                          <w14:schemeClr w14:val="tx1"/>
                        </w14:solidFill>
                      </w14:textFill>
                    </w:rPr>
                    <w:t>评价指标</w:t>
                  </w:r>
                </w:p>
              </w:tc>
              <w:tc>
                <w:tcPr>
                  <w:tcW w:w="650" w:type="pct"/>
                  <w:vAlign w:val="center"/>
                </w:tcPr>
                <w:p w14:paraId="3309459D">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1"/>
                      <w:sz w:val="21"/>
                      <w:szCs w:val="21"/>
                      <w:highlight w:val="none"/>
                      <w14:textFill>
                        <w14:solidFill>
                          <w14:schemeClr w14:val="tx1"/>
                        </w14:solidFill>
                      </w14:textFill>
                    </w:rPr>
                    <w:t>现状浓度</w:t>
                  </w:r>
                  <w:r>
                    <w:rPr>
                      <w:rFonts w:hint="eastAsia" w:ascii="Times New Roman" w:hAnsi="Times New Roman" w:cs="Times New Roman"/>
                      <w:b/>
                      <w:bCs/>
                      <w:color w:val="000000" w:themeColor="text1"/>
                      <w:spacing w:val="1"/>
                      <w:sz w:val="21"/>
                      <w:szCs w:val="21"/>
                      <w:highlight w:val="none"/>
                      <w:lang w:eastAsia="zh-CN"/>
                      <w14:textFill>
                        <w14:solidFill>
                          <w14:schemeClr w14:val="tx1"/>
                        </w14:solidFill>
                      </w14:textFill>
                    </w:rPr>
                    <w:t>（</w:t>
                  </w:r>
                  <w:r>
                    <w:rPr>
                      <w:rFonts w:ascii="Times New Roman" w:hAnsi="Times New Roman" w:cs="Times New Roman"/>
                      <w:b/>
                      <w:bCs/>
                      <w:color w:val="000000" w:themeColor="text1"/>
                      <w:spacing w:val="1"/>
                      <w:sz w:val="21"/>
                      <w:szCs w:val="21"/>
                      <w:highlight w:val="none"/>
                      <w14:textFill>
                        <w14:solidFill>
                          <w14:schemeClr w14:val="tx1"/>
                        </w14:solidFill>
                      </w14:textFill>
                    </w:rPr>
                    <w:t>μ</w:t>
                  </w:r>
                  <w:r>
                    <w:rPr>
                      <w:rFonts w:ascii="Times New Roman" w:hAnsi="Times New Roman" w:cs="Times New Roman"/>
                      <w:b/>
                      <w:bCs/>
                      <w:color w:val="000000" w:themeColor="text1"/>
                      <w:spacing w:val="2"/>
                      <w:sz w:val="21"/>
                      <w:szCs w:val="21"/>
                      <w:highlight w:val="none"/>
                      <w14:textFill>
                        <w14:solidFill>
                          <w14:schemeClr w14:val="tx1"/>
                        </w14:solidFill>
                      </w14:textFill>
                    </w:rPr>
                    <w:t>g/m</w:t>
                  </w:r>
                  <w:r>
                    <w:rPr>
                      <w:rFonts w:ascii="Times New Roman" w:hAnsi="Times New Roman" w:cs="Times New Roman"/>
                      <w:b/>
                      <w:bCs/>
                      <w:color w:val="000000" w:themeColor="text1"/>
                      <w:spacing w:val="2"/>
                      <w:sz w:val="21"/>
                      <w:szCs w:val="21"/>
                      <w:highlight w:val="none"/>
                      <w:vertAlign w:val="superscript"/>
                      <w:lang w:eastAsia="zh-CN"/>
                      <w14:textFill>
                        <w14:solidFill>
                          <w14:schemeClr w14:val="tx1"/>
                        </w14:solidFill>
                      </w14:textFill>
                    </w:rPr>
                    <w:t>3</w:t>
                  </w:r>
                  <w:r>
                    <w:rPr>
                      <w:rFonts w:ascii="Times New Roman" w:hAnsi="Times New Roman" w:cs="Times New Roman"/>
                      <w:b/>
                      <w:bCs/>
                      <w:color w:val="000000" w:themeColor="text1"/>
                      <w:spacing w:val="2"/>
                      <w:sz w:val="21"/>
                      <w:szCs w:val="21"/>
                      <w:highlight w:val="none"/>
                      <w14:textFill>
                        <w14:solidFill>
                          <w14:schemeClr w14:val="tx1"/>
                        </w14:solidFill>
                      </w14:textFill>
                    </w:rPr>
                    <w:t>）</w:t>
                  </w:r>
                </w:p>
              </w:tc>
              <w:tc>
                <w:tcPr>
                  <w:tcW w:w="726" w:type="pct"/>
                  <w:vAlign w:val="center"/>
                </w:tcPr>
                <w:p w14:paraId="05C062D1">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1"/>
                      <w:sz w:val="21"/>
                      <w:szCs w:val="21"/>
                      <w:highlight w:val="none"/>
                      <w14:textFill>
                        <w14:solidFill>
                          <w14:schemeClr w14:val="tx1"/>
                        </w14:solidFill>
                      </w14:textFill>
                    </w:rPr>
                    <w:t>标准值</w:t>
                  </w:r>
                  <w:r>
                    <w:rPr>
                      <w:rFonts w:hint="eastAsia" w:ascii="Times New Roman" w:hAnsi="Times New Roman" w:cs="Times New Roman"/>
                      <w:b/>
                      <w:bCs/>
                      <w:color w:val="000000" w:themeColor="text1"/>
                      <w:spacing w:val="1"/>
                      <w:sz w:val="21"/>
                      <w:szCs w:val="21"/>
                      <w:highlight w:val="none"/>
                      <w:lang w:eastAsia="zh-CN"/>
                      <w14:textFill>
                        <w14:solidFill>
                          <w14:schemeClr w14:val="tx1"/>
                        </w14:solidFill>
                      </w14:textFill>
                    </w:rPr>
                    <w:t>（</w:t>
                  </w:r>
                  <w:r>
                    <w:rPr>
                      <w:rFonts w:ascii="Times New Roman" w:hAnsi="Times New Roman" w:cs="Times New Roman"/>
                      <w:b/>
                      <w:bCs/>
                      <w:color w:val="000000" w:themeColor="text1"/>
                      <w:spacing w:val="1"/>
                      <w:sz w:val="21"/>
                      <w:szCs w:val="21"/>
                      <w:highlight w:val="none"/>
                      <w14:textFill>
                        <w14:solidFill>
                          <w14:schemeClr w14:val="tx1"/>
                        </w14:solidFill>
                      </w14:textFill>
                    </w:rPr>
                    <w:t>μg/</w:t>
                  </w:r>
                  <w:r>
                    <w:rPr>
                      <w:rFonts w:ascii="Times New Roman" w:hAnsi="Times New Roman" w:cs="Times New Roman"/>
                      <w:b/>
                      <w:bCs/>
                      <w:color w:val="000000" w:themeColor="text1"/>
                      <w:spacing w:val="3"/>
                      <w:position w:val="-1"/>
                      <w:sz w:val="21"/>
                      <w:szCs w:val="21"/>
                      <w:highlight w:val="none"/>
                      <w14:textFill>
                        <w14:solidFill>
                          <w14:schemeClr w14:val="tx1"/>
                        </w14:solidFill>
                      </w14:textFill>
                    </w:rPr>
                    <w:t>m</w:t>
                  </w:r>
                  <w:r>
                    <w:rPr>
                      <w:rFonts w:ascii="Times New Roman" w:hAnsi="Times New Roman" w:cs="Times New Roman"/>
                      <w:b/>
                      <w:bCs/>
                      <w:color w:val="000000" w:themeColor="text1"/>
                      <w:spacing w:val="3"/>
                      <w:position w:val="-1"/>
                      <w:sz w:val="21"/>
                      <w:szCs w:val="21"/>
                      <w:highlight w:val="none"/>
                      <w:vertAlign w:val="superscript"/>
                      <w:lang w:eastAsia="zh-CN"/>
                      <w14:textFill>
                        <w14:solidFill>
                          <w14:schemeClr w14:val="tx1"/>
                        </w14:solidFill>
                      </w14:textFill>
                    </w:rPr>
                    <w:t>3</w:t>
                  </w:r>
                  <w:r>
                    <w:rPr>
                      <w:rFonts w:ascii="Times New Roman" w:hAnsi="Times New Roman" w:cs="Times New Roman"/>
                      <w:b/>
                      <w:bCs/>
                      <w:color w:val="000000" w:themeColor="text1"/>
                      <w:spacing w:val="3"/>
                      <w:position w:val="-1"/>
                      <w:sz w:val="21"/>
                      <w:szCs w:val="21"/>
                      <w:highlight w:val="none"/>
                      <w14:textFill>
                        <w14:solidFill>
                          <w14:schemeClr w14:val="tx1"/>
                        </w14:solidFill>
                      </w14:textFill>
                    </w:rPr>
                    <w:t>）</w:t>
                  </w:r>
                </w:p>
              </w:tc>
              <w:tc>
                <w:tcPr>
                  <w:tcW w:w="727" w:type="pct"/>
                  <w:vAlign w:val="center"/>
                </w:tcPr>
                <w:p w14:paraId="409BAA0B">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pacing w:val="-5"/>
                      <w:sz w:val="21"/>
                      <w:szCs w:val="21"/>
                      <w:highlight w:val="none"/>
                      <w14:textFill>
                        <w14:solidFill>
                          <w14:schemeClr w14:val="tx1"/>
                        </w14:solidFill>
                      </w14:textFill>
                    </w:rPr>
                  </w:pPr>
                  <w:r>
                    <w:rPr>
                      <w:rFonts w:ascii="Times New Roman" w:hAnsi="Times New Roman" w:cs="Times New Roman"/>
                      <w:b/>
                      <w:bCs/>
                      <w:color w:val="000000" w:themeColor="text1"/>
                      <w:spacing w:val="-5"/>
                      <w:sz w:val="21"/>
                      <w:szCs w:val="21"/>
                      <w:highlight w:val="none"/>
                      <w14:textFill>
                        <w14:solidFill>
                          <w14:schemeClr w14:val="tx1"/>
                        </w14:solidFill>
                      </w14:textFill>
                    </w:rPr>
                    <w:t>占标率</w:t>
                  </w:r>
                </w:p>
                <w:p w14:paraId="2ED731BA">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1"/>
                      <w:sz w:val="21"/>
                      <w:szCs w:val="21"/>
                      <w:highlight w:val="none"/>
                      <w14:textFill>
                        <w14:solidFill>
                          <w14:schemeClr w14:val="tx1"/>
                        </w14:solidFill>
                      </w14:textFill>
                    </w:rPr>
                    <w:t>（%）</w:t>
                  </w:r>
                </w:p>
              </w:tc>
              <w:tc>
                <w:tcPr>
                  <w:tcW w:w="558" w:type="pct"/>
                  <w:tcBorders>
                    <w:right w:val="single" w:color="000000" w:sz="4" w:space="0"/>
                  </w:tcBorders>
                  <w:vAlign w:val="center"/>
                </w:tcPr>
                <w:p w14:paraId="109B7C39">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5"/>
                      <w:sz w:val="21"/>
                      <w:szCs w:val="21"/>
                      <w:highlight w:val="none"/>
                      <w14:textFill>
                        <w14:solidFill>
                          <w14:schemeClr w14:val="tx1"/>
                        </w14:solidFill>
                      </w14:textFill>
                    </w:rPr>
                    <w:t>达标</w:t>
                  </w:r>
                  <w:r>
                    <w:rPr>
                      <w:rFonts w:ascii="Times New Roman" w:hAnsi="Times New Roman" w:cs="Times New Roman"/>
                      <w:b/>
                      <w:bCs/>
                      <w:color w:val="000000" w:themeColor="text1"/>
                      <w:spacing w:val="4"/>
                      <w:sz w:val="21"/>
                      <w:szCs w:val="21"/>
                      <w:highlight w:val="none"/>
                      <w14:textFill>
                        <w14:solidFill>
                          <w14:schemeClr w14:val="tx1"/>
                        </w14:solidFill>
                      </w14:textFill>
                    </w:rPr>
                    <w:t>情况</w:t>
                  </w:r>
                </w:p>
              </w:tc>
            </w:tr>
            <w:tr w14:paraId="1969E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721B592F">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SO</w:t>
                  </w:r>
                  <w:r>
                    <w:rPr>
                      <w:rFonts w:ascii="Times New Roman" w:hAnsi="Times New Roman" w:eastAsia="宋体" w:cs="Times New Roman"/>
                      <w:color w:val="000000" w:themeColor="text1"/>
                      <w:spacing w:val="3"/>
                      <w:position w:val="-1"/>
                      <w:highlight w:val="none"/>
                      <w:vertAlign w:val="subscript"/>
                      <w14:textFill>
                        <w14:solidFill>
                          <w14:schemeClr w14:val="tx1"/>
                        </w14:solidFill>
                      </w14:textFill>
                    </w:rPr>
                    <w:t>2</w:t>
                  </w:r>
                </w:p>
              </w:tc>
              <w:tc>
                <w:tcPr>
                  <w:tcW w:w="1782" w:type="pct"/>
                  <w:vAlign w:val="center"/>
                </w:tcPr>
                <w:p w14:paraId="1E394814">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年平均质量浓度</w:t>
                  </w:r>
                </w:p>
              </w:tc>
              <w:tc>
                <w:tcPr>
                  <w:tcW w:w="650" w:type="pct"/>
                  <w:vAlign w:val="center"/>
                </w:tcPr>
                <w:p w14:paraId="168EDF3D">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7</w:t>
                  </w:r>
                </w:p>
              </w:tc>
              <w:tc>
                <w:tcPr>
                  <w:tcW w:w="726" w:type="pct"/>
                  <w:vAlign w:val="center"/>
                </w:tcPr>
                <w:p w14:paraId="0216F4F1">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60</w:t>
                  </w:r>
                </w:p>
              </w:tc>
              <w:tc>
                <w:tcPr>
                  <w:tcW w:w="727" w:type="pct"/>
                  <w:vAlign w:val="center"/>
                </w:tcPr>
                <w:p w14:paraId="45BF637E">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11.67</w:t>
                  </w:r>
                </w:p>
              </w:tc>
              <w:tc>
                <w:tcPr>
                  <w:tcW w:w="558" w:type="pct"/>
                  <w:tcBorders>
                    <w:right w:val="single" w:color="000000" w:sz="4" w:space="0"/>
                  </w:tcBorders>
                  <w:vAlign w:val="center"/>
                </w:tcPr>
                <w:p w14:paraId="5A58BD7A">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达标</w:t>
                  </w:r>
                </w:p>
              </w:tc>
            </w:tr>
            <w:tr w14:paraId="02871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0ECE2597">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spacing w:val="6"/>
                      <w:highlight w:val="none"/>
                      <w14:textFill>
                        <w14:solidFill>
                          <w14:schemeClr w14:val="tx1"/>
                        </w14:solidFill>
                      </w14:textFill>
                    </w:rPr>
                    <w:t>NO</w:t>
                  </w:r>
                  <w:r>
                    <w:rPr>
                      <w:rFonts w:ascii="Times New Roman" w:hAnsi="Times New Roman" w:eastAsia="宋体" w:cs="Times New Roman"/>
                      <w:color w:val="000000" w:themeColor="text1"/>
                      <w:spacing w:val="6"/>
                      <w:position w:val="-1"/>
                      <w:highlight w:val="none"/>
                      <w:vertAlign w:val="subscript"/>
                      <w14:textFill>
                        <w14:solidFill>
                          <w14:schemeClr w14:val="tx1"/>
                        </w14:solidFill>
                      </w14:textFill>
                    </w:rPr>
                    <w:t>2</w:t>
                  </w:r>
                </w:p>
              </w:tc>
              <w:tc>
                <w:tcPr>
                  <w:tcW w:w="1782" w:type="pct"/>
                  <w:vAlign w:val="center"/>
                </w:tcPr>
                <w:p w14:paraId="1584CA81">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年平均质量浓度</w:t>
                  </w:r>
                </w:p>
              </w:tc>
              <w:tc>
                <w:tcPr>
                  <w:tcW w:w="650" w:type="pct"/>
                  <w:vAlign w:val="center"/>
                </w:tcPr>
                <w:p w14:paraId="225976A1">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30</w:t>
                  </w:r>
                </w:p>
              </w:tc>
              <w:tc>
                <w:tcPr>
                  <w:tcW w:w="726" w:type="pct"/>
                  <w:vAlign w:val="center"/>
                </w:tcPr>
                <w:p w14:paraId="5D28C811">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40</w:t>
                  </w:r>
                </w:p>
              </w:tc>
              <w:tc>
                <w:tcPr>
                  <w:tcW w:w="727" w:type="pct"/>
                  <w:vAlign w:val="center"/>
                </w:tcPr>
                <w:p w14:paraId="00901C41">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75.00</w:t>
                  </w:r>
                </w:p>
              </w:tc>
              <w:tc>
                <w:tcPr>
                  <w:tcW w:w="558" w:type="pct"/>
                  <w:tcBorders>
                    <w:right w:val="single" w:color="000000" w:sz="4" w:space="0"/>
                  </w:tcBorders>
                  <w:vAlign w:val="center"/>
                </w:tcPr>
                <w:p w14:paraId="3398A88E">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达标</w:t>
                  </w:r>
                </w:p>
              </w:tc>
            </w:tr>
            <w:tr w14:paraId="5AEA3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13E033B5">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PM</w:t>
                  </w:r>
                  <w:r>
                    <w:rPr>
                      <w:rFonts w:ascii="Times New Roman" w:hAnsi="Times New Roman" w:eastAsia="宋体" w:cs="Times New Roman"/>
                      <w:color w:val="000000" w:themeColor="text1"/>
                      <w:spacing w:val="8"/>
                      <w:position w:val="-1"/>
                      <w:highlight w:val="none"/>
                      <w:vertAlign w:val="subscript"/>
                      <w14:textFill>
                        <w14:solidFill>
                          <w14:schemeClr w14:val="tx1"/>
                        </w14:solidFill>
                      </w14:textFill>
                    </w:rPr>
                    <w:t>10</w:t>
                  </w:r>
                </w:p>
              </w:tc>
              <w:tc>
                <w:tcPr>
                  <w:tcW w:w="1782" w:type="pct"/>
                  <w:vAlign w:val="center"/>
                </w:tcPr>
                <w:p w14:paraId="1B2C703A">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年平均质量浓度</w:t>
                  </w:r>
                </w:p>
              </w:tc>
              <w:tc>
                <w:tcPr>
                  <w:tcW w:w="650" w:type="pct"/>
                  <w:vAlign w:val="center"/>
                </w:tcPr>
                <w:p w14:paraId="12DA1C28">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75</w:t>
                  </w:r>
                </w:p>
              </w:tc>
              <w:tc>
                <w:tcPr>
                  <w:tcW w:w="726" w:type="pct"/>
                  <w:vAlign w:val="center"/>
                </w:tcPr>
                <w:p w14:paraId="5476D367">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60</w:t>
                  </w:r>
                </w:p>
              </w:tc>
              <w:tc>
                <w:tcPr>
                  <w:tcW w:w="727" w:type="pct"/>
                  <w:vAlign w:val="center"/>
                </w:tcPr>
                <w:p w14:paraId="6D9906B2">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125.00</w:t>
                  </w:r>
                </w:p>
              </w:tc>
              <w:tc>
                <w:tcPr>
                  <w:tcW w:w="558" w:type="pct"/>
                  <w:tcBorders>
                    <w:right w:val="single" w:color="000000" w:sz="4" w:space="0"/>
                  </w:tcBorders>
                  <w:vAlign w:val="center"/>
                </w:tcPr>
                <w:p w14:paraId="22A2CEF4">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color w:val="000000" w:themeColor="text1"/>
                      <w:sz w:val="21"/>
                      <w:szCs w:val="21"/>
                      <w:highlight w:val="none"/>
                      <w14:textFill>
                        <w14:solidFill>
                          <w14:schemeClr w14:val="tx1"/>
                        </w14:solidFill>
                      </w14:textFill>
                    </w:rPr>
                    <w:t>超标</w:t>
                  </w:r>
                </w:p>
              </w:tc>
            </w:tr>
            <w:tr w14:paraId="769D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672E8690">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PM</w:t>
                  </w:r>
                  <w:r>
                    <w:rPr>
                      <w:rFonts w:ascii="Times New Roman" w:hAnsi="Times New Roman" w:eastAsia="宋体" w:cs="Times New Roman"/>
                      <w:color w:val="000000" w:themeColor="text1"/>
                      <w:spacing w:val="6"/>
                      <w:position w:val="-1"/>
                      <w:highlight w:val="none"/>
                      <w:vertAlign w:val="subscript"/>
                      <w14:textFill>
                        <w14:solidFill>
                          <w14:schemeClr w14:val="tx1"/>
                        </w14:solidFill>
                      </w14:textFill>
                    </w:rPr>
                    <w:t>2.5</w:t>
                  </w:r>
                </w:p>
              </w:tc>
              <w:tc>
                <w:tcPr>
                  <w:tcW w:w="1782" w:type="pct"/>
                  <w:vAlign w:val="center"/>
                </w:tcPr>
                <w:p w14:paraId="7EED21B1">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年平均质量浓度</w:t>
                  </w:r>
                </w:p>
              </w:tc>
              <w:tc>
                <w:tcPr>
                  <w:tcW w:w="650" w:type="pct"/>
                  <w:vAlign w:val="center"/>
                </w:tcPr>
                <w:p w14:paraId="6A328C44">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spacing w:val="7"/>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40</w:t>
                  </w:r>
                </w:p>
              </w:tc>
              <w:tc>
                <w:tcPr>
                  <w:tcW w:w="726" w:type="pct"/>
                  <w:vAlign w:val="center"/>
                </w:tcPr>
                <w:p w14:paraId="303C0E68">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30</w:t>
                  </w:r>
                </w:p>
              </w:tc>
              <w:tc>
                <w:tcPr>
                  <w:tcW w:w="727" w:type="pct"/>
                  <w:vAlign w:val="center"/>
                </w:tcPr>
                <w:p w14:paraId="0B016F5F">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133.33</w:t>
                  </w:r>
                </w:p>
              </w:tc>
              <w:tc>
                <w:tcPr>
                  <w:tcW w:w="558" w:type="pct"/>
                  <w:tcBorders>
                    <w:right w:val="single" w:color="000000" w:sz="4" w:space="0"/>
                  </w:tcBorders>
                  <w:vAlign w:val="center"/>
                </w:tcPr>
                <w:p w14:paraId="511A3CD8">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b/>
                      <w:color w:val="000000" w:themeColor="text1"/>
                      <w:highlight w:val="none"/>
                      <w14:textFill>
                        <w14:solidFill>
                          <w14:schemeClr w14:val="tx1"/>
                        </w14:solidFill>
                      </w14:textFill>
                    </w:rPr>
                    <w:t>超标</w:t>
                  </w:r>
                </w:p>
              </w:tc>
            </w:tr>
            <w:tr w14:paraId="78EA2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jc w:val="center"/>
              </w:trPr>
              <w:tc>
                <w:tcPr>
                  <w:tcW w:w="554" w:type="pct"/>
                  <w:vAlign w:val="center"/>
                </w:tcPr>
                <w:p w14:paraId="001D037D">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spacing w:val="2"/>
                      <w:highlight w:val="none"/>
                      <w14:textFill>
                        <w14:solidFill>
                          <w14:schemeClr w14:val="tx1"/>
                        </w14:solidFill>
                      </w14:textFill>
                    </w:rPr>
                    <w:t>CO</w:t>
                  </w:r>
                </w:p>
              </w:tc>
              <w:tc>
                <w:tcPr>
                  <w:tcW w:w="1782" w:type="pct"/>
                  <w:vAlign w:val="center"/>
                </w:tcPr>
                <w:p w14:paraId="741B81FD">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8"/>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24小时平均第95百分位数</w:t>
                  </w:r>
                </w:p>
              </w:tc>
              <w:tc>
                <w:tcPr>
                  <w:tcW w:w="650" w:type="pct"/>
                  <w:vAlign w:val="center"/>
                </w:tcPr>
                <w:p w14:paraId="5E56ADDD">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spacing w:val="7"/>
                      <w:highlight w:val="none"/>
                      <w:lang w:eastAsia="zh-CN"/>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0.8(mg/m</w:t>
                  </w:r>
                  <w:r>
                    <w:rPr>
                      <w:rFonts w:ascii="Times New Roman" w:hAnsi="Times New Roman" w:eastAsia="宋体" w:cs="Times New Roman"/>
                      <w:color w:val="000000" w:themeColor="text1"/>
                      <w:highlight w:val="none"/>
                      <w:vertAlign w:val="superscript"/>
                      <w14:textFill>
                        <w14:solidFill>
                          <w14:schemeClr w14:val="tx1"/>
                        </w14:solidFill>
                      </w14:textFill>
                    </w:rPr>
                    <w:t>3</w:t>
                  </w:r>
                  <w:r>
                    <w:rPr>
                      <w:rFonts w:ascii="Times New Roman" w:hAnsi="Times New Roman" w:eastAsia="宋体" w:cs="Times New Roman"/>
                      <w:color w:val="000000" w:themeColor="text1"/>
                      <w:highlight w:val="none"/>
                      <w14:textFill>
                        <w14:solidFill>
                          <w14:schemeClr w14:val="tx1"/>
                        </w14:solidFill>
                      </w14:textFill>
                    </w:rPr>
                    <w:t>)</w:t>
                  </w:r>
                </w:p>
              </w:tc>
              <w:tc>
                <w:tcPr>
                  <w:tcW w:w="726" w:type="pct"/>
                  <w:vAlign w:val="center"/>
                </w:tcPr>
                <w:p w14:paraId="3E58CF2D">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4(mg/m</w:t>
                  </w:r>
                  <w:r>
                    <w:rPr>
                      <w:rFonts w:ascii="Times New Roman" w:hAnsi="Times New Roman" w:eastAsia="宋体" w:cs="Times New Roman"/>
                      <w:color w:val="000000" w:themeColor="text1"/>
                      <w:highlight w:val="none"/>
                      <w:vertAlign w:val="superscript"/>
                      <w14:textFill>
                        <w14:solidFill>
                          <w14:schemeClr w14:val="tx1"/>
                        </w14:solidFill>
                      </w14:textFill>
                    </w:rPr>
                    <w:t>3</w:t>
                  </w:r>
                  <w:r>
                    <w:rPr>
                      <w:rFonts w:ascii="Times New Roman" w:hAnsi="Times New Roman" w:eastAsia="宋体" w:cs="Times New Roman"/>
                      <w:color w:val="000000" w:themeColor="text1"/>
                      <w:highlight w:val="none"/>
                      <w14:textFill>
                        <w14:solidFill>
                          <w14:schemeClr w14:val="tx1"/>
                        </w14:solidFill>
                      </w14:textFill>
                    </w:rPr>
                    <w:t>)</w:t>
                  </w:r>
                </w:p>
              </w:tc>
              <w:tc>
                <w:tcPr>
                  <w:tcW w:w="727" w:type="pct"/>
                  <w:vAlign w:val="center"/>
                </w:tcPr>
                <w:p w14:paraId="7010CDA8">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20.00</w:t>
                  </w:r>
                </w:p>
              </w:tc>
              <w:tc>
                <w:tcPr>
                  <w:tcW w:w="558" w:type="pct"/>
                  <w:tcBorders>
                    <w:right w:val="single" w:color="000000" w:sz="4" w:space="0"/>
                  </w:tcBorders>
                  <w:vAlign w:val="center"/>
                </w:tcPr>
                <w:p w14:paraId="4FAE9DD7">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spacing w:val="5"/>
                      <w:highlight w:val="none"/>
                      <w14:textFill>
                        <w14:solidFill>
                          <w14:schemeClr w14:val="tx1"/>
                        </w14:solidFill>
                      </w14:textFill>
                    </w:rPr>
                  </w:pPr>
                  <w:r>
                    <w:rPr>
                      <w:rFonts w:ascii="Times New Roman" w:hAnsi="Times New Roman" w:eastAsia="宋体" w:cs="Times New Roman"/>
                      <w:color w:val="000000" w:themeColor="text1"/>
                      <w:spacing w:val="5"/>
                      <w:highlight w:val="none"/>
                      <w14:textFill>
                        <w14:solidFill>
                          <w14:schemeClr w14:val="tx1"/>
                        </w14:solidFill>
                      </w14:textFill>
                    </w:rPr>
                    <w:t>达标</w:t>
                  </w:r>
                </w:p>
              </w:tc>
            </w:tr>
            <w:tr w14:paraId="29379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jc w:val="center"/>
              </w:trPr>
              <w:tc>
                <w:tcPr>
                  <w:tcW w:w="554" w:type="pct"/>
                  <w:vAlign w:val="center"/>
                </w:tcPr>
                <w:p w14:paraId="4AA7EA19">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O</w:t>
                  </w:r>
                  <w:r>
                    <w:rPr>
                      <w:rFonts w:ascii="Times New Roman" w:hAnsi="Times New Roman" w:eastAsia="宋体" w:cs="Times New Roman"/>
                      <w:color w:val="000000" w:themeColor="text1"/>
                      <w:position w:val="-1"/>
                      <w:highlight w:val="none"/>
                      <w:vertAlign w:val="subscript"/>
                      <w14:textFill>
                        <w14:solidFill>
                          <w14:schemeClr w14:val="tx1"/>
                        </w14:solidFill>
                      </w14:textFill>
                    </w:rPr>
                    <w:t>3</w:t>
                  </w:r>
                </w:p>
              </w:tc>
              <w:tc>
                <w:tcPr>
                  <w:tcW w:w="1782" w:type="pct"/>
                  <w:vAlign w:val="center"/>
                </w:tcPr>
                <w:p w14:paraId="26CCAE1B">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8"/>
                      <w:sz w:val="21"/>
                      <w:szCs w:val="21"/>
                      <w:highlight w:val="none"/>
                      <w:lang w:eastAsia="zh-CN"/>
                      <w14:textFill>
                        <w14:solidFill>
                          <w14:schemeClr w14:val="tx1"/>
                        </w14:solidFill>
                      </w14:textFill>
                    </w:rPr>
                  </w:pPr>
                  <w:r>
                    <w:rPr>
                      <w:rFonts w:ascii="Times New Roman" w:hAnsi="Times New Roman" w:cs="Times New Roman"/>
                      <w:color w:val="000000" w:themeColor="text1"/>
                      <w:spacing w:val="8"/>
                      <w:sz w:val="21"/>
                      <w:szCs w:val="21"/>
                      <w:highlight w:val="none"/>
                      <w:lang w:eastAsia="zh-CN"/>
                      <w14:textFill>
                        <w14:solidFill>
                          <w14:schemeClr w14:val="tx1"/>
                        </w14:solidFill>
                      </w14:textFill>
                    </w:rPr>
                    <w:t>最大8小时平均第90百分位数</w:t>
                  </w:r>
                </w:p>
              </w:tc>
              <w:tc>
                <w:tcPr>
                  <w:tcW w:w="650" w:type="pct"/>
                  <w:vAlign w:val="center"/>
                </w:tcPr>
                <w:p w14:paraId="1540004D">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spacing w:val="2"/>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92</w:t>
                  </w:r>
                </w:p>
              </w:tc>
              <w:tc>
                <w:tcPr>
                  <w:tcW w:w="726" w:type="pct"/>
                  <w:vAlign w:val="center"/>
                </w:tcPr>
                <w:p w14:paraId="5358502E">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spacing w:val="2"/>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160</w:t>
                  </w:r>
                </w:p>
              </w:tc>
              <w:tc>
                <w:tcPr>
                  <w:tcW w:w="727" w:type="pct"/>
                  <w:vAlign w:val="center"/>
                </w:tcPr>
                <w:p w14:paraId="7E08D61D">
                  <w:pPr>
                    <w:pStyle w:val="27"/>
                    <w:keepNext w:val="0"/>
                    <w:keepLines w:val="0"/>
                    <w:pageBreakBefore w:val="0"/>
                    <w:widowControl/>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000000" w:themeColor="text1"/>
                      <w:spacing w:val="2"/>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57.50</w:t>
                  </w:r>
                </w:p>
              </w:tc>
              <w:tc>
                <w:tcPr>
                  <w:tcW w:w="558" w:type="pct"/>
                  <w:tcBorders>
                    <w:right w:val="single" w:color="000000" w:sz="4" w:space="0"/>
                  </w:tcBorders>
                  <w:vAlign w:val="center"/>
                </w:tcPr>
                <w:p w14:paraId="340B1BD5">
                  <w:pPr>
                    <w:pStyle w:val="22"/>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5"/>
                      <w:sz w:val="21"/>
                      <w:szCs w:val="21"/>
                      <w:highlight w:val="none"/>
                      <w:lang w:eastAsia="zh-CN"/>
                      <w14:textFill>
                        <w14:solidFill>
                          <w14:schemeClr w14:val="tx1"/>
                        </w14:solidFill>
                      </w14:textFill>
                    </w:rPr>
                  </w:pPr>
                  <w:r>
                    <w:rPr>
                      <w:rFonts w:ascii="Times New Roman" w:hAnsi="Times New Roman" w:cs="Times New Roman"/>
                      <w:color w:val="000000" w:themeColor="text1"/>
                      <w:spacing w:val="5"/>
                      <w:sz w:val="21"/>
                      <w:szCs w:val="21"/>
                      <w:highlight w:val="none"/>
                      <w:lang w:eastAsia="zh-CN"/>
                      <w14:textFill>
                        <w14:solidFill>
                          <w14:schemeClr w14:val="tx1"/>
                        </w14:solidFill>
                      </w14:textFill>
                    </w:rPr>
                    <w:t>达标</w:t>
                  </w:r>
                </w:p>
              </w:tc>
            </w:tr>
            <w:bookmarkEnd w:id="17"/>
          </w:tbl>
          <w:p w14:paraId="166FE38D">
            <w:pPr>
              <w:pStyle w:val="22"/>
              <w:keepNext w:val="0"/>
              <w:keepLines w:val="0"/>
              <w:pageBreakBefore w:val="0"/>
              <w:widowControl/>
              <w:kinsoku/>
              <w:wordWrap/>
              <w:overflowPunct/>
              <w:topLinePunct w:val="0"/>
              <w:autoSpaceDE w:val="0"/>
              <w:autoSpaceDN w:val="0"/>
              <w:bidi w:val="0"/>
              <w:adjustRightInd w:val="0"/>
              <w:snapToGrid w:val="0"/>
              <w:spacing w:line="360" w:lineRule="auto"/>
              <w:textAlignment w:val="baseline"/>
              <w:rPr>
                <w:rFonts w:hint="default" w:ascii="Times New Roman" w:hAnsi="Times New Roman" w:cs="Times New Roman"/>
                <w:b/>
                <w:bCs/>
                <w:color w:val="000000" w:themeColor="text1"/>
                <w:spacing w:val="-2"/>
                <w:sz w:val="24"/>
                <w:szCs w:val="24"/>
                <w:highlight w:val="none"/>
                <w:lang w:val="en-US"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4</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w:t>
            </w: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5特征污染物环境空气质量</w:t>
            </w:r>
          </w:p>
          <w:p w14:paraId="296A5E67">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本次特征污染物环境空气质量引用《昌吉油田吉新2块开发先导试验工程环境影响报告书》中监测数据，监测点位及监测结果见下表3-4。</w:t>
            </w:r>
          </w:p>
          <w:p w14:paraId="74E81727">
            <w:pPr>
              <w:pStyle w:val="5"/>
              <w:keepNext/>
              <w:keepLines w:val="0"/>
              <w:pageBreakBefore w:val="0"/>
              <w:widowControl/>
              <w:kinsoku/>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表3-</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4</w:t>
            </w:r>
            <w:r>
              <w:rPr>
                <w:rFonts w:ascii="Times New Roman" w:hAnsi="Times New Roman" w:eastAsia="宋体" w:cs="Times New Roman"/>
                <w:b/>
                <w:bCs/>
                <w:color w:val="000000" w:themeColor="text1"/>
                <w:highlight w:val="none"/>
                <w:lang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特征污染物环境空气</w:t>
            </w:r>
            <w:r>
              <w:rPr>
                <w:rFonts w:ascii="Times New Roman" w:hAnsi="Times New Roman" w:eastAsia="宋体" w:cs="Times New Roman"/>
                <w:b/>
                <w:bCs/>
                <w:color w:val="000000" w:themeColor="text1"/>
                <w:highlight w:val="none"/>
                <w:lang w:eastAsia="zh-CN"/>
                <w14:textFill>
                  <w14:solidFill>
                    <w14:schemeClr w14:val="tx1"/>
                  </w14:solidFill>
                </w14:textFill>
              </w:rPr>
              <w:t>质量及评价结果一览表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896"/>
              <w:gridCol w:w="751"/>
              <w:gridCol w:w="605"/>
              <w:gridCol w:w="750"/>
              <w:gridCol w:w="1508"/>
              <w:gridCol w:w="1262"/>
              <w:gridCol w:w="605"/>
            </w:tblGrid>
            <w:tr w14:paraId="46AB86EA">
              <w:tblPrEx>
                <w:tblCellMar>
                  <w:top w:w="0" w:type="dxa"/>
                  <w:left w:w="108" w:type="dxa"/>
                  <w:bottom w:w="0" w:type="dxa"/>
                  <w:right w:w="108" w:type="dxa"/>
                </w:tblCellMar>
              </w:tblPrEx>
              <w:trPr>
                <w:trHeight w:val="0" w:hRule="atLeast"/>
              </w:trPr>
              <w:tc>
                <w:tcPr>
                  <w:tcW w:w="639" w:type="dxa"/>
                  <w:vAlign w:val="center"/>
                </w:tcPr>
                <w:p w14:paraId="3E1917ED">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t>监测点位</w:t>
                  </w:r>
                </w:p>
              </w:tc>
              <w:tc>
                <w:tcPr>
                  <w:tcW w:w="1896" w:type="dxa"/>
                  <w:vAlign w:val="center"/>
                </w:tcPr>
                <w:p w14:paraId="233615C9">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t>坐标</w:t>
                  </w:r>
                </w:p>
              </w:tc>
              <w:tc>
                <w:tcPr>
                  <w:tcW w:w="751" w:type="dxa"/>
                  <w:vAlign w:val="center"/>
                </w:tcPr>
                <w:p w14:paraId="7CE77667">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t>污染物</w:t>
                  </w:r>
                </w:p>
              </w:tc>
              <w:tc>
                <w:tcPr>
                  <w:tcW w:w="605" w:type="dxa"/>
                  <w:vAlign w:val="center"/>
                </w:tcPr>
                <w:p w14:paraId="47C6619A">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t>平均时间</w:t>
                  </w:r>
                </w:p>
              </w:tc>
              <w:tc>
                <w:tcPr>
                  <w:tcW w:w="750" w:type="dxa"/>
                  <w:vAlign w:val="center"/>
                </w:tcPr>
                <w:p w14:paraId="25BB51DF">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t>评价标准</w:t>
                  </w:r>
                </w:p>
              </w:tc>
              <w:tc>
                <w:tcPr>
                  <w:tcW w:w="1508" w:type="dxa"/>
                  <w:vAlign w:val="center"/>
                </w:tcPr>
                <w:p w14:paraId="12053E80">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t>检测浓度范围（μg/m</w:t>
                  </w:r>
                  <w:r>
                    <w:rPr>
                      <w:rFonts w:hint="default" w:ascii="Times New Roman" w:hAnsi="Times New Roman" w:eastAsia="宋体" w:cs="Times New Roman"/>
                      <w:b/>
                      <w:bCs/>
                      <w:color w:val="000000" w:themeColor="text1"/>
                      <w:spacing w:val="-2"/>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t>）</w:t>
                  </w:r>
                </w:p>
              </w:tc>
              <w:tc>
                <w:tcPr>
                  <w:tcW w:w="1262" w:type="dxa"/>
                  <w:vAlign w:val="center"/>
                </w:tcPr>
                <w:p w14:paraId="465F7530">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t>最大浓度占标率（%）</w:t>
                  </w:r>
                </w:p>
              </w:tc>
              <w:tc>
                <w:tcPr>
                  <w:tcW w:w="605" w:type="dxa"/>
                  <w:vAlign w:val="center"/>
                </w:tcPr>
                <w:p w14:paraId="76D422CF">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pacing w:val="-2"/>
                      <w:sz w:val="21"/>
                      <w:szCs w:val="21"/>
                      <w:highlight w:val="none"/>
                      <w:vertAlign w:val="baseline"/>
                      <w:lang w:val="en-US" w:eastAsia="zh-CN"/>
                      <w14:textFill>
                        <w14:solidFill>
                          <w14:schemeClr w14:val="tx1"/>
                        </w14:solidFill>
                      </w14:textFill>
                    </w:rPr>
                    <w:t>达标情况</w:t>
                  </w:r>
                </w:p>
              </w:tc>
            </w:tr>
            <w:tr w14:paraId="7A43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9" w:type="dxa"/>
                  <w:vMerge w:val="restart"/>
                  <w:vAlign w:val="center"/>
                </w:tcPr>
                <w:p w14:paraId="1653C280">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东地村</w:t>
                  </w:r>
                </w:p>
              </w:tc>
              <w:tc>
                <w:tcPr>
                  <w:tcW w:w="1896" w:type="dxa"/>
                  <w:vMerge w:val="restart"/>
                  <w:vAlign w:val="center"/>
                </w:tcPr>
                <w:p w14:paraId="5B533FCF">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经度:88°5750.6780"</w:t>
                  </w:r>
                </w:p>
                <w:p w14:paraId="39E799C2">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纬度:44°11'52.4864"</w:t>
                  </w:r>
                </w:p>
              </w:tc>
              <w:tc>
                <w:tcPr>
                  <w:tcW w:w="751" w:type="dxa"/>
                  <w:vAlign w:val="center"/>
                </w:tcPr>
                <w:p w14:paraId="19A0C4C9">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S</w:t>
                  </w:r>
                </w:p>
              </w:tc>
              <w:tc>
                <w:tcPr>
                  <w:tcW w:w="605" w:type="dxa"/>
                  <w:vAlign w:val="center"/>
                </w:tcPr>
                <w:p w14:paraId="5EDA366B">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1h</w:t>
                  </w:r>
                </w:p>
              </w:tc>
              <w:tc>
                <w:tcPr>
                  <w:tcW w:w="750" w:type="dxa"/>
                  <w:vAlign w:val="center"/>
                </w:tcPr>
                <w:p w14:paraId="62E40020">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10</w:t>
                  </w:r>
                </w:p>
              </w:tc>
              <w:tc>
                <w:tcPr>
                  <w:tcW w:w="1508" w:type="dxa"/>
                  <w:vAlign w:val="center"/>
                </w:tcPr>
                <w:p w14:paraId="64B9016D">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＜5</w:t>
                  </w:r>
                </w:p>
              </w:tc>
              <w:tc>
                <w:tcPr>
                  <w:tcW w:w="1262" w:type="dxa"/>
                  <w:vAlign w:val="center"/>
                </w:tcPr>
                <w:p w14:paraId="03E58A58">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w:t>
                  </w:r>
                </w:p>
              </w:tc>
              <w:tc>
                <w:tcPr>
                  <w:tcW w:w="605" w:type="dxa"/>
                  <w:vAlign w:val="center"/>
                </w:tcPr>
                <w:p w14:paraId="5C8BBA0A">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3D039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9" w:type="dxa"/>
                  <w:vMerge w:val="continue"/>
                  <w:vAlign w:val="center"/>
                </w:tcPr>
                <w:p w14:paraId="674AFAF3">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p>
              </w:tc>
              <w:tc>
                <w:tcPr>
                  <w:tcW w:w="1896" w:type="dxa"/>
                  <w:vMerge w:val="continue"/>
                  <w:vAlign w:val="center"/>
                </w:tcPr>
                <w:p w14:paraId="47335388">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p>
              </w:tc>
              <w:tc>
                <w:tcPr>
                  <w:tcW w:w="751" w:type="dxa"/>
                  <w:vAlign w:val="center"/>
                </w:tcPr>
                <w:p w14:paraId="01CBDB75">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非甲烷总烃</w:t>
                  </w:r>
                </w:p>
              </w:tc>
              <w:tc>
                <w:tcPr>
                  <w:tcW w:w="605" w:type="dxa"/>
                  <w:vAlign w:val="center"/>
                </w:tcPr>
                <w:p w14:paraId="7A03174A">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1h</w:t>
                  </w:r>
                </w:p>
              </w:tc>
              <w:tc>
                <w:tcPr>
                  <w:tcW w:w="750" w:type="dxa"/>
                  <w:vAlign w:val="center"/>
                </w:tcPr>
                <w:p w14:paraId="107A0EF4">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2000</w:t>
                  </w:r>
                </w:p>
              </w:tc>
              <w:tc>
                <w:tcPr>
                  <w:tcW w:w="1508" w:type="dxa"/>
                  <w:vAlign w:val="center"/>
                </w:tcPr>
                <w:p w14:paraId="738212BB">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500~710</w:t>
                  </w:r>
                </w:p>
              </w:tc>
              <w:tc>
                <w:tcPr>
                  <w:tcW w:w="1262" w:type="dxa"/>
                  <w:vAlign w:val="center"/>
                </w:tcPr>
                <w:p w14:paraId="02384D72">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35.5</w:t>
                  </w:r>
                </w:p>
              </w:tc>
              <w:tc>
                <w:tcPr>
                  <w:tcW w:w="605" w:type="dxa"/>
                  <w:vAlign w:val="center"/>
                </w:tcPr>
                <w:p w14:paraId="3B61FD0F">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671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9" w:type="dxa"/>
                  <w:vMerge w:val="restart"/>
                  <w:vAlign w:val="center"/>
                </w:tcPr>
                <w:p w14:paraId="43E013FE">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吉36-2井场</w:t>
                  </w:r>
                </w:p>
              </w:tc>
              <w:tc>
                <w:tcPr>
                  <w:tcW w:w="1896" w:type="dxa"/>
                  <w:vMerge w:val="restart"/>
                  <w:vAlign w:val="center"/>
                </w:tcPr>
                <w:p w14:paraId="06CCF48A">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经度:88°5603.5506"</w:t>
                  </w:r>
                </w:p>
                <w:p w14:paraId="3A9BA87B">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纬度:44°12'03.2994"</w:t>
                  </w:r>
                </w:p>
              </w:tc>
              <w:tc>
                <w:tcPr>
                  <w:tcW w:w="751" w:type="dxa"/>
                  <w:vAlign w:val="center"/>
                </w:tcPr>
                <w:p w14:paraId="439CAB38">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H</w:t>
                  </w:r>
                  <w:r>
                    <w:rPr>
                      <w:rFonts w:hint="default" w:ascii="Times New Roman" w:hAnsi="Times New Roman" w:eastAsia="宋体" w:cs="Times New Roman"/>
                      <w:color w:val="000000" w:themeColor="text1"/>
                      <w:spacing w:val="-2"/>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S</w:t>
                  </w:r>
                </w:p>
              </w:tc>
              <w:tc>
                <w:tcPr>
                  <w:tcW w:w="605" w:type="dxa"/>
                  <w:vAlign w:val="center"/>
                </w:tcPr>
                <w:p w14:paraId="10321CC4">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1h</w:t>
                  </w:r>
                </w:p>
              </w:tc>
              <w:tc>
                <w:tcPr>
                  <w:tcW w:w="750" w:type="dxa"/>
                  <w:vAlign w:val="center"/>
                </w:tcPr>
                <w:p w14:paraId="01730DCB">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10</w:t>
                  </w:r>
                </w:p>
              </w:tc>
              <w:tc>
                <w:tcPr>
                  <w:tcW w:w="1508" w:type="dxa"/>
                  <w:vAlign w:val="center"/>
                </w:tcPr>
                <w:p w14:paraId="627EF095">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＜5</w:t>
                  </w:r>
                </w:p>
              </w:tc>
              <w:tc>
                <w:tcPr>
                  <w:tcW w:w="1262" w:type="dxa"/>
                  <w:vAlign w:val="center"/>
                </w:tcPr>
                <w:p w14:paraId="1B188B52">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w:t>
                  </w:r>
                </w:p>
              </w:tc>
              <w:tc>
                <w:tcPr>
                  <w:tcW w:w="605" w:type="dxa"/>
                  <w:vAlign w:val="center"/>
                </w:tcPr>
                <w:p w14:paraId="20E5D001">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3FF3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39" w:type="dxa"/>
                  <w:vMerge w:val="continue"/>
                  <w:vAlign w:val="center"/>
                </w:tcPr>
                <w:p w14:paraId="5EE80EA2">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p>
              </w:tc>
              <w:tc>
                <w:tcPr>
                  <w:tcW w:w="1896" w:type="dxa"/>
                  <w:vMerge w:val="continue"/>
                  <w:vAlign w:val="center"/>
                </w:tcPr>
                <w:p w14:paraId="32221F96">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p>
              </w:tc>
              <w:tc>
                <w:tcPr>
                  <w:tcW w:w="751" w:type="dxa"/>
                  <w:vAlign w:val="center"/>
                </w:tcPr>
                <w:p w14:paraId="721AEED2">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非甲烷总烃</w:t>
                  </w:r>
                </w:p>
              </w:tc>
              <w:tc>
                <w:tcPr>
                  <w:tcW w:w="605" w:type="dxa"/>
                  <w:vAlign w:val="center"/>
                </w:tcPr>
                <w:p w14:paraId="63CBB3E5">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1h</w:t>
                  </w:r>
                </w:p>
              </w:tc>
              <w:tc>
                <w:tcPr>
                  <w:tcW w:w="750" w:type="dxa"/>
                  <w:vAlign w:val="center"/>
                </w:tcPr>
                <w:p w14:paraId="37C4D513">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2000</w:t>
                  </w:r>
                </w:p>
              </w:tc>
              <w:tc>
                <w:tcPr>
                  <w:tcW w:w="1508" w:type="dxa"/>
                  <w:vAlign w:val="center"/>
                </w:tcPr>
                <w:p w14:paraId="52CC7042">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480~710</w:t>
                  </w:r>
                </w:p>
              </w:tc>
              <w:tc>
                <w:tcPr>
                  <w:tcW w:w="1262" w:type="dxa"/>
                  <w:vAlign w:val="center"/>
                </w:tcPr>
                <w:p w14:paraId="65D22477">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35.5</w:t>
                  </w:r>
                </w:p>
              </w:tc>
              <w:tc>
                <w:tcPr>
                  <w:tcW w:w="605" w:type="dxa"/>
                  <w:vAlign w:val="center"/>
                </w:tcPr>
                <w:p w14:paraId="5E367E95">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达标</w:t>
                  </w:r>
                </w:p>
              </w:tc>
            </w:tr>
          </w:tbl>
          <w:p w14:paraId="59A59AA7">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由监测结果可知，项目区非甲烷总烃最大值为710ug/m3，最大占标率为35.5;H</w:t>
            </w:r>
            <w:r>
              <w:rPr>
                <w:rFonts w:hint="eastAsia" w:ascii="Times New Roman" w:hAnsi="Times New Roman" w:eastAsia="宋体" w:cs="Times New Roman"/>
                <w:color w:val="000000" w:themeColor="text1"/>
                <w:spacing w:val="-2"/>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S小时浓度均&lt;5ug/m</w:t>
            </w:r>
            <w:r>
              <w:rPr>
                <w:rFonts w:hint="eastAsia" w:ascii="Times New Roman" w:hAnsi="Times New Roman" w:eastAsia="宋体" w:cs="Times New Roman"/>
                <w:color w:val="000000" w:themeColor="text1"/>
                <w:spacing w:val="-2"/>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。监测期间评价区非甲烷总烃1小时平均浓度未超过《大气污染物综合排放标准详解》中参考限值，H</w:t>
            </w:r>
            <w:r>
              <w:rPr>
                <w:rFonts w:hint="eastAsia" w:ascii="Times New Roman" w:hAnsi="Times New Roman" w:eastAsia="宋体" w:cs="Times New Roman"/>
                <w:color w:val="000000" w:themeColor="text1"/>
                <w:spacing w:val="-2"/>
                <w:sz w:val="24"/>
                <w:szCs w:val="24"/>
                <w:highlight w:val="none"/>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S1小时平均浓度未超过《环境影响评价技术导则大气环境》(HJ2.2-2018)附录D中的浓度限值。</w:t>
            </w:r>
          </w:p>
          <w:p w14:paraId="6C7B0CF8">
            <w:pPr>
              <w:pStyle w:val="22"/>
              <w:keepNext w:val="0"/>
              <w:keepLines w:val="0"/>
              <w:pageBreakBefore w:val="0"/>
              <w:widowControl/>
              <w:kinsoku/>
              <w:wordWrap/>
              <w:overflowPunct/>
              <w:topLinePunct w:val="0"/>
              <w:autoSpaceDE w:val="0"/>
              <w:autoSpaceDN w:val="0"/>
              <w:bidi w:val="0"/>
              <w:adjustRightInd w:val="0"/>
              <w:snapToGrid w:val="0"/>
              <w:spacing w:before="0" w:beforeLines="50" w:line="360" w:lineRule="auto"/>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5</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.声环境质量现状</w:t>
            </w:r>
          </w:p>
          <w:p w14:paraId="47AD6F4B">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根据《建设项目环境影响报告表编制技术指南（生态影响类）（试行）》本项目50m范围内无声环境保护目标，因此，本项目可不开展声环境质量现状监测评价。</w:t>
            </w:r>
          </w:p>
          <w:p w14:paraId="63936AFB">
            <w:pPr>
              <w:pStyle w:val="22"/>
              <w:keepNext w:val="0"/>
              <w:keepLines w:val="0"/>
              <w:pageBreakBefore w:val="0"/>
              <w:widowControl/>
              <w:kinsoku/>
              <w:wordWrap/>
              <w:overflowPunct/>
              <w:topLinePunct w:val="0"/>
              <w:autoSpaceDE w:val="0"/>
              <w:autoSpaceDN w:val="0"/>
              <w:bidi w:val="0"/>
              <w:adjustRightInd w:val="0"/>
              <w:snapToGrid w:val="0"/>
              <w:spacing w:line="360" w:lineRule="auto"/>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6</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.地表水和地下水环境质量现状</w:t>
            </w:r>
          </w:p>
          <w:p w14:paraId="297C1E1D">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本项目钻井期间钻井废水循环利用，本工程区周边5km范围内无常年天然地表水体分布，与地表水体无水力联系，本次未对地表水环境进行现状评价。</w:t>
            </w:r>
          </w:p>
          <w:p w14:paraId="199C0CD7">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地下水环境质量引用《昌吉油田吉新2块开发先导试验工程环境影响报告书》中监测数据，监测点位为吉36-2井场东南侧农十连灌溉井，井深30m，坐标：E88°58'21.9271"，N44°11'29.4887"。监测结果见下表3-5</w:t>
            </w:r>
            <w:r>
              <w:rPr>
                <w:rFonts w:ascii="Times New Roman" w:hAnsi="Times New Roman" w:cs="Times New Roman"/>
                <w:color w:val="000000" w:themeColor="text1"/>
                <w:spacing w:val="-2"/>
                <w:sz w:val="24"/>
                <w:szCs w:val="24"/>
                <w:highlight w:val="none"/>
                <w:lang w:eastAsia="zh-CN"/>
                <w14:textFill>
                  <w14:solidFill>
                    <w14:schemeClr w14:val="tx1"/>
                  </w14:solidFill>
                </w14:textFill>
              </w:rPr>
              <w:t>。</w:t>
            </w:r>
          </w:p>
          <w:p w14:paraId="33C28487">
            <w:pPr>
              <w:pStyle w:val="5"/>
              <w:keepNext/>
              <w:keepLines w:val="0"/>
              <w:pageBreakBefore w:val="0"/>
              <w:widowControl/>
              <w:kinsoku/>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表3-</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5</w:t>
            </w:r>
            <w:r>
              <w:rPr>
                <w:rFonts w:ascii="Times New Roman" w:hAnsi="Times New Roman" w:eastAsia="宋体" w:cs="Times New Roman"/>
                <w:b/>
                <w:bCs/>
                <w:color w:val="000000" w:themeColor="text1"/>
                <w:highlight w:val="none"/>
                <w:lang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地下水环境</w:t>
            </w:r>
            <w:r>
              <w:rPr>
                <w:rFonts w:ascii="Times New Roman" w:hAnsi="Times New Roman" w:eastAsia="宋体" w:cs="Times New Roman"/>
                <w:b/>
                <w:bCs/>
                <w:color w:val="000000" w:themeColor="text1"/>
                <w:highlight w:val="none"/>
                <w:lang w:eastAsia="zh-CN"/>
                <w14:textFill>
                  <w14:solidFill>
                    <w14:schemeClr w14:val="tx1"/>
                  </w14:solidFill>
                </w14:textFill>
              </w:rPr>
              <w:t>质量及评价结果一览表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2022"/>
              <w:gridCol w:w="2022"/>
              <w:gridCol w:w="2522"/>
            </w:tblGrid>
            <w:tr w14:paraId="7611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4BF917D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t>项目</w:t>
                  </w:r>
                </w:p>
              </w:tc>
              <w:tc>
                <w:tcPr>
                  <w:tcW w:w="1250" w:type="pct"/>
                </w:tcPr>
                <w:p w14:paraId="68F8321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t>标准值</w:t>
                  </w:r>
                </w:p>
              </w:tc>
              <w:tc>
                <w:tcPr>
                  <w:tcW w:w="1250" w:type="pct"/>
                </w:tcPr>
                <w:p w14:paraId="5D0AC4C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t>监测值</w:t>
                  </w:r>
                </w:p>
              </w:tc>
              <w:tc>
                <w:tcPr>
                  <w:tcW w:w="1559" w:type="pct"/>
                </w:tcPr>
                <w:p w14:paraId="1131A35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t>达标情况</w:t>
                  </w:r>
                </w:p>
              </w:tc>
            </w:tr>
            <w:tr w14:paraId="3DFB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74934AF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pH</w:t>
                  </w:r>
                </w:p>
              </w:tc>
              <w:tc>
                <w:tcPr>
                  <w:tcW w:w="1250" w:type="pct"/>
                </w:tcPr>
                <w:p w14:paraId="1940926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6.5-8.5</w:t>
                  </w:r>
                </w:p>
              </w:tc>
              <w:tc>
                <w:tcPr>
                  <w:tcW w:w="1250" w:type="pct"/>
                </w:tcPr>
                <w:p w14:paraId="41D6AF9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6.9</w:t>
                  </w:r>
                </w:p>
              </w:tc>
              <w:tc>
                <w:tcPr>
                  <w:tcW w:w="1559" w:type="pct"/>
                </w:tcPr>
                <w:p w14:paraId="3422F1C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283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437FDA6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色度</w:t>
                  </w:r>
                </w:p>
              </w:tc>
              <w:tc>
                <w:tcPr>
                  <w:tcW w:w="1250" w:type="pct"/>
                </w:tcPr>
                <w:p w14:paraId="76F7B61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w:t>
                  </w:r>
                </w:p>
              </w:tc>
              <w:tc>
                <w:tcPr>
                  <w:tcW w:w="1250" w:type="pct"/>
                </w:tcPr>
                <w:p w14:paraId="494D771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w:t>
                  </w:r>
                </w:p>
              </w:tc>
              <w:tc>
                <w:tcPr>
                  <w:tcW w:w="1559" w:type="pct"/>
                </w:tcPr>
                <w:p w14:paraId="540AEE2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310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7302E52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浊度</w:t>
                  </w:r>
                </w:p>
              </w:tc>
              <w:tc>
                <w:tcPr>
                  <w:tcW w:w="1250" w:type="pct"/>
                </w:tcPr>
                <w:p w14:paraId="317E669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≤3</w:t>
                  </w:r>
                </w:p>
              </w:tc>
              <w:tc>
                <w:tcPr>
                  <w:tcW w:w="1250" w:type="pct"/>
                </w:tcPr>
                <w:p w14:paraId="085D83B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w:t>
                  </w:r>
                </w:p>
              </w:tc>
              <w:tc>
                <w:tcPr>
                  <w:tcW w:w="1559" w:type="pct"/>
                </w:tcPr>
                <w:p w14:paraId="34E5D38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025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780D8C8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总硬度</w:t>
                  </w:r>
                </w:p>
              </w:tc>
              <w:tc>
                <w:tcPr>
                  <w:tcW w:w="1250" w:type="pct"/>
                </w:tcPr>
                <w:p w14:paraId="76D53BD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≤450</w:t>
                  </w:r>
                </w:p>
              </w:tc>
              <w:tc>
                <w:tcPr>
                  <w:tcW w:w="1250" w:type="pct"/>
                  <w:vAlign w:val="top"/>
                </w:tcPr>
                <w:p w14:paraId="3DBE724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405</w:t>
                  </w:r>
                </w:p>
              </w:tc>
              <w:tc>
                <w:tcPr>
                  <w:tcW w:w="1559" w:type="pct"/>
                </w:tcPr>
                <w:p w14:paraId="3F5AE79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C9B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20FC774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溶解性总附体</w:t>
                  </w:r>
                </w:p>
              </w:tc>
              <w:tc>
                <w:tcPr>
                  <w:tcW w:w="1250" w:type="pct"/>
                </w:tcPr>
                <w:p w14:paraId="5B63A9E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≤1000</w:t>
                  </w:r>
                </w:p>
              </w:tc>
              <w:tc>
                <w:tcPr>
                  <w:tcW w:w="1250" w:type="pct"/>
                  <w:vAlign w:val="top"/>
                </w:tcPr>
                <w:p w14:paraId="3F5914E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942</w:t>
                  </w:r>
                </w:p>
              </w:tc>
              <w:tc>
                <w:tcPr>
                  <w:tcW w:w="1559" w:type="pct"/>
                </w:tcPr>
                <w:p w14:paraId="1754617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34D3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5BB6058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耗氧量</w:t>
                  </w:r>
                </w:p>
              </w:tc>
              <w:tc>
                <w:tcPr>
                  <w:tcW w:w="1250" w:type="pct"/>
                </w:tcPr>
                <w:p w14:paraId="429775A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≤3.0</w:t>
                  </w:r>
                </w:p>
              </w:tc>
              <w:tc>
                <w:tcPr>
                  <w:tcW w:w="1250" w:type="pct"/>
                  <w:vAlign w:val="top"/>
                </w:tcPr>
                <w:p w14:paraId="5B2DA9C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2.0</w:t>
                  </w:r>
                </w:p>
              </w:tc>
              <w:tc>
                <w:tcPr>
                  <w:tcW w:w="1559" w:type="pct"/>
                </w:tcPr>
                <w:p w14:paraId="671F651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376DA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618AF6C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氨氮</w:t>
                  </w:r>
                </w:p>
              </w:tc>
              <w:tc>
                <w:tcPr>
                  <w:tcW w:w="1250" w:type="pct"/>
                </w:tcPr>
                <w:p w14:paraId="667E3C9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≤0.50</w:t>
                  </w:r>
                </w:p>
              </w:tc>
              <w:tc>
                <w:tcPr>
                  <w:tcW w:w="1250" w:type="pct"/>
                  <w:vAlign w:val="top"/>
                </w:tcPr>
                <w:p w14:paraId="76A507F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0.137</w:t>
                  </w:r>
                </w:p>
              </w:tc>
              <w:tc>
                <w:tcPr>
                  <w:tcW w:w="1559" w:type="pct"/>
                </w:tcPr>
                <w:p w14:paraId="485E2B2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DEB5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0A01CE8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阴离子表面活性剂</w:t>
                  </w:r>
                </w:p>
              </w:tc>
              <w:tc>
                <w:tcPr>
                  <w:tcW w:w="1250" w:type="pct"/>
                </w:tcPr>
                <w:p w14:paraId="302DBD3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≤0.3</w:t>
                  </w:r>
                </w:p>
              </w:tc>
              <w:tc>
                <w:tcPr>
                  <w:tcW w:w="1250" w:type="pct"/>
                  <w:vAlign w:val="top"/>
                </w:tcPr>
                <w:p w14:paraId="7D4BEB1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＜0.05</w:t>
                  </w:r>
                </w:p>
              </w:tc>
              <w:tc>
                <w:tcPr>
                  <w:tcW w:w="1559" w:type="pct"/>
                </w:tcPr>
                <w:p w14:paraId="0A580DB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6535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1F3DADC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硫化物</w:t>
                  </w:r>
                </w:p>
              </w:tc>
              <w:tc>
                <w:tcPr>
                  <w:tcW w:w="1250" w:type="pct"/>
                </w:tcPr>
                <w:p w14:paraId="1DEDB9C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≤0.02</w:t>
                  </w:r>
                </w:p>
              </w:tc>
              <w:tc>
                <w:tcPr>
                  <w:tcW w:w="1250" w:type="pct"/>
                  <w:vAlign w:val="top"/>
                </w:tcPr>
                <w:p w14:paraId="4A78582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＜0.003</w:t>
                  </w:r>
                </w:p>
              </w:tc>
              <w:tc>
                <w:tcPr>
                  <w:tcW w:w="1559" w:type="pct"/>
                </w:tcPr>
                <w:p w14:paraId="387FA11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82B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36303FB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硝酸盐</w:t>
                  </w:r>
                </w:p>
              </w:tc>
              <w:tc>
                <w:tcPr>
                  <w:tcW w:w="1250" w:type="pct"/>
                </w:tcPr>
                <w:p w14:paraId="24AAE85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≤20.0</w:t>
                  </w:r>
                </w:p>
              </w:tc>
              <w:tc>
                <w:tcPr>
                  <w:tcW w:w="1250" w:type="pct"/>
                  <w:vAlign w:val="top"/>
                </w:tcPr>
                <w:p w14:paraId="1F54EB9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0.47</w:t>
                  </w:r>
                </w:p>
              </w:tc>
              <w:tc>
                <w:tcPr>
                  <w:tcW w:w="1559" w:type="pct"/>
                </w:tcPr>
                <w:p w14:paraId="25C878D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3B3B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276F63F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亚硝酸盐</w:t>
                  </w:r>
                </w:p>
              </w:tc>
              <w:tc>
                <w:tcPr>
                  <w:tcW w:w="1250" w:type="pct"/>
                </w:tcPr>
                <w:p w14:paraId="4CAA5DB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≤1.00</w:t>
                  </w:r>
                </w:p>
              </w:tc>
              <w:tc>
                <w:tcPr>
                  <w:tcW w:w="1250" w:type="pct"/>
                  <w:vAlign w:val="top"/>
                </w:tcPr>
                <w:p w14:paraId="6734B6C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0.004</w:t>
                  </w:r>
                </w:p>
              </w:tc>
              <w:tc>
                <w:tcPr>
                  <w:tcW w:w="1559" w:type="pct"/>
                </w:tcPr>
                <w:p w14:paraId="2B31632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05F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069A2AD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挥发酚</w:t>
                  </w:r>
                </w:p>
              </w:tc>
              <w:tc>
                <w:tcPr>
                  <w:tcW w:w="1250" w:type="pct"/>
                </w:tcPr>
                <w:p w14:paraId="0AF8633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≤0.002</w:t>
                  </w:r>
                </w:p>
              </w:tc>
              <w:tc>
                <w:tcPr>
                  <w:tcW w:w="1250" w:type="pct"/>
                  <w:vAlign w:val="top"/>
                </w:tcPr>
                <w:p w14:paraId="4AF3E1D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＜0.0003</w:t>
                  </w:r>
                </w:p>
              </w:tc>
              <w:tc>
                <w:tcPr>
                  <w:tcW w:w="1559" w:type="pct"/>
                </w:tcPr>
                <w:p w14:paraId="6CBFB03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244B5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1C16AE2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氰化物</w:t>
                  </w:r>
                </w:p>
              </w:tc>
              <w:tc>
                <w:tcPr>
                  <w:tcW w:w="1250" w:type="pct"/>
                </w:tcPr>
                <w:p w14:paraId="1B19B83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≤0.05</w:t>
                  </w:r>
                </w:p>
              </w:tc>
              <w:tc>
                <w:tcPr>
                  <w:tcW w:w="1250" w:type="pct"/>
                  <w:vAlign w:val="top"/>
                </w:tcPr>
                <w:p w14:paraId="35E60D6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＜0.004</w:t>
                  </w:r>
                </w:p>
              </w:tc>
              <w:tc>
                <w:tcPr>
                  <w:tcW w:w="1559" w:type="pct"/>
                </w:tcPr>
                <w:p w14:paraId="31FE0E0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9744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5F94A9C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氟化物</w:t>
                  </w:r>
                </w:p>
              </w:tc>
              <w:tc>
                <w:tcPr>
                  <w:tcW w:w="1250" w:type="pct"/>
                </w:tcPr>
                <w:p w14:paraId="23CBACB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w:t>
                  </w:r>
                </w:p>
              </w:tc>
              <w:tc>
                <w:tcPr>
                  <w:tcW w:w="1250" w:type="pct"/>
                  <w:vAlign w:val="top"/>
                </w:tcPr>
                <w:p w14:paraId="450EC64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0.17</w:t>
                  </w:r>
                </w:p>
              </w:tc>
              <w:tc>
                <w:tcPr>
                  <w:tcW w:w="1559" w:type="pct"/>
                </w:tcPr>
                <w:p w14:paraId="6BB6BFF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2E7FA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4C2701C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碘化物</w:t>
                  </w:r>
                </w:p>
              </w:tc>
              <w:tc>
                <w:tcPr>
                  <w:tcW w:w="1250" w:type="pct"/>
                </w:tcPr>
                <w:p w14:paraId="2940C83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≤0.08</w:t>
                  </w:r>
                </w:p>
              </w:tc>
              <w:tc>
                <w:tcPr>
                  <w:tcW w:w="1250" w:type="pct"/>
                </w:tcPr>
                <w:p w14:paraId="452200A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＜0.005</w:t>
                  </w:r>
                </w:p>
              </w:tc>
              <w:tc>
                <w:tcPr>
                  <w:tcW w:w="1559" w:type="pct"/>
                </w:tcPr>
                <w:p w14:paraId="5C4667C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CA0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3937CAE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砷（μg/L）</w:t>
                  </w:r>
                </w:p>
              </w:tc>
              <w:tc>
                <w:tcPr>
                  <w:tcW w:w="1250" w:type="pct"/>
                </w:tcPr>
                <w:p w14:paraId="032578E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w:t>
                  </w:r>
                </w:p>
              </w:tc>
              <w:tc>
                <w:tcPr>
                  <w:tcW w:w="1250" w:type="pct"/>
                </w:tcPr>
                <w:p w14:paraId="31C0BB4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＜0.3</w:t>
                  </w:r>
                </w:p>
              </w:tc>
              <w:tc>
                <w:tcPr>
                  <w:tcW w:w="1559" w:type="pct"/>
                </w:tcPr>
                <w:p w14:paraId="133A24D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7D47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66A8793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硒（μg/L）</w:t>
                  </w:r>
                </w:p>
              </w:tc>
              <w:tc>
                <w:tcPr>
                  <w:tcW w:w="1250" w:type="pct"/>
                </w:tcPr>
                <w:p w14:paraId="081E01B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w:t>
                  </w:r>
                </w:p>
              </w:tc>
              <w:tc>
                <w:tcPr>
                  <w:tcW w:w="1250" w:type="pct"/>
                </w:tcPr>
                <w:p w14:paraId="0437DB2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＜0.4</w:t>
                  </w:r>
                </w:p>
              </w:tc>
              <w:tc>
                <w:tcPr>
                  <w:tcW w:w="1559" w:type="pct"/>
                </w:tcPr>
                <w:p w14:paraId="341417C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175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432E59B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汞（μg/L）</w:t>
                  </w:r>
                </w:p>
              </w:tc>
              <w:tc>
                <w:tcPr>
                  <w:tcW w:w="1250" w:type="pct"/>
                </w:tcPr>
                <w:p w14:paraId="306DA11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w:t>
                  </w:r>
                </w:p>
              </w:tc>
              <w:tc>
                <w:tcPr>
                  <w:tcW w:w="1250" w:type="pct"/>
                </w:tcPr>
                <w:p w14:paraId="18823BA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＜0.04</w:t>
                  </w:r>
                </w:p>
              </w:tc>
              <w:tc>
                <w:tcPr>
                  <w:tcW w:w="1559" w:type="pct"/>
                </w:tcPr>
                <w:p w14:paraId="1F8D655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265E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7D37361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六价铬</w:t>
                  </w:r>
                </w:p>
              </w:tc>
              <w:tc>
                <w:tcPr>
                  <w:tcW w:w="1250" w:type="pct"/>
                </w:tcPr>
                <w:p w14:paraId="69114DB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≤0.05</w:t>
                  </w:r>
                </w:p>
              </w:tc>
              <w:tc>
                <w:tcPr>
                  <w:tcW w:w="1250" w:type="pct"/>
                </w:tcPr>
                <w:p w14:paraId="4D4989F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＜0.004</w:t>
                  </w:r>
                </w:p>
              </w:tc>
              <w:tc>
                <w:tcPr>
                  <w:tcW w:w="1559" w:type="pct"/>
                </w:tcPr>
                <w:p w14:paraId="4044959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6629D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6146D9B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镉</w:t>
                  </w:r>
                </w:p>
              </w:tc>
              <w:tc>
                <w:tcPr>
                  <w:tcW w:w="1250" w:type="pct"/>
                </w:tcPr>
                <w:p w14:paraId="27CEEA9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≤0.005</w:t>
                  </w:r>
                </w:p>
              </w:tc>
              <w:tc>
                <w:tcPr>
                  <w:tcW w:w="1250" w:type="pct"/>
                </w:tcPr>
                <w:p w14:paraId="42AFD42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＜0.001</w:t>
                  </w:r>
                </w:p>
              </w:tc>
              <w:tc>
                <w:tcPr>
                  <w:tcW w:w="1559" w:type="pct"/>
                </w:tcPr>
                <w:p w14:paraId="7526251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A28A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16E1F8E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铁</w:t>
                  </w:r>
                </w:p>
              </w:tc>
              <w:tc>
                <w:tcPr>
                  <w:tcW w:w="2022" w:type="dxa"/>
                  <w:vAlign w:val="top"/>
                </w:tcPr>
                <w:p w14:paraId="217CD9C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≤0.3</w:t>
                  </w:r>
                </w:p>
              </w:tc>
              <w:tc>
                <w:tcPr>
                  <w:tcW w:w="1250" w:type="pct"/>
                </w:tcPr>
                <w:p w14:paraId="4E4E158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0.08</w:t>
                  </w:r>
                </w:p>
              </w:tc>
              <w:tc>
                <w:tcPr>
                  <w:tcW w:w="1559" w:type="pct"/>
                </w:tcPr>
                <w:p w14:paraId="03DCF72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892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2856F8F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锰</w:t>
                  </w:r>
                </w:p>
              </w:tc>
              <w:tc>
                <w:tcPr>
                  <w:tcW w:w="2022" w:type="dxa"/>
                  <w:vAlign w:val="top"/>
                </w:tcPr>
                <w:p w14:paraId="424DAED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≤0.10</w:t>
                  </w:r>
                </w:p>
              </w:tc>
              <w:tc>
                <w:tcPr>
                  <w:tcW w:w="1250" w:type="pct"/>
                </w:tcPr>
                <w:p w14:paraId="054B1B4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0.03</w:t>
                  </w:r>
                </w:p>
              </w:tc>
              <w:tc>
                <w:tcPr>
                  <w:tcW w:w="1559" w:type="pct"/>
                </w:tcPr>
                <w:p w14:paraId="0193540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206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322B9D5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铜</w:t>
                  </w:r>
                </w:p>
              </w:tc>
              <w:tc>
                <w:tcPr>
                  <w:tcW w:w="2022" w:type="dxa"/>
                  <w:vAlign w:val="top"/>
                </w:tcPr>
                <w:p w14:paraId="6A31236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≤1.00</w:t>
                  </w:r>
                </w:p>
              </w:tc>
              <w:tc>
                <w:tcPr>
                  <w:tcW w:w="1250" w:type="pct"/>
                </w:tcPr>
                <w:p w14:paraId="7DC1822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＜0.05</w:t>
                  </w:r>
                </w:p>
              </w:tc>
              <w:tc>
                <w:tcPr>
                  <w:tcW w:w="1559" w:type="pct"/>
                </w:tcPr>
                <w:p w14:paraId="5BA1677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7ABE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36BD3E5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锌</w:t>
                  </w:r>
                </w:p>
              </w:tc>
              <w:tc>
                <w:tcPr>
                  <w:tcW w:w="2022" w:type="dxa"/>
                  <w:vAlign w:val="top"/>
                </w:tcPr>
                <w:p w14:paraId="5A8A322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≤1.00</w:t>
                  </w:r>
                </w:p>
              </w:tc>
              <w:tc>
                <w:tcPr>
                  <w:tcW w:w="1250" w:type="pct"/>
                </w:tcPr>
                <w:p w14:paraId="60AA95F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＜0.05</w:t>
                  </w:r>
                </w:p>
              </w:tc>
              <w:tc>
                <w:tcPr>
                  <w:tcW w:w="1559" w:type="pct"/>
                </w:tcPr>
                <w:p w14:paraId="7F26C5B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87DE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584CF9A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铝</w:t>
                  </w:r>
                </w:p>
              </w:tc>
              <w:tc>
                <w:tcPr>
                  <w:tcW w:w="2022" w:type="dxa"/>
                  <w:vAlign w:val="top"/>
                </w:tcPr>
                <w:p w14:paraId="7A09A78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≤0.20</w:t>
                  </w:r>
                </w:p>
              </w:tc>
              <w:tc>
                <w:tcPr>
                  <w:tcW w:w="1250" w:type="pct"/>
                </w:tcPr>
                <w:p w14:paraId="6757C47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＜0.009</w:t>
                  </w:r>
                </w:p>
              </w:tc>
              <w:tc>
                <w:tcPr>
                  <w:tcW w:w="1559" w:type="pct"/>
                </w:tcPr>
                <w:p w14:paraId="6FC7107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22BB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052C640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钠</w:t>
                  </w:r>
                </w:p>
              </w:tc>
              <w:tc>
                <w:tcPr>
                  <w:tcW w:w="2022" w:type="dxa"/>
                  <w:vAlign w:val="top"/>
                </w:tcPr>
                <w:p w14:paraId="27CD652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≤200</w:t>
                  </w:r>
                </w:p>
              </w:tc>
              <w:tc>
                <w:tcPr>
                  <w:tcW w:w="1250" w:type="pct"/>
                </w:tcPr>
                <w:p w14:paraId="2088645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43.6</w:t>
                  </w:r>
                </w:p>
              </w:tc>
              <w:tc>
                <w:tcPr>
                  <w:tcW w:w="1559" w:type="pct"/>
                </w:tcPr>
                <w:p w14:paraId="7B80D10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20E4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15A1052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石油类</w:t>
                  </w:r>
                </w:p>
              </w:tc>
              <w:tc>
                <w:tcPr>
                  <w:tcW w:w="2022" w:type="dxa"/>
                  <w:vAlign w:val="top"/>
                </w:tcPr>
                <w:p w14:paraId="6209706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≤0.05</w:t>
                  </w:r>
                </w:p>
              </w:tc>
              <w:tc>
                <w:tcPr>
                  <w:tcW w:w="1250" w:type="pct"/>
                </w:tcPr>
                <w:p w14:paraId="5A8F493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＜0.01</w:t>
                  </w:r>
                </w:p>
              </w:tc>
              <w:tc>
                <w:tcPr>
                  <w:tcW w:w="1559" w:type="pct"/>
                </w:tcPr>
                <w:p w14:paraId="66107FF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AD2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3014C8A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氯化物</w:t>
                  </w:r>
                </w:p>
              </w:tc>
              <w:tc>
                <w:tcPr>
                  <w:tcW w:w="2022" w:type="dxa"/>
                  <w:vAlign w:val="top"/>
                </w:tcPr>
                <w:p w14:paraId="30DA80C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≤250</w:t>
                  </w:r>
                </w:p>
              </w:tc>
              <w:tc>
                <w:tcPr>
                  <w:tcW w:w="1250" w:type="pct"/>
                </w:tcPr>
                <w:p w14:paraId="1FE0418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247</w:t>
                  </w:r>
                </w:p>
              </w:tc>
              <w:tc>
                <w:tcPr>
                  <w:tcW w:w="1559" w:type="pct"/>
                </w:tcPr>
                <w:p w14:paraId="5CF2649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2F1B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66855E1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硫酸盐</w:t>
                  </w:r>
                </w:p>
              </w:tc>
              <w:tc>
                <w:tcPr>
                  <w:tcW w:w="1250" w:type="pct"/>
                </w:tcPr>
                <w:p w14:paraId="50B2F0C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≤250</w:t>
                  </w:r>
                </w:p>
              </w:tc>
              <w:tc>
                <w:tcPr>
                  <w:tcW w:w="1250" w:type="pct"/>
                </w:tcPr>
                <w:p w14:paraId="32F8FCF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4.37</w:t>
                  </w:r>
                </w:p>
              </w:tc>
              <w:tc>
                <w:tcPr>
                  <w:tcW w:w="1559" w:type="pct"/>
                </w:tcPr>
                <w:p w14:paraId="1B41CEF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76217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567A06D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总大肠杆菌</w:t>
                  </w:r>
                </w:p>
              </w:tc>
              <w:tc>
                <w:tcPr>
                  <w:tcW w:w="1250" w:type="pct"/>
                </w:tcPr>
                <w:p w14:paraId="4B73C02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≤3.0MPM/L</w:t>
                  </w:r>
                </w:p>
              </w:tc>
              <w:tc>
                <w:tcPr>
                  <w:tcW w:w="1250" w:type="pct"/>
                </w:tcPr>
                <w:p w14:paraId="0407BB3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w:t>
                  </w:r>
                </w:p>
              </w:tc>
              <w:tc>
                <w:tcPr>
                  <w:tcW w:w="1559" w:type="pct"/>
                </w:tcPr>
                <w:p w14:paraId="750F462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4BB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 w:type="pct"/>
                </w:tcPr>
                <w:p w14:paraId="31EE6C5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菌落总数</w:t>
                  </w:r>
                </w:p>
              </w:tc>
              <w:tc>
                <w:tcPr>
                  <w:tcW w:w="1250" w:type="pct"/>
                </w:tcPr>
                <w:p w14:paraId="7B8EAC7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≤100MPM/L</w:t>
                  </w:r>
                </w:p>
              </w:tc>
              <w:tc>
                <w:tcPr>
                  <w:tcW w:w="1250" w:type="pct"/>
                </w:tcPr>
                <w:p w14:paraId="362483C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w:t>
                  </w:r>
                </w:p>
              </w:tc>
              <w:tc>
                <w:tcPr>
                  <w:tcW w:w="1559" w:type="pct"/>
                </w:tcPr>
                <w:p w14:paraId="0DEC426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bl>
          <w:p w14:paraId="5FF9B3CE">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由监测结果可知:项目区地下水各项指标均符合《地下水质量标准》(GB/T14848-2017)中I类标准要求。</w:t>
            </w:r>
          </w:p>
          <w:p w14:paraId="12A54077">
            <w:pPr>
              <w:pStyle w:val="22"/>
              <w:keepNext w:val="0"/>
              <w:keepLines w:val="0"/>
              <w:pageBreakBefore w:val="0"/>
              <w:widowControl/>
              <w:kinsoku/>
              <w:wordWrap/>
              <w:overflowPunct/>
              <w:topLinePunct w:val="0"/>
              <w:autoSpaceDE w:val="0"/>
              <w:autoSpaceDN w:val="0"/>
              <w:bidi w:val="0"/>
              <w:adjustRightInd w:val="0"/>
              <w:snapToGrid w:val="0"/>
              <w:spacing w:line="360" w:lineRule="auto"/>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7</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.土壤环境质量现状</w:t>
            </w:r>
          </w:p>
          <w:p w14:paraId="3BDFD423">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土壤环境质量引用《昌吉油田吉新2块开发先导试验工程环境影响报告书》中监测数据，监测点位为吉36-6井场内。监测结果见下表3-6</w:t>
            </w:r>
            <w:r>
              <w:rPr>
                <w:rFonts w:ascii="Times New Roman" w:hAnsi="Times New Roman" w:cs="Times New Roman"/>
                <w:color w:val="000000" w:themeColor="text1"/>
                <w:spacing w:val="-2"/>
                <w:sz w:val="24"/>
                <w:szCs w:val="24"/>
                <w:highlight w:val="none"/>
                <w:lang w:eastAsia="zh-CN"/>
                <w14:textFill>
                  <w14:solidFill>
                    <w14:schemeClr w14:val="tx1"/>
                  </w14:solidFill>
                </w14:textFill>
              </w:rPr>
              <w:t>。</w:t>
            </w:r>
          </w:p>
          <w:p w14:paraId="39E3B6F5">
            <w:pPr>
              <w:pStyle w:val="5"/>
              <w:keepNext/>
              <w:keepLines w:val="0"/>
              <w:pageBreakBefore w:val="0"/>
              <w:widowControl/>
              <w:kinsoku/>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表3-</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6</w:t>
            </w:r>
            <w:r>
              <w:rPr>
                <w:rFonts w:ascii="Times New Roman" w:hAnsi="Times New Roman" w:eastAsia="宋体" w:cs="Times New Roman"/>
                <w:b/>
                <w:bCs/>
                <w:color w:val="000000" w:themeColor="text1"/>
                <w:highlight w:val="none"/>
                <w:lang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土壤环境</w:t>
            </w:r>
            <w:r>
              <w:rPr>
                <w:rFonts w:ascii="Times New Roman" w:hAnsi="Times New Roman" w:eastAsia="宋体" w:cs="Times New Roman"/>
                <w:b/>
                <w:bCs/>
                <w:color w:val="000000" w:themeColor="text1"/>
                <w:highlight w:val="none"/>
                <w:lang w:eastAsia="zh-CN"/>
                <w14:textFill>
                  <w14:solidFill>
                    <w14:schemeClr w14:val="tx1"/>
                  </w14:solidFill>
                </w14:textFill>
              </w:rPr>
              <w:t>质量及评价结果一览表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8"/>
              <w:gridCol w:w="1126"/>
              <w:gridCol w:w="1634"/>
              <w:gridCol w:w="1196"/>
              <w:gridCol w:w="1493"/>
            </w:tblGrid>
            <w:tr w14:paraId="1171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7497DD3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t>项目</w:t>
                  </w:r>
                </w:p>
              </w:tc>
              <w:tc>
                <w:tcPr>
                  <w:tcW w:w="696" w:type="pct"/>
                </w:tcPr>
                <w:p w14:paraId="53C4D1C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t>单位</w:t>
                  </w:r>
                </w:p>
              </w:tc>
              <w:tc>
                <w:tcPr>
                  <w:tcW w:w="1010" w:type="pct"/>
                </w:tcPr>
                <w:p w14:paraId="036F568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t>标准值</w:t>
                  </w:r>
                </w:p>
              </w:tc>
              <w:tc>
                <w:tcPr>
                  <w:tcW w:w="739" w:type="pct"/>
                </w:tcPr>
                <w:p w14:paraId="5D2E078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t>监测值</w:t>
                  </w:r>
                </w:p>
              </w:tc>
              <w:tc>
                <w:tcPr>
                  <w:tcW w:w="923" w:type="pct"/>
                </w:tcPr>
                <w:p w14:paraId="13D2C6E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b/>
                      <w:bCs/>
                      <w:color w:val="000000" w:themeColor="text1"/>
                      <w:spacing w:val="-2"/>
                      <w:sz w:val="21"/>
                      <w:szCs w:val="21"/>
                      <w:highlight w:val="none"/>
                      <w:vertAlign w:val="baseline"/>
                      <w:lang w:val="en-US" w:eastAsia="zh-CN"/>
                      <w14:textFill>
                        <w14:solidFill>
                          <w14:schemeClr w14:val="tx1"/>
                        </w14:solidFill>
                      </w14:textFill>
                    </w:rPr>
                    <w:t>达标情况</w:t>
                  </w:r>
                </w:p>
              </w:tc>
            </w:tr>
            <w:tr w14:paraId="06E4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0850AD2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盐分含量</w:t>
                  </w:r>
                </w:p>
              </w:tc>
              <w:tc>
                <w:tcPr>
                  <w:tcW w:w="696" w:type="pct"/>
                </w:tcPr>
                <w:p w14:paraId="64A0409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g/kg</w:t>
                  </w:r>
                </w:p>
              </w:tc>
              <w:tc>
                <w:tcPr>
                  <w:tcW w:w="1010" w:type="pct"/>
                </w:tcPr>
                <w:p w14:paraId="2B67A9E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w:t>
                  </w:r>
                </w:p>
              </w:tc>
              <w:tc>
                <w:tcPr>
                  <w:tcW w:w="739" w:type="pct"/>
                </w:tcPr>
                <w:p w14:paraId="40E5FB6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w:t>
                  </w:r>
                </w:p>
              </w:tc>
              <w:tc>
                <w:tcPr>
                  <w:tcW w:w="923" w:type="pct"/>
                </w:tcPr>
                <w:p w14:paraId="08B136E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3F3F7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73DF157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pH值</w:t>
                  </w:r>
                </w:p>
              </w:tc>
              <w:tc>
                <w:tcPr>
                  <w:tcW w:w="696" w:type="pct"/>
                </w:tcPr>
                <w:p w14:paraId="629F559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w:t>
                  </w:r>
                </w:p>
              </w:tc>
              <w:tc>
                <w:tcPr>
                  <w:tcW w:w="1010" w:type="pct"/>
                </w:tcPr>
                <w:p w14:paraId="4F67124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w:t>
                  </w:r>
                </w:p>
              </w:tc>
              <w:tc>
                <w:tcPr>
                  <w:tcW w:w="739" w:type="pct"/>
                </w:tcPr>
                <w:p w14:paraId="13D076A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8.3</w:t>
                  </w:r>
                </w:p>
              </w:tc>
              <w:tc>
                <w:tcPr>
                  <w:tcW w:w="923" w:type="pct"/>
                </w:tcPr>
                <w:p w14:paraId="466CF13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9F3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6111E0B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电导率</w:t>
                  </w:r>
                </w:p>
              </w:tc>
              <w:tc>
                <w:tcPr>
                  <w:tcW w:w="696" w:type="pct"/>
                </w:tcPr>
                <w:p w14:paraId="61500E8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us/cm</w:t>
                  </w:r>
                </w:p>
              </w:tc>
              <w:tc>
                <w:tcPr>
                  <w:tcW w:w="1010" w:type="pct"/>
                </w:tcPr>
                <w:p w14:paraId="21F708D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w:t>
                  </w:r>
                </w:p>
              </w:tc>
              <w:tc>
                <w:tcPr>
                  <w:tcW w:w="739" w:type="pct"/>
                </w:tcPr>
                <w:p w14:paraId="5C38FBD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31.2</w:t>
                  </w:r>
                </w:p>
              </w:tc>
              <w:tc>
                <w:tcPr>
                  <w:tcW w:w="923" w:type="pct"/>
                </w:tcPr>
                <w:p w14:paraId="0D7A964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AD1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164ED72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砷</w:t>
                  </w:r>
                </w:p>
              </w:tc>
              <w:tc>
                <w:tcPr>
                  <w:tcW w:w="696" w:type="pct"/>
                </w:tcPr>
                <w:p w14:paraId="50A7434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0E2ABD1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≤60</w:t>
                  </w:r>
                </w:p>
              </w:tc>
              <w:tc>
                <w:tcPr>
                  <w:tcW w:w="739" w:type="pct"/>
                  <w:vAlign w:val="top"/>
                </w:tcPr>
                <w:p w14:paraId="564FFAB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10.4</w:t>
                  </w:r>
                </w:p>
              </w:tc>
              <w:tc>
                <w:tcPr>
                  <w:tcW w:w="923" w:type="pct"/>
                </w:tcPr>
                <w:p w14:paraId="7E3A62A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61D9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2EAF48D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汞</w:t>
                  </w:r>
                </w:p>
              </w:tc>
              <w:tc>
                <w:tcPr>
                  <w:tcW w:w="696" w:type="pct"/>
                </w:tcPr>
                <w:p w14:paraId="0342AA7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663605E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≤38</w:t>
                  </w:r>
                </w:p>
              </w:tc>
              <w:tc>
                <w:tcPr>
                  <w:tcW w:w="739" w:type="pct"/>
                  <w:vAlign w:val="top"/>
                </w:tcPr>
                <w:p w14:paraId="23B0C3D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0.201</w:t>
                  </w:r>
                </w:p>
              </w:tc>
              <w:tc>
                <w:tcPr>
                  <w:tcW w:w="923" w:type="pct"/>
                </w:tcPr>
                <w:p w14:paraId="5F5F349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97C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7D3973F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镉</w:t>
                  </w:r>
                </w:p>
              </w:tc>
              <w:tc>
                <w:tcPr>
                  <w:tcW w:w="696" w:type="pct"/>
                </w:tcPr>
                <w:p w14:paraId="60C6D3D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7E0E2E0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≤65</w:t>
                  </w:r>
                </w:p>
              </w:tc>
              <w:tc>
                <w:tcPr>
                  <w:tcW w:w="739" w:type="pct"/>
                  <w:vAlign w:val="top"/>
                </w:tcPr>
                <w:p w14:paraId="2B33602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＜0.05</w:t>
                  </w:r>
                </w:p>
              </w:tc>
              <w:tc>
                <w:tcPr>
                  <w:tcW w:w="923" w:type="pct"/>
                </w:tcPr>
                <w:p w14:paraId="61EDCC4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79FB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451AFB5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铅</w:t>
                  </w:r>
                </w:p>
              </w:tc>
              <w:tc>
                <w:tcPr>
                  <w:tcW w:w="696" w:type="pct"/>
                </w:tcPr>
                <w:p w14:paraId="4F4DCCE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0CC8D31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≤800</w:t>
                  </w:r>
                </w:p>
              </w:tc>
              <w:tc>
                <w:tcPr>
                  <w:tcW w:w="739" w:type="pct"/>
                  <w:vAlign w:val="top"/>
                </w:tcPr>
                <w:p w14:paraId="089E746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w:t>
                  </w:r>
                </w:p>
              </w:tc>
              <w:tc>
                <w:tcPr>
                  <w:tcW w:w="923" w:type="pct"/>
                </w:tcPr>
                <w:p w14:paraId="6A61359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413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3CF0060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铜</w:t>
                  </w:r>
                </w:p>
              </w:tc>
              <w:tc>
                <w:tcPr>
                  <w:tcW w:w="696" w:type="pct"/>
                </w:tcPr>
                <w:p w14:paraId="68B6DE4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114DE1B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≤18000</w:t>
                  </w:r>
                </w:p>
              </w:tc>
              <w:tc>
                <w:tcPr>
                  <w:tcW w:w="739" w:type="pct"/>
                  <w:vAlign w:val="top"/>
                </w:tcPr>
                <w:p w14:paraId="6692D80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21</w:t>
                  </w:r>
                </w:p>
              </w:tc>
              <w:tc>
                <w:tcPr>
                  <w:tcW w:w="923" w:type="pct"/>
                </w:tcPr>
                <w:p w14:paraId="41EAB0A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B9F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525FEAE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镍</w:t>
                  </w:r>
                </w:p>
              </w:tc>
              <w:tc>
                <w:tcPr>
                  <w:tcW w:w="696" w:type="pct"/>
                </w:tcPr>
                <w:p w14:paraId="649B3C0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5AD07E6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≤900</w:t>
                  </w:r>
                </w:p>
              </w:tc>
              <w:tc>
                <w:tcPr>
                  <w:tcW w:w="739" w:type="pct"/>
                  <w:vAlign w:val="top"/>
                </w:tcPr>
                <w:p w14:paraId="2391927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28</w:t>
                  </w:r>
                </w:p>
              </w:tc>
              <w:tc>
                <w:tcPr>
                  <w:tcW w:w="923" w:type="pct"/>
                </w:tcPr>
                <w:p w14:paraId="207D010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23DF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53A71C2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六价铬</w:t>
                  </w:r>
                </w:p>
              </w:tc>
              <w:tc>
                <w:tcPr>
                  <w:tcW w:w="696" w:type="pct"/>
                </w:tcPr>
                <w:p w14:paraId="1C843CF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61A9926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≤5.7</w:t>
                  </w:r>
                </w:p>
              </w:tc>
              <w:tc>
                <w:tcPr>
                  <w:tcW w:w="739" w:type="pct"/>
                  <w:vAlign w:val="top"/>
                </w:tcPr>
                <w:p w14:paraId="49F2D31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0.7</w:t>
                  </w:r>
                </w:p>
              </w:tc>
              <w:tc>
                <w:tcPr>
                  <w:tcW w:w="923" w:type="pct"/>
                </w:tcPr>
                <w:p w14:paraId="260DC1C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2C5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30DC915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氯甲烷</w:t>
                  </w:r>
                </w:p>
              </w:tc>
              <w:tc>
                <w:tcPr>
                  <w:tcW w:w="696" w:type="pct"/>
                </w:tcPr>
                <w:p w14:paraId="2B3367B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2C8F32A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≤37000</w:t>
                  </w:r>
                </w:p>
              </w:tc>
              <w:tc>
                <w:tcPr>
                  <w:tcW w:w="739" w:type="pct"/>
                  <w:vAlign w:val="top"/>
                </w:tcPr>
                <w:p w14:paraId="0ADC723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＜3.0</w:t>
                  </w:r>
                </w:p>
              </w:tc>
              <w:tc>
                <w:tcPr>
                  <w:tcW w:w="923" w:type="pct"/>
                </w:tcPr>
                <w:p w14:paraId="5A6BA52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099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631" w:type="pct"/>
                </w:tcPr>
                <w:p w14:paraId="659284A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四氯化碳</w:t>
                  </w:r>
                </w:p>
              </w:tc>
              <w:tc>
                <w:tcPr>
                  <w:tcW w:w="696" w:type="pct"/>
                </w:tcPr>
                <w:p w14:paraId="3029D01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0154612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≤2800</w:t>
                  </w:r>
                </w:p>
              </w:tc>
              <w:tc>
                <w:tcPr>
                  <w:tcW w:w="739" w:type="pct"/>
                  <w:vAlign w:val="top"/>
                </w:tcPr>
                <w:p w14:paraId="5FA4EAE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＜2.1</w:t>
                  </w:r>
                </w:p>
              </w:tc>
              <w:tc>
                <w:tcPr>
                  <w:tcW w:w="923" w:type="pct"/>
                </w:tcPr>
                <w:p w14:paraId="0EF5252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7476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6C53A9F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氯仿</w:t>
                  </w:r>
                </w:p>
              </w:tc>
              <w:tc>
                <w:tcPr>
                  <w:tcW w:w="696" w:type="pct"/>
                </w:tcPr>
                <w:p w14:paraId="3F5031E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29B78AE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≤900</w:t>
                  </w:r>
                </w:p>
              </w:tc>
              <w:tc>
                <w:tcPr>
                  <w:tcW w:w="739" w:type="pct"/>
                  <w:vAlign w:val="top"/>
                </w:tcPr>
                <w:p w14:paraId="4B36217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w:t>
                  </w:r>
                </w:p>
              </w:tc>
              <w:tc>
                <w:tcPr>
                  <w:tcW w:w="923" w:type="pct"/>
                </w:tcPr>
                <w:p w14:paraId="19654E8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5B1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68CEF07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1,1-二氯乙烷</w:t>
                  </w:r>
                </w:p>
              </w:tc>
              <w:tc>
                <w:tcPr>
                  <w:tcW w:w="696" w:type="pct"/>
                </w:tcPr>
                <w:p w14:paraId="573A488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36EF222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≤9000</w:t>
                  </w:r>
                </w:p>
              </w:tc>
              <w:tc>
                <w:tcPr>
                  <w:tcW w:w="739" w:type="pct"/>
                  <w:vAlign w:val="top"/>
                </w:tcPr>
                <w:p w14:paraId="02569F3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＜1.6</w:t>
                  </w:r>
                </w:p>
              </w:tc>
              <w:tc>
                <w:tcPr>
                  <w:tcW w:w="923" w:type="pct"/>
                </w:tcPr>
                <w:p w14:paraId="523EE62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60C6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1AA8A1D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1,2-二氯乙烷</w:t>
                  </w:r>
                </w:p>
              </w:tc>
              <w:tc>
                <w:tcPr>
                  <w:tcW w:w="696" w:type="pct"/>
                </w:tcPr>
                <w:p w14:paraId="1975865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13D82D3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≤5000</w:t>
                  </w:r>
                </w:p>
              </w:tc>
              <w:tc>
                <w:tcPr>
                  <w:tcW w:w="739" w:type="pct"/>
                </w:tcPr>
                <w:p w14:paraId="223E118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＜1.3</w:t>
                  </w:r>
                </w:p>
              </w:tc>
              <w:tc>
                <w:tcPr>
                  <w:tcW w:w="923" w:type="pct"/>
                </w:tcPr>
                <w:p w14:paraId="2D82D5D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4F9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56DF23E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1,1-二氯乙烯</w:t>
                  </w:r>
                </w:p>
              </w:tc>
              <w:tc>
                <w:tcPr>
                  <w:tcW w:w="696" w:type="pct"/>
                </w:tcPr>
                <w:p w14:paraId="40554A0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4010B35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≤66000</w:t>
                  </w:r>
                </w:p>
              </w:tc>
              <w:tc>
                <w:tcPr>
                  <w:tcW w:w="739" w:type="pct"/>
                </w:tcPr>
                <w:p w14:paraId="7EE88B9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＜0.8</w:t>
                  </w:r>
                </w:p>
              </w:tc>
              <w:tc>
                <w:tcPr>
                  <w:tcW w:w="923" w:type="pct"/>
                </w:tcPr>
                <w:p w14:paraId="0D00875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D50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4DCE800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顺式-1,2-二氯乙烯</w:t>
                  </w:r>
                </w:p>
              </w:tc>
              <w:tc>
                <w:tcPr>
                  <w:tcW w:w="696" w:type="pct"/>
                </w:tcPr>
                <w:p w14:paraId="031F13C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02F6C50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≤596000</w:t>
                  </w:r>
                </w:p>
              </w:tc>
              <w:tc>
                <w:tcPr>
                  <w:tcW w:w="739" w:type="pct"/>
                </w:tcPr>
                <w:p w14:paraId="771A745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＜0.9</w:t>
                  </w:r>
                </w:p>
              </w:tc>
              <w:tc>
                <w:tcPr>
                  <w:tcW w:w="923" w:type="pct"/>
                </w:tcPr>
                <w:p w14:paraId="22BA24B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77B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3A18667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反式-1,2-二氯乙烯</w:t>
                  </w:r>
                </w:p>
              </w:tc>
              <w:tc>
                <w:tcPr>
                  <w:tcW w:w="696" w:type="pct"/>
                </w:tcPr>
                <w:p w14:paraId="31BB6A9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774C72D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≤54000</w:t>
                  </w:r>
                </w:p>
              </w:tc>
              <w:tc>
                <w:tcPr>
                  <w:tcW w:w="739" w:type="pct"/>
                </w:tcPr>
                <w:p w14:paraId="2E7CB06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＜0.9</w:t>
                  </w:r>
                </w:p>
              </w:tc>
              <w:tc>
                <w:tcPr>
                  <w:tcW w:w="923" w:type="pct"/>
                </w:tcPr>
                <w:p w14:paraId="66E6447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163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5BD6106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二氯甲烷</w:t>
                  </w:r>
                </w:p>
              </w:tc>
              <w:tc>
                <w:tcPr>
                  <w:tcW w:w="696" w:type="pct"/>
                </w:tcPr>
                <w:p w14:paraId="61A35F7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446FD82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≤616000</w:t>
                  </w:r>
                </w:p>
              </w:tc>
              <w:tc>
                <w:tcPr>
                  <w:tcW w:w="739" w:type="pct"/>
                </w:tcPr>
                <w:p w14:paraId="4E5C93E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＜2.6</w:t>
                  </w:r>
                </w:p>
              </w:tc>
              <w:tc>
                <w:tcPr>
                  <w:tcW w:w="923" w:type="pct"/>
                </w:tcPr>
                <w:p w14:paraId="29AEF98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747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6828736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1,2-二氯丙烷</w:t>
                  </w:r>
                </w:p>
              </w:tc>
              <w:tc>
                <w:tcPr>
                  <w:tcW w:w="696" w:type="pct"/>
                </w:tcPr>
                <w:p w14:paraId="5A0F2C3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0542E56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≤5000</w:t>
                  </w:r>
                </w:p>
              </w:tc>
              <w:tc>
                <w:tcPr>
                  <w:tcW w:w="739" w:type="pct"/>
                </w:tcPr>
                <w:p w14:paraId="49D8968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＜1.9</w:t>
                  </w:r>
                </w:p>
              </w:tc>
              <w:tc>
                <w:tcPr>
                  <w:tcW w:w="923" w:type="pct"/>
                </w:tcPr>
                <w:p w14:paraId="17B5393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69A3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0EB9E5B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1,1,1,2-四氯乙烷</w:t>
                  </w:r>
                </w:p>
              </w:tc>
              <w:tc>
                <w:tcPr>
                  <w:tcW w:w="696" w:type="pct"/>
                  <w:vAlign w:val="top"/>
                </w:tcPr>
                <w:p w14:paraId="50BEB5B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vAlign w:val="top"/>
                </w:tcPr>
                <w:p w14:paraId="2445843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≤10000</w:t>
                  </w:r>
                </w:p>
              </w:tc>
              <w:tc>
                <w:tcPr>
                  <w:tcW w:w="739" w:type="pct"/>
                </w:tcPr>
                <w:p w14:paraId="2144D87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w:t>
                  </w:r>
                </w:p>
              </w:tc>
              <w:tc>
                <w:tcPr>
                  <w:tcW w:w="923" w:type="pct"/>
                </w:tcPr>
                <w:p w14:paraId="7069E64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6C2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503D97F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1,1,2,2-四氯乙烷</w:t>
                  </w:r>
                </w:p>
              </w:tc>
              <w:tc>
                <w:tcPr>
                  <w:tcW w:w="696" w:type="pct"/>
                  <w:vAlign w:val="top"/>
                </w:tcPr>
                <w:p w14:paraId="6288ECE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vAlign w:val="top"/>
                </w:tcPr>
                <w:p w14:paraId="256110C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≤6800</w:t>
                  </w:r>
                </w:p>
              </w:tc>
              <w:tc>
                <w:tcPr>
                  <w:tcW w:w="739" w:type="pct"/>
                </w:tcPr>
                <w:p w14:paraId="7328AE2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w:t>
                  </w:r>
                </w:p>
              </w:tc>
              <w:tc>
                <w:tcPr>
                  <w:tcW w:w="923" w:type="pct"/>
                </w:tcPr>
                <w:p w14:paraId="795AFAC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0C5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594EA96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四氯乙烯</w:t>
                  </w:r>
                </w:p>
              </w:tc>
              <w:tc>
                <w:tcPr>
                  <w:tcW w:w="696" w:type="pct"/>
                  <w:vAlign w:val="top"/>
                </w:tcPr>
                <w:p w14:paraId="041D80C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vAlign w:val="top"/>
                </w:tcPr>
                <w:p w14:paraId="476B3A3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≤53000</w:t>
                  </w:r>
                </w:p>
              </w:tc>
              <w:tc>
                <w:tcPr>
                  <w:tcW w:w="739" w:type="pct"/>
                </w:tcPr>
                <w:p w14:paraId="6ADC03E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＜0.8</w:t>
                  </w:r>
                </w:p>
              </w:tc>
              <w:tc>
                <w:tcPr>
                  <w:tcW w:w="923" w:type="pct"/>
                </w:tcPr>
                <w:p w14:paraId="4036A8C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742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51CDA31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1,1,1-三氯乙烷</w:t>
                  </w:r>
                </w:p>
              </w:tc>
              <w:tc>
                <w:tcPr>
                  <w:tcW w:w="696" w:type="pct"/>
                  <w:vAlign w:val="top"/>
                </w:tcPr>
                <w:p w14:paraId="0FD500D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vAlign w:val="top"/>
                </w:tcPr>
                <w:p w14:paraId="28AEACE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≤840000</w:t>
                  </w:r>
                </w:p>
              </w:tc>
              <w:tc>
                <w:tcPr>
                  <w:tcW w:w="739" w:type="pct"/>
                </w:tcPr>
                <w:p w14:paraId="4C2864C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＜1.1</w:t>
                  </w:r>
                </w:p>
              </w:tc>
              <w:tc>
                <w:tcPr>
                  <w:tcW w:w="923" w:type="pct"/>
                </w:tcPr>
                <w:p w14:paraId="2B3ED4A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404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75A39EB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1,1,2-三氯乙烷</w:t>
                  </w:r>
                </w:p>
              </w:tc>
              <w:tc>
                <w:tcPr>
                  <w:tcW w:w="696" w:type="pct"/>
                  <w:vAlign w:val="top"/>
                </w:tcPr>
                <w:p w14:paraId="16A2685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vAlign w:val="top"/>
                </w:tcPr>
                <w:p w14:paraId="3B480FB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≤2800</w:t>
                  </w:r>
                </w:p>
              </w:tc>
              <w:tc>
                <w:tcPr>
                  <w:tcW w:w="739" w:type="pct"/>
                </w:tcPr>
                <w:p w14:paraId="65C37AD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＜1.4</w:t>
                  </w:r>
                </w:p>
              </w:tc>
              <w:tc>
                <w:tcPr>
                  <w:tcW w:w="923" w:type="pct"/>
                </w:tcPr>
                <w:p w14:paraId="72D2C7B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638C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779A163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三氯乙烯</w:t>
                  </w:r>
                </w:p>
              </w:tc>
              <w:tc>
                <w:tcPr>
                  <w:tcW w:w="696" w:type="pct"/>
                  <w:vAlign w:val="top"/>
                </w:tcPr>
                <w:p w14:paraId="23B32FF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vAlign w:val="top"/>
                </w:tcPr>
                <w:p w14:paraId="293476F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≤2800</w:t>
                  </w:r>
                </w:p>
              </w:tc>
              <w:tc>
                <w:tcPr>
                  <w:tcW w:w="739" w:type="pct"/>
                </w:tcPr>
                <w:p w14:paraId="3A48177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＜0.9</w:t>
                  </w:r>
                </w:p>
              </w:tc>
              <w:tc>
                <w:tcPr>
                  <w:tcW w:w="923" w:type="pct"/>
                </w:tcPr>
                <w:p w14:paraId="72074BB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73773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3B04D76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1,2,3-三氯丙烷</w:t>
                  </w:r>
                </w:p>
              </w:tc>
              <w:tc>
                <w:tcPr>
                  <w:tcW w:w="696" w:type="pct"/>
                  <w:vAlign w:val="top"/>
                </w:tcPr>
                <w:p w14:paraId="545D301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vAlign w:val="top"/>
                </w:tcPr>
                <w:p w14:paraId="5891950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≤500</w:t>
                  </w:r>
                </w:p>
              </w:tc>
              <w:tc>
                <w:tcPr>
                  <w:tcW w:w="739" w:type="pct"/>
                </w:tcPr>
                <w:p w14:paraId="112F4CF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w:t>
                  </w:r>
                </w:p>
              </w:tc>
              <w:tc>
                <w:tcPr>
                  <w:tcW w:w="923" w:type="pct"/>
                </w:tcPr>
                <w:p w14:paraId="629A237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7E5C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1A31BD4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氯乙烯</w:t>
                  </w:r>
                </w:p>
              </w:tc>
              <w:tc>
                <w:tcPr>
                  <w:tcW w:w="696" w:type="pct"/>
                  <w:vAlign w:val="top"/>
                </w:tcPr>
                <w:p w14:paraId="5229B54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vAlign w:val="top"/>
                </w:tcPr>
                <w:p w14:paraId="4977983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≤430</w:t>
                  </w:r>
                </w:p>
              </w:tc>
              <w:tc>
                <w:tcPr>
                  <w:tcW w:w="739" w:type="pct"/>
                </w:tcPr>
                <w:p w14:paraId="7BF4985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w:t>
                  </w:r>
                </w:p>
              </w:tc>
              <w:tc>
                <w:tcPr>
                  <w:tcW w:w="923" w:type="pct"/>
                </w:tcPr>
                <w:p w14:paraId="4A14AA0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42C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76F0B02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1,4-二氯苯</w:t>
                  </w:r>
                </w:p>
              </w:tc>
              <w:tc>
                <w:tcPr>
                  <w:tcW w:w="696" w:type="pct"/>
                </w:tcPr>
                <w:p w14:paraId="74A32A6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3B8213C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≤20000</w:t>
                  </w:r>
                </w:p>
              </w:tc>
              <w:tc>
                <w:tcPr>
                  <w:tcW w:w="739" w:type="pct"/>
                </w:tcPr>
                <w:p w14:paraId="53BBFD2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＜1.2</w:t>
                  </w:r>
                </w:p>
              </w:tc>
              <w:tc>
                <w:tcPr>
                  <w:tcW w:w="923" w:type="pct"/>
                </w:tcPr>
                <w:p w14:paraId="09B656F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2F2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7CC9D97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氯苯</w:t>
                  </w:r>
                </w:p>
              </w:tc>
              <w:tc>
                <w:tcPr>
                  <w:tcW w:w="696" w:type="pct"/>
                </w:tcPr>
                <w:p w14:paraId="4E532F6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338D7F5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≤270000</w:t>
                  </w:r>
                </w:p>
              </w:tc>
              <w:tc>
                <w:tcPr>
                  <w:tcW w:w="739" w:type="pct"/>
                </w:tcPr>
                <w:p w14:paraId="2000F21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＜1.1</w:t>
                  </w:r>
                </w:p>
              </w:tc>
              <w:tc>
                <w:tcPr>
                  <w:tcW w:w="923" w:type="pct"/>
                </w:tcPr>
                <w:p w14:paraId="3347624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3DEE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4498D86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1,2-二氯苯</w:t>
                  </w:r>
                </w:p>
              </w:tc>
              <w:tc>
                <w:tcPr>
                  <w:tcW w:w="696" w:type="pct"/>
                </w:tcPr>
                <w:p w14:paraId="18EDF1C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54F35CD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≤560000</w:t>
                  </w:r>
                </w:p>
              </w:tc>
              <w:tc>
                <w:tcPr>
                  <w:tcW w:w="739" w:type="pct"/>
                </w:tcPr>
                <w:p w14:paraId="1E0B20F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＜1.0</w:t>
                  </w:r>
                </w:p>
              </w:tc>
              <w:tc>
                <w:tcPr>
                  <w:tcW w:w="923" w:type="pct"/>
                </w:tcPr>
                <w:p w14:paraId="7488765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585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122028E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苯</w:t>
                  </w:r>
                </w:p>
              </w:tc>
              <w:tc>
                <w:tcPr>
                  <w:tcW w:w="696" w:type="pct"/>
                </w:tcPr>
                <w:p w14:paraId="3E82CA1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506FD0D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≤4000</w:t>
                  </w:r>
                </w:p>
              </w:tc>
              <w:tc>
                <w:tcPr>
                  <w:tcW w:w="739" w:type="pct"/>
                </w:tcPr>
                <w:p w14:paraId="32E9214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＜1.6</w:t>
                  </w:r>
                </w:p>
              </w:tc>
              <w:tc>
                <w:tcPr>
                  <w:tcW w:w="923" w:type="pct"/>
                </w:tcPr>
                <w:p w14:paraId="1D8D089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5664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2398142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乙苯</w:t>
                  </w:r>
                </w:p>
              </w:tc>
              <w:tc>
                <w:tcPr>
                  <w:tcW w:w="696" w:type="pct"/>
                </w:tcPr>
                <w:p w14:paraId="7267399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4AEE9AB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≤28000</w:t>
                  </w:r>
                </w:p>
              </w:tc>
              <w:tc>
                <w:tcPr>
                  <w:tcW w:w="739" w:type="pct"/>
                </w:tcPr>
                <w:p w14:paraId="664C52D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＜1.2</w:t>
                  </w:r>
                </w:p>
              </w:tc>
              <w:tc>
                <w:tcPr>
                  <w:tcW w:w="923" w:type="pct"/>
                </w:tcPr>
                <w:p w14:paraId="4115C74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5344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3D81D83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苯乙烯</w:t>
                  </w:r>
                </w:p>
              </w:tc>
              <w:tc>
                <w:tcPr>
                  <w:tcW w:w="696" w:type="pct"/>
                </w:tcPr>
                <w:p w14:paraId="2CC53D1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5BF3993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≤1290000</w:t>
                  </w:r>
                </w:p>
              </w:tc>
              <w:tc>
                <w:tcPr>
                  <w:tcW w:w="739" w:type="pct"/>
                </w:tcPr>
                <w:p w14:paraId="6150374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＜1.6</w:t>
                  </w:r>
                </w:p>
              </w:tc>
              <w:tc>
                <w:tcPr>
                  <w:tcW w:w="923" w:type="pct"/>
                </w:tcPr>
                <w:p w14:paraId="24F943D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11E2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7CA96D5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甲苯</w:t>
                  </w:r>
                </w:p>
              </w:tc>
              <w:tc>
                <w:tcPr>
                  <w:tcW w:w="696" w:type="pct"/>
                </w:tcPr>
                <w:p w14:paraId="30E55BC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040E7E1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≤1200000</w:t>
                  </w:r>
                </w:p>
              </w:tc>
              <w:tc>
                <w:tcPr>
                  <w:tcW w:w="739" w:type="pct"/>
                </w:tcPr>
                <w:p w14:paraId="0936E12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＜2.0</w:t>
                  </w:r>
                </w:p>
              </w:tc>
              <w:tc>
                <w:tcPr>
                  <w:tcW w:w="923" w:type="pct"/>
                </w:tcPr>
                <w:p w14:paraId="5636078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C55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6677437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间/对-二甲苯</w:t>
                  </w:r>
                </w:p>
              </w:tc>
              <w:tc>
                <w:tcPr>
                  <w:tcW w:w="696" w:type="pct"/>
                </w:tcPr>
                <w:p w14:paraId="0E5DF82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440F84A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≤570000</w:t>
                  </w:r>
                </w:p>
              </w:tc>
              <w:tc>
                <w:tcPr>
                  <w:tcW w:w="739" w:type="pct"/>
                </w:tcPr>
                <w:p w14:paraId="2288B29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＜3.6</w:t>
                  </w:r>
                </w:p>
              </w:tc>
              <w:tc>
                <w:tcPr>
                  <w:tcW w:w="923" w:type="pct"/>
                </w:tcPr>
                <w:p w14:paraId="18D1C91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2DA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62CF2F2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邻-二甲苯</w:t>
                  </w:r>
                </w:p>
              </w:tc>
              <w:tc>
                <w:tcPr>
                  <w:tcW w:w="696" w:type="pct"/>
                </w:tcPr>
                <w:p w14:paraId="0ABE0A0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μg/kg</w:t>
                  </w:r>
                </w:p>
              </w:tc>
              <w:tc>
                <w:tcPr>
                  <w:tcW w:w="1010" w:type="pct"/>
                </w:tcPr>
                <w:p w14:paraId="26AF3F5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≤640000</w:t>
                  </w:r>
                </w:p>
              </w:tc>
              <w:tc>
                <w:tcPr>
                  <w:tcW w:w="739" w:type="pct"/>
                </w:tcPr>
                <w:p w14:paraId="6881F22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＜1.3</w:t>
                  </w:r>
                </w:p>
              </w:tc>
              <w:tc>
                <w:tcPr>
                  <w:tcW w:w="923" w:type="pct"/>
                </w:tcPr>
                <w:p w14:paraId="1C119E0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24BA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1BF7FE9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石油烃</w:t>
                  </w:r>
                </w:p>
              </w:tc>
              <w:tc>
                <w:tcPr>
                  <w:tcW w:w="696" w:type="pct"/>
                </w:tcPr>
                <w:p w14:paraId="31E7CE9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vAlign w:val="top"/>
                </w:tcPr>
                <w:p w14:paraId="15BD2E7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≤4500</w:t>
                  </w:r>
                </w:p>
              </w:tc>
              <w:tc>
                <w:tcPr>
                  <w:tcW w:w="739" w:type="pct"/>
                </w:tcPr>
                <w:p w14:paraId="5F01FBA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28.9</w:t>
                  </w:r>
                </w:p>
              </w:tc>
              <w:tc>
                <w:tcPr>
                  <w:tcW w:w="923" w:type="pct"/>
                </w:tcPr>
                <w:p w14:paraId="7BCA4A3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7D73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013CC73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硝基苯</w:t>
                  </w:r>
                </w:p>
              </w:tc>
              <w:tc>
                <w:tcPr>
                  <w:tcW w:w="696" w:type="pct"/>
                </w:tcPr>
                <w:p w14:paraId="44DDC5E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vAlign w:val="top"/>
                </w:tcPr>
                <w:p w14:paraId="0909314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≤76</w:t>
                  </w:r>
                </w:p>
              </w:tc>
              <w:tc>
                <w:tcPr>
                  <w:tcW w:w="739" w:type="pct"/>
                </w:tcPr>
                <w:p w14:paraId="42D604C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＜0.09</w:t>
                  </w:r>
                </w:p>
              </w:tc>
              <w:tc>
                <w:tcPr>
                  <w:tcW w:w="923" w:type="pct"/>
                </w:tcPr>
                <w:p w14:paraId="09A1407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7CED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4EB9B16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苯并(a)蒽</w:t>
                  </w:r>
                </w:p>
              </w:tc>
              <w:tc>
                <w:tcPr>
                  <w:tcW w:w="696" w:type="pct"/>
                </w:tcPr>
                <w:p w14:paraId="4A74428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vAlign w:val="top"/>
                </w:tcPr>
                <w:p w14:paraId="3179883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w:t>
                  </w:r>
                </w:p>
              </w:tc>
              <w:tc>
                <w:tcPr>
                  <w:tcW w:w="739" w:type="pct"/>
                </w:tcPr>
                <w:p w14:paraId="51B2D56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＜0.1</w:t>
                  </w:r>
                </w:p>
              </w:tc>
              <w:tc>
                <w:tcPr>
                  <w:tcW w:w="923" w:type="pct"/>
                </w:tcPr>
                <w:p w14:paraId="0793C12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21A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1D21FDB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苯并(a)芘</w:t>
                  </w:r>
                </w:p>
              </w:tc>
              <w:tc>
                <w:tcPr>
                  <w:tcW w:w="696" w:type="pct"/>
                </w:tcPr>
                <w:p w14:paraId="6224DAD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vAlign w:val="top"/>
                </w:tcPr>
                <w:p w14:paraId="2DA335D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w:t>
                  </w:r>
                </w:p>
              </w:tc>
              <w:tc>
                <w:tcPr>
                  <w:tcW w:w="739" w:type="pct"/>
                </w:tcPr>
                <w:p w14:paraId="5F595F7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＜0.1</w:t>
                  </w:r>
                </w:p>
              </w:tc>
              <w:tc>
                <w:tcPr>
                  <w:tcW w:w="923" w:type="pct"/>
                </w:tcPr>
                <w:p w14:paraId="6679447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263B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3A99DCC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苯并(b)荧蒽</w:t>
                  </w:r>
                </w:p>
              </w:tc>
              <w:tc>
                <w:tcPr>
                  <w:tcW w:w="696" w:type="pct"/>
                </w:tcPr>
                <w:p w14:paraId="4027AD9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vAlign w:val="top"/>
                </w:tcPr>
                <w:p w14:paraId="5A326E1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2"/>
                      <w:sz w:val="21"/>
                      <w:szCs w:val="21"/>
                      <w:highlight w:val="none"/>
                      <w:vertAlign w:val="baseline"/>
                      <w:lang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w:t>
                  </w:r>
                </w:p>
              </w:tc>
              <w:tc>
                <w:tcPr>
                  <w:tcW w:w="739" w:type="pct"/>
                </w:tcPr>
                <w:p w14:paraId="394848D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＜0.2</w:t>
                  </w:r>
                </w:p>
              </w:tc>
              <w:tc>
                <w:tcPr>
                  <w:tcW w:w="923" w:type="pct"/>
                </w:tcPr>
                <w:p w14:paraId="541425F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3139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06F674B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苯并(k)荧蒽</w:t>
                  </w:r>
                </w:p>
              </w:tc>
              <w:tc>
                <w:tcPr>
                  <w:tcW w:w="696" w:type="pct"/>
                </w:tcPr>
                <w:p w14:paraId="3588FFD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10BFB8F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≤151</w:t>
                  </w:r>
                </w:p>
              </w:tc>
              <w:tc>
                <w:tcPr>
                  <w:tcW w:w="739" w:type="pct"/>
                </w:tcPr>
                <w:p w14:paraId="20DD6B5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＜0.1</w:t>
                  </w:r>
                </w:p>
              </w:tc>
              <w:tc>
                <w:tcPr>
                  <w:tcW w:w="923" w:type="pct"/>
                </w:tcPr>
                <w:p w14:paraId="18512F8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5B6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004A3B6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vertAlign w:val="baseline"/>
                      <w:lang w:val="en-US" w:eastAsia="zh-CN"/>
                      <w14:textFill>
                        <w14:solidFill>
                          <w14:schemeClr w14:val="tx1"/>
                        </w14:solidFill>
                      </w14:textFill>
                    </w:rPr>
                    <w:t>䓛</w:t>
                  </w:r>
                </w:p>
              </w:tc>
              <w:tc>
                <w:tcPr>
                  <w:tcW w:w="696" w:type="pct"/>
                </w:tcPr>
                <w:p w14:paraId="34AE0DE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475B83B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≤1293</w:t>
                  </w:r>
                </w:p>
              </w:tc>
              <w:tc>
                <w:tcPr>
                  <w:tcW w:w="739" w:type="pct"/>
                </w:tcPr>
                <w:p w14:paraId="7A2C057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＜0.1</w:t>
                  </w:r>
                </w:p>
              </w:tc>
              <w:tc>
                <w:tcPr>
                  <w:tcW w:w="923" w:type="pct"/>
                </w:tcPr>
                <w:p w14:paraId="53FE0A2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2B2C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52AA01D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二苯并(ah)蒽</w:t>
                  </w:r>
                </w:p>
              </w:tc>
              <w:tc>
                <w:tcPr>
                  <w:tcW w:w="696" w:type="pct"/>
                </w:tcPr>
                <w:p w14:paraId="387EB4A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05B8C22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w:t>
                  </w:r>
                </w:p>
              </w:tc>
              <w:tc>
                <w:tcPr>
                  <w:tcW w:w="739" w:type="pct"/>
                </w:tcPr>
                <w:p w14:paraId="02DA450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＜0.1</w:t>
                  </w:r>
                </w:p>
              </w:tc>
              <w:tc>
                <w:tcPr>
                  <w:tcW w:w="923" w:type="pct"/>
                </w:tcPr>
                <w:p w14:paraId="6915EFD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14F29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427E881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茚并(1,2,3-cd)芘</w:t>
                  </w:r>
                </w:p>
              </w:tc>
              <w:tc>
                <w:tcPr>
                  <w:tcW w:w="696" w:type="pct"/>
                </w:tcPr>
                <w:p w14:paraId="6CA2F5B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6FBE396D">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≤15</w:t>
                  </w:r>
                </w:p>
              </w:tc>
              <w:tc>
                <w:tcPr>
                  <w:tcW w:w="739" w:type="pct"/>
                </w:tcPr>
                <w:p w14:paraId="064EB41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＜0.1</w:t>
                  </w:r>
                </w:p>
              </w:tc>
              <w:tc>
                <w:tcPr>
                  <w:tcW w:w="923" w:type="pct"/>
                </w:tcPr>
                <w:p w14:paraId="25FF004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4C3A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1C61067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萘</w:t>
                  </w:r>
                </w:p>
              </w:tc>
              <w:tc>
                <w:tcPr>
                  <w:tcW w:w="696" w:type="pct"/>
                </w:tcPr>
                <w:p w14:paraId="2B9E464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63D81A3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≤70</w:t>
                  </w:r>
                </w:p>
              </w:tc>
              <w:tc>
                <w:tcPr>
                  <w:tcW w:w="739" w:type="pct"/>
                </w:tcPr>
                <w:p w14:paraId="107113A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＜0.09</w:t>
                  </w:r>
                </w:p>
              </w:tc>
              <w:tc>
                <w:tcPr>
                  <w:tcW w:w="923" w:type="pct"/>
                </w:tcPr>
                <w:p w14:paraId="2E82A21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7326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262AE4B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苯胺</w:t>
                  </w:r>
                </w:p>
              </w:tc>
              <w:tc>
                <w:tcPr>
                  <w:tcW w:w="696" w:type="pct"/>
                </w:tcPr>
                <w:p w14:paraId="7E338D5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133A165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≤260</w:t>
                  </w:r>
                </w:p>
              </w:tc>
              <w:tc>
                <w:tcPr>
                  <w:tcW w:w="739" w:type="pct"/>
                </w:tcPr>
                <w:p w14:paraId="1F9EACA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＜3.78</w:t>
                  </w:r>
                </w:p>
              </w:tc>
              <w:tc>
                <w:tcPr>
                  <w:tcW w:w="923" w:type="pct"/>
                </w:tcPr>
                <w:p w14:paraId="3A54B88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r w14:paraId="0F5E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1" w:type="pct"/>
                </w:tcPr>
                <w:p w14:paraId="5E9A139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2-氯苯酚</w:t>
                  </w:r>
                </w:p>
              </w:tc>
              <w:tc>
                <w:tcPr>
                  <w:tcW w:w="696" w:type="pct"/>
                </w:tcPr>
                <w:p w14:paraId="36C2990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mg/kg</w:t>
                  </w:r>
                </w:p>
              </w:tc>
              <w:tc>
                <w:tcPr>
                  <w:tcW w:w="1010" w:type="pct"/>
                </w:tcPr>
                <w:p w14:paraId="6FFF787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≤2256</w:t>
                  </w:r>
                </w:p>
              </w:tc>
              <w:tc>
                <w:tcPr>
                  <w:tcW w:w="739" w:type="pct"/>
                </w:tcPr>
                <w:p w14:paraId="36F0053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＜0.06</w:t>
                  </w:r>
                </w:p>
              </w:tc>
              <w:tc>
                <w:tcPr>
                  <w:tcW w:w="923" w:type="pct"/>
                </w:tcPr>
                <w:p w14:paraId="5976C92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pacing w:val="-2"/>
                      <w:sz w:val="21"/>
                      <w:szCs w:val="21"/>
                      <w:highlight w:val="none"/>
                      <w:vertAlign w:val="baseline"/>
                      <w:lang w:val="en-US" w:eastAsia="zh-CN"/>
                      <w14:textFill>
                        <w14:solidFill>
                          <w14:schemeClr w14:val="tx1"/>
                        </w14:solidFill>
                      </w14:textFill>
                    </w:rPr>
                    <w:t>达标</w:t>
                  </w:r>
                </w:p>
              </w:tc>
            </w:tr>
          </w:tbl>
          <w:p w14:paraId="2851C46E">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由监测结果可知:项目区各土壤监测因子均满足《土壤环境质量建设用地土壤污染风险管控标准》(试行)第二类用地筛选值标准。</w:t>
            </w:r>
          </w:p>
        </w:tc>
      </w:tr>
      <w:tr w14:paraId="1F43D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0" w:hRule="atLeast"/>
          <w:jc w:val="center"/>
        </w:trPr>
        <w:tc>
          <w:tcPr>
            <w:tcW w:w="991" w:type="dxa"/>
            <w:tcBorders>
              <w:left w:val="single" w:color="000000" w:sz="4" w:space="0"/>
            </w:tcBorders>
            <w:vAlign w:val="center"/>
          </w:tcPr>
          <w:p w14:paraId="15D14640">
            <w:pPr>
              <w:pStyle w:val="22"/>
              <w:kinsoku/>
              <w:spacing w:before="171" w:line="228" w:lineRule="auto"/>
              <w:ind w:left="30"/>
              <w:jc w:val="center"/>
              <w:rPr>
                <w:rFonts w:ascii="Times New Roman" w:hAnsi="Times New Roman" w:cs="Times New Roman"/>
                <w:color w:val="000000" w:themeColor="text1"/>
                <w:highlight w:val="none"/>
                <w:lang w:eastAsia="zh-CN"/>
                <w14:textFill>
                  <w14:solidFill>
                    <w14:schemeClr w14:val="tx1"/>
                  </w14:solidFill>
                </w14:textFill>
              </w:rPr>
            </w:pPr>
            <w:r>
              <w:rPr>
                <w:rFonts w:ascii="Times New Roman" w:hAnsi="Times New Roman" w:cs="Times New Roman"/>
                <w:color w:val="000000" w:themeColor="text1"/>
                <w:spacing w:val="14"/>
                <w:sz w:val="24"/>
                <w:szCs w:val="24"/>
                <w:highlight w:val="none"/>
                <w:lang w:eastAsia="zh-CN"/>
                <w14:textFill>
                  <w14:solidFill>
                    <w14:schemeClr w14:val="tx1"/>
                  </w14:solidFill>
                </w14:textFill>
              </w:rPr>
              <w:t>与项目有关的原有</w:t>
            </w:r>
            <w:r>
              <w:rPr>
                <w:rFonts w:ascii="Times New Roman" w:hAnsi="Times New Roman" w:cs="Times New Roman"/>
                <w:color w:val="000000" w:themeColor="text1"/>
                <w:spacing w:val="15"/>
                <w:sz w:val="24"/>
                <w:szCs w:val="24"/>
                <w:highlight w:val="none"/>
                <w:lang w:eastAsia="zh-CN"/>
                <w14:textFill>
                  <w14:solidFill>
                    <w14:schemeClr w14:val="tx1"/>
                  </w14:solidFill>
                </w14:textFill>
              </w:rPr>
              <w:t>环境污染</w:t>
            </w:r>
            <w:r>
              <w:rPr>
                <w:rFonts w:ascii="Times New Roman" w:hAnsi="Times New Roman" w:cs="Times New Roman"/>
                <w:color w:val="000000" w:themeColor="text1"/>
                <w:spacing w:val="14"/>
                <w:sz w:val="24"/>
                <w:szCs w:val="24"/>
                <w:highlight w:val="none"/>
                <w:lang w:eastAsia="zh-CN"/>
                <w14:textFill>
                  <w14:solidFill>
                    <w14:schemeClr w14:val="tx1"/>
                  </w14:solidFill>
                </w14:textFill>
              </w:rPr>
              <w:t>和生态破</w:t>
            </w:r>
            <w:r>
              <w:rPr>
                <w:rFonts w:ascii="Times New Roman" w:hAnsi="Times New Roman" w:cs="Times New Roman"/>
                <w:color w:val="000000" w:themeColor="text1"/>
                <w:spacing w:val="13"/>
                <w:sz w:val="24"/>
                <w:szCs w:val="24"/>
                <w:highlight w:val="none"/>
                <w:lang w:eastAsia="zh-CN"/>
                <w14:textFill>
                  <w14:solidFill>
                    <w14:schemeClr w14:val="tx1"/>
                  </w14:solidFill>
                </w14:textFill>
              </w:rPr>
              <w:t>坏问题</w:t>
            </w:r>
          </w:p>
        </w:tc>
        <w:tc>
          <w:tcPr>
            <w:tcW w:w="8108" w:type="dxa"/>
            <w:tcBorders>
              <w:right w:val="single" w:color="000000" w:sz="4" w:space="0"/>
            </w:tcBorders>
            <w:vAlign w:val="center"/>
          </w:tcPr>
          <w:p w14:paraId="1880C64A">
            <w:pPr>
              <w:pStyle w:val="22"/>
              <w:keepNext w:val="0"/>
              <w:keepLines w:val="0"/>
              <w:pageBreakBefore w:val="0"/>
              <w:widowControl/>
              <w:kinsoku/>
              <w:wordWrap/>
              <w:overflowPunct/>
              <w:topLinePunct w:val="0"/>
              <w:autoSpaceDE w:val="0"/>
              <w:autoSpaceDN w:val="0"/>
              <w:bidi w:val="0"/>
              <w:adjustRightInd w:val="0"/>
              <w:snapToGrid w:val="0"/>
              <w:spacing w:line="360" w:lineRule="auto"/>
              <w:jc w:val="center"/>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本项目为新建项目，不存在原有环境污染和生态破坏问题。</w:t>
            </w:r>
          </w:p>
        </w:tc>
      </w:tr>
      <w:tr w14:paraId="0982A3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jc w:val="center"/>
        </w:trPr>
        <w:tc>
          <w:tcPr>
            <w:tcW w:w="991" w:type="dxa"/>
            <w:tcBorders>
              <w:left w:val="single" w:color="000000" w:sz="4" w:space="0"/>
            </w:tcBorders>
            <w:vAlign w:val="center"/>
          </w:tcPr>
          <w:p w14:paraId="07D5C720">
            <w:pPr>
              <w:pStyle w:val="22"/>
              <w:kinsoku/>
              <w:spacing w:before="171" w:line="228" w:lineRule="auto"/>
              <w:ind w:left="30"/>
              <w:jc w:val="center"/>
              <w:rPr>
                <w:rFonts w:ascii="Times New Roman" w:hAnsi="Times New Roman" w:cs="Times New Roman"/>
                <w:color w:val="000000" w:themeColor="text1"/>
                <w:spacing w:val="13"/>
                <w:highlight w:val="none"/>
                <w14:textFill>
                  <w14:solidFill>
                    <w14:schemeClr w14:val="tx1"/>
                  </w14:solidFill>
                </w14:textFill>
              </w:rPr>
            </w:pPr>
            <w:r>
              <w:rPr>
                <w:rFonts w:ascii="Times New Roman" w:hAnsi="Times New Roman" w:cs="Times New Roman"/>
                <w:color w:val="000000" w:themeColor="text1"/>
                <w:spacing w:val="14"/>
                <w:sz w:val="24"/>
                <w:szCs w:val="24"/>
                <w:highlight w:val="none"/>
                <w14:textFill>
                  <w14:solidFill>
                    <w14:schemeClr w14:val="tx1"/>
                  </w14:solidFill>
                </w14:textFill>
              </w:rPr>
              <w:t>生态环境保护目标</w:t>
            </w:r>
          </w:p>
        </w:tc>
        <w:tc>
          <w:tcPr>
            <w:tcW w:w="8108" w:type="dxa"/>
            <w:tcBorders>
              <w:right w:val="single" w:color="000000" w:sz="4" w:space="0"/>
            </w:tcBorders>
          </w:tcPr>
          <w:p w14:paraId="2F44DBEF">
            <w:pPr>
              <w:pStyle w:val="22"/>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1.环境保护目标</w:t>
            </w:r>
          </w:p>
          <w:p w14:paraId="61C275A3">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根据现场调查，项目周边500m范围内无自然保护区、风景名胜区、居住区、文化区、人群较集中的区域，周边50m范围内无声环境保护目标，项目占地范围内无地下水集中式饮用水水源和热水、矿泉水、温泉等特殊地下水资源 。</w:t>
            </w:r>
          </w:p>
          <w:p w14:paraId="1388CABA">
            <w:pPr>
              <w:pStyle w:val="22"/>
              <w:kinsoku/>
              <w:spacing w:before="38" w:line="356" w:lineRule="auto"/>
              <w:ind w:firstLine="482"/>
              <w:jc w:val="both"/>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经核实，本项目临时占地类型为其他草地，不直接占用永久基本农田和耕地，但井场周边约100m处分布有耕地 。虽然项目不占用耕地，但在施工作业期间，产生的施工扬尘、车辆尾气，以及在事故状态下可能发生的油类物质、钻井废水跑冒滴漏等，存在随风飘散或地表径流间接影响周边耕地土壤环境质量及农作物生长的潜在风险。因此，将项目周边约100m处的耕地列为土壤及生态环境保护目标。</w:t>
            </w:r>
          </w:p>
          <w:p w14:paraId="7FB63A56">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生态环境评价范围内的野生动植物保护要求为禁止随意踩踏碾压、砍伐，保护野生动植物生境不被破坏，禁止随意踩踏碾压野生植被，车辆行驶及物料堆放等禁止占用周边的耕地</w:t>
            </w:r>
            <w:r>
              <w:rPr>
                <w:rFonts w:ascii="Times New Roman" w:hAnsi="Times New Roman" w:cs="Times New Roman"/>
                <w:color w:val="000000" w:themeColor="text1"/>
                <w:spacing w:val="-2"/>
                <w:sz w:val="24"/>
                <w:szCs w:val="24"/>
                <w:highlight w:val="none"/>
                <w:lang w:eastAsia="zh-CN"/>
                <w14:textFill>
                  <w14:solidFill>
                    <w14:schemeClr w14:val="tx1"/>
                  </w14:solidFill>
                </w14:textFill>
              </w:rPr>
              <w:t>。根据本项目特性和所在地环境特征，本项目环境保护目标具体情况见表3-4。</w:t>
            </w:r>
          </w:p>
          <w:p w14:paraId="0CE8DF45">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b/>
                <w:bCs/>
                <w:color w:val="000000" w:themeColor="text1"/>
                <w:spacing w:val="-2"/>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2"/>
                <w:sz w:val="21"/>
                <w:szCs w:val="21"/>
                <w:highlight w:val="none"/>
                <w:lang w:eastAsia="zh-CN"/>
                <w14:textFill>
                  <w14:solidFill>
                    <w14:schemeClr w14:val="tx1"/>
                  </w14:solidFill>
                </w14:textFill>
              </w:rPr>
              <w:t xml:space="preserve">表3-4 </w:t>
            </w:r>
            <w:r>
              <w:rPr>
                <w:rFonts w:hint="eastAsia" w:ascii="Times New Roman" w:hAnsi="Times New Roman" w:cs="Times New Roman"/>
                <w:b/>
                <w:bCs/>
                <w:color w:val="000000" w:themeColor="text1"/>
                <w:spacing w:val="-2"/>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pacing w:val="-2"/>
                <w:sz w:val="21"/>
                <w:szCs w:val="21"/>
                <w:highlight w:val="none"/>
                <w:lang w:eastAsia="zh-CN"/>
                <w14:textFill>
                  <w14:solidFill>
                    <w14:schemeClr w14:val="tx1"/>
                  </w14:solidFill>
                </w14:textFill>
              </w:rPr>
              <w:t>主要环境敏感目标一览表</w:t>
            </w:r>
          </w:p>
          <w:tbl>
            <w:tblPr>
              <w:tblStyle w:val="16"/>
              <w:tblW w:w="7958" w:type="dxa"/>
              <w:jc w:val="center"/>
              <w:tblLayout w:type="autofit"/>
              <w:tblCellMar>
                <w:top w:w="0" w:type="dxa"/>
                <w:left w:w="108" w:type="dxa"/>
                <w:bottom w:w="0" w:type="dxa"/>
                <w:right w:w="108" w:type="dxa"/>
              </w:tblCellMar>
            </w:tblPr>
            <w:tblGrid>
              <w:gridCol w:w="1127"/>
              <w:gridCol w:w="1255"/>
              <w:gridCol w:w="682"/>
              <w:gridCol w:w="4894"/>
            </w:tblGrid>
            <w:tr w14:paraId="7B26629A">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5CCA0E7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保护要素</w:t>
                  </w:r>
                </w:p>
              </w:tc>
              <w:tc>
                <w:tcPr>
                  <w:tcW w:w="1255" w:type="dxa"/>
                  <w:tcBorders>
                    <w:top w:val="single" w:color="000000" w:sz="4" w:space="0"/>
                    <w:left w:val="single" w:color="000000" w:sz="4" w:space="0"/>
                    <w:bottom w:val="single" w:color="000000" w:sz="4" w:space="0"/>
                    <w:right w:val="single" w:color="000000" w:sz="4" w:space="0"/>
                  </w:tcBorders>
                  <w:vAlign w:val="center"/>
                </w:tcPr>
                <w:p w14:paraId="4E98DD9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保护对象</w:t>
                  </w:r>
                </w:p>
              </w:tc>
              <w:tc>
                <w:tcPr>
                  <w:tcW w:w="682" w:type="dxa"/>
                  <w:tcBorders>
                    <w:top w:val="single" w:color="000000" w:sz="4" w:space="0"/>
                    <w:left w:val="single" w:color="000000" w:sz="4" w:space="0"/>
                    <w:bottom w:val="single" w:color="000000" w:sz="4" w:space="0"/>
                    <w:right w:val="single" w:color="000000" w:sz="4" w:space="0"/>
                  </w:tcBorders>
                  <w:vAlign w:val="center"/>
                </w:tcPr>
                <w:p w14:paraId="597AC4B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规模</w:t>
                  </w:r>
                </w:p>
              </w:tc>
              <w:tc>
                <w:tcPr>
                  <w:tcW w:w="4894" w:type="dxa"/>
                  <w:tcBorders>
                    <w:top w:val="single" w:color="000000" w:sz="4" w:space="0"/>
                    <w:left w:val="single" w:color="000000" w:sz="4" w:space="0"/>
                    <w:bottom w:val="single" w:color="000000" w:sz="4" w:space="0"/>
                    <w:right w:val="single" w:color="000000" w:sz="4" w:space="0"/>
                  </w:tcBorders>
                  <w:vAlign w:val="center"/>
                </w:tcPr>
                <w:p w14:paraId="55D8D9B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lang w:eastAsia="zh-CN" w:bidi="ar"/>
                      <w14:textFill>
                        <w14:solidFill>
                          <w14:schemeClr w14:val="tx1"/>
                        </w14:solidFill>
                      </w14:textFill>
                    </w:rPr>
                    <w:t>保护级别</w:t>
                  </w:r>
                </w:p>
              </w:tc>
            </w:tr>
            <w:tr w14:paraId="59F66F66">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0AA1B59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环境空气</w:t>
                  </w:r>
                </w:p>
              </w:tc>
              <w:tc>
                <w:tcPr>
                  <w:tcW w:w="1255" w:type="dxa"/>
                  <w:tcBorders>
                    <w:top w:val="single" w:color="000000" w:sz="4" w:space="0"/>
                    <w:left w:val="single" w:color="000000" w:sz="4" w:space="0"/>
                    <w:bottom w:val="single" w:color="000000" w:sz="4" w:space="0"/>
                    <w:right w:val="single" w:color="000000" w:sz="4" w:space="0"/>
                  </w:tcBorders>
                  <w:vAlign w:val="center"/>
                </w:tcPr>
                <w:p w14:paraId="78BF4CD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top"/>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项目区周边大气环境</w:t>
                  </w:r>
                </w:p>
              </w:tc>
              <w:tc>
                <w:tcPr>
                  <w:tcW w:w="682" w:type="dxa"/>
                  <w:tcBorders>
                    <w:top w:val="single" w:color="000000" w:sz="4" w:space="0"/>
                    <w:left w:val="single" w:color="000000" w:sz="4" w:space="0"/>
                    <w:bottom w:val="single" w:color="000000" w:sz="4" w:space="0"/>
                    <w:right w:val="single" w:color="000000" w:sz="4" w:space="0"/>
                  </w:tcBorders>
                  <w:vAlign w:val="center"/>
                </w:tcPr>
                <w:p w14:paraId="5DF309A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4FC52A5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top"/>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符合《环境空气质量标准》</w:t>
                  </w:r>
                  <w:r>
                    <w:rPr>
                      <w:rFonts w:hint="eastAsia" w:ascii="Times New Roman" w:hAnsi="Times New Roman" w:eastAsia="宋体" w:cs="Times New Roman"/>
                      <w:color w:val="000000" w:themeColor="text1"/>
                      <w:highlight w:val="none"/>
                      <w:lang w:eastAsia="zh-CN" w:bidi="ar"/>
                      <w14:textFill>
                        <w14:solidFill>
                          <w14:schemeClr w14:val="tx1"/>
                        </w14:solidFill>
                      </w14:textFill>
                    </w:rPr>
                    <w:t>（</w:t>
                  </w:r>
                  <w:r>
                    <w:rPr>
                      <w:rFonts w:ascii="Times New Roman" w:hAnsi="Times New Roman" w:eastAsia="宋体" w:cs="Times New Roman"/>
                      <w:color w:val="000000" w:themeColor="text1"/>
                      <w:highlight w:val="none"/>
                      <w:lang w:eastAsia="zh-CN" w:bidi="ar"/>
                      <w14:textFill>
                        <w14:solidFill>
                          <w14:schemeClr w14:val="tx1"/>
                        </w14:solidFill>
                      </w14:textFill>
                    </w:rPr>
                    <w:t>GB</w:t>
                  </w:r>
                  <w:r>
                    <w:rPr>
                      <w:rFonts w:hint="eastAsia" w:ascii="Times New Roman" w:hAnsi="Times New Roman" w:eastAsia="宋体" w:cs="Times New Roman"/>
                      <w:color w:val="000000" w:themeColor="text1"/>
                      <w:highlight w:val="none"/>
                      <w:lang w:eastAsia="zh-CN" w:bidi="ar"/>
                      <w14:textFill>
                        <w14:solidFill>
                          <w14:schemeClr w14:val="tx1"/>
                        </w14:solidFill>
                      </w14:textFill>
                    </w:rPr>
                    <w:t>3095-2026）</w:t>
                  </w:r>
                  <w:r>
                    <w:rPr>
                      <w:rFonts w:ascii="Times New Roman" w:hAnsi="Times New Roman" w:cs="Times New Roman"/>
                      <w:color w:val="000000" w:themeColor="text1"/>
                      <w:spacing w:val="-2"/>
                      <w:sz w:val="21"/>
                      <w:szCs w:val="21"/>
                      <w:highlight w:val="none"/>
                      <w:lang w:eastAsia="zh-CN"/>
                      <w14:textFill>
                        <w14:solidFill>
                          <w14:schemeClr w14:val="tx1"/>
                        </w14:solidFill>
                      </w14:textFill>
                    </w:rPr>
                    <w:t>中的</w:t>
                  </w:r>
                  <w:r>
                    <w:rPr>
                      <w:rFonts w:hint="eastAsia" w:ascii="Times New Roman" w:hAnsi="Times New Roman" w:cs="Times New Roman"/>
                      <w:color w:val="000000" w:themeColor="text1"/>
                      <w:spacing w:val="-2"/>
                      <w:sz w:val="21"/>
                      <w:szCs w:val="21"/>
                      <w:highlight w:val="none"/>
                      <w:lang w:val="en-US" w:eastAsia="zh-CN"/>
                      <w14:textFill>
                        <w14:solidFill>
                          <w14:schemeClr w14:val="tx1"/>
                        </w14:solidFill>
                      </w14:textFill>
                    </w:rPr>
                    <w:t>过渡阶段</w:t>
                  </w:r>
                  <w:r>
                    <w:rPr>
                      <w:rFonts w:ascii="Times New Roman" w:hAnsi="Times New Roman" w:cs="Times New Roman"/>
                      <w:color w:val="000000" w:themeColor="text1"/>
                      <w:spacing w:val="-2"/>
                      <w:sz w:val="21"/>
                      <w:szCs w:val="21"/>
                      <w:highlight w:val="none"/>
                      <w:lang w:eastAsia="zh-CN"/>
                      <w14:textFill>
                        <w14:solidFill>
                          <w14:schemeClr w14:val="tx1"/>
                        </w14:solidFill>
                      </w14:textFill>
                    </w:rPr>
                    <w:t>二级</w:t>
                  </w:r>
                  <w:r>
                    <w:rPr>
                      <w:rFonts w:hint="eastAsia" w:ascii="Times New Roman" w:hAnsi="Times New Roman" w:cs="Times New Roman"/>
                      <w:color w:val="000000" w:themeColor="text1"/>
                      <w:spacing w:val="-2"/>
                      <w:sz w:val="21"/>
                      <w:szCs w:val="21"/>
                      <w:highlight w:val="none"/>
                      <w:lang w:val="en-US" w:eastAsia="zh-CN"/>
                      <w14:textFill>
                        <w14:solidFill>
                          <w14:schemeClr w14:val="tx1"/>
                        </w14:solidFill>
                      </w14:textFill>
                    </w:rPr>
                    <w:t>浓度限值</w:t>
                  </w:r>
                </w:p>
              </w:tc>
            </w:tr>
            <w:tr w14:paraId="717C4C33">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5E1C787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声环境</w:t>
                  </w:r>
                </w:p>
              </w:tc>
              <w:tc>
                <w:tcPr>
                  <w:tcW w:w="1255" w:type="dxa"/>
                  <w:tcBorders>
                    <w:top w:val="single" w:color="000000" w:sz="4" w:space="0"/>
                    <w:left w:val="single" w:color="000000" w:sz="4" w:space="0"/>
                    <w:bottom w:val="single" w:color="000000" w:sz="4" w:space="0"/>
                    <w:right w:val="single" w:color="000000" w:sz="4" w:space="0"/>
                  </w:tcBorders>
                  <w:vAlign w:val="center"/>
                </w:tcPr>
                <w:p w14:paraId="05455F7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无</w:t>
                  </w:r>
                </w:p>
              </w:tc>
              <w:tc>
                <w:tcPr>
                  <w:tcW w:w="682" w:type="dxa"/>
                  <w:tcBorders>
                    <w:top w:val="single" w:color="000000" w:sz="4" w:space="0"/>
                    <w:left w:val="single" w:color="000000" w:sz="4" w:space="0"/>
                    <w:bottom w:val="single" w:color="000000" w:sz="4" w:space="0"/>
                    <w:right w:val="single" w:color="000000" w:sz="4" w:space="0"/>
                  </w:tcBorders>
                  <w:vAlign w:val="center"/>
                </w:tcPr>
                <w:p w14:paraId="516C3EF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40B817F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《声环境质量标准》</w:t>
                  </w:r>
                  <w:r>
                    <w:rPr>
                      <w:rFonts w:hint="eastAsia" w:ascii="Times New Roman" w:hAnsi="Times New Roman" w:eastAsia="宋体" w:cs="Times New Roman"/>
                      <w:color w:val="000000" w:themeColor="text1"/>
                      <w:highlight w:val="none"/>
                      <w:lang w:eastAsia="zh-CN" w:bidi="ar"/>
                      <w14:textFill>
                        <w14:solidFill>
                          <w14:schemeClr w14:val="tx1"/>
                        </w14:solidFill>
                      </w14:textFill>
                    </w:rPr>
                    <w:t>（</w:t>
                  </w:r>
                  <w:r>
                    <w:rPr>
                      <w:rFonts w:ascii="Times New Roman" w:hAnsi="Times New Roman" w:eastAsia="宋体" w:cs="Times New Roman"/>
                      <w:color w:val="000000" w:themeColor="text1"/>
                      <w:highlight w:val="none"/>
                      <w:lang w:eastAsia="zh-CN" w:bidi="ar"/>
                      <w14:textFill>
                        <w14:solidFill>
                          <w14:schemeClr w14:val="tx1"/>
                        </w14:solidFill>
                      </w14:textFill>
                    </w:rPr>
                    <w:t>GB3096—2008)2类标准。</w:t>
                  </w:r>
                </w:p>
              </w:tc>
            </w:tr>
            <w:tr w14:paraId="44CC05BB">
              <w:tblPrEx>
                <w:tblCellMar>
                  <w:top w:w="0" w:type="dxa"/>
                  <w:left w:w="108" w:type="dxa"/>
                  <w:bottom w:w="0" w:type="dxa"/>
                  <w:right w:w="108" w:type="dxa"/>
                </w:tblCellMar>
              </w:tblPrEx>
              <w:trPr>
                <w:trHeight w:val="193" w:hRule="atLeast"/>
                <w:jc w:val="center"/>
              </w:trPr>
              <w:tc>
                <w:tcPr>
                  <w:tcW w:w="1127" w:type="dxa"/>
                  <w:vMerge w:val="restart"/>
                  <w:tcBorders>
                    <w:top w:val="single" w:color="000000" w:sz="4" w:space="0"/>
                    <w:left w:val="single" w:color="000000" w:sz="4" w:space="0"/>
                    <w:bottom w:val="single" w:color="000000" w:sz="4" w:space="0"/>
                    <w:right w:val="single" w:color="000000" w:sz="4" w:space="0"/>
                  </w:tcBorders>
                  <w:vAlign w:val="center"/>
                </w:tcPr>
                <w:p w14:paraId="488428D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生态环境</w:t>
                  </w:r>
                </w:p>
              </w:tc>
              <w:tc>
                <w:tcPr>
                  <w:tcW w:w="1255" w:type="dxa"/>
                  <w:tcBorders>
                    <w:top w:val="single" w:color="000000" w:sz="4" w:space="0"/>
                    <w:left w:val="single" w:color="000000" w:sz="4" w:space="0"/>
                    <w:bottom w:val="single" w:color="000000" w:sz="4" w:space="0"/>
                    <w:right w:val="single" w:color="000000" w:sz="4" w:space="0"/>
                  </w:tcBorders>
                  <w:vAlign w:val="center"/>
                </w:tcPr>
                <w:p w14:paraId="111F20D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top"/>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荒漠植被、野生动物</w:t>
                  </w:r>
                </w:p>
              </w:tc>
              <w:tc>
                <w:tcPr>
                  <w:tcW w:w="682" w:type="dxa"/>
                  <w:tcBorders>
                    <w:top w:val="single" w:color="000000" w:sz="4" w:space="0"/>
                    <w:left w:val="single" w:color="000000" w:sz="4" w:space="0"/>
                    <w:bottom w:val="single" w:color="000000" w:sz="4" w:space="0"/>
                    <w:right w:val="single" w:color="000000" w:sz="4" w:space="0"/>
                  </w:tcBorders>
                  <w:vAlign w:val="center"/>
                </w:tcPr>
                <w:p w14:paraId="723C7B9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155DA69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保护生境不被破坏，保护植被，禁止捕杀野生动物。</w:t>
                  </w:r>
                </w:p>
              </w:tc>
            </w:tr>
            <w:tr w14:paraId="2DEC6F3D">
              <w:tblPrEx>
                <w:tblCellMar>
                  <w:top w:w="0" w:type="dxa"/>
                  <w:left w:w="108" w:type="dxa"/>
                  <w:bottom w:w="0" w:type="dxa"/>
                  <w:right w:w="108" w:type="dxa"/>
                </w:tblCellMar>
              </w:tblPrEx>
              <w:trPr>
                <w:trHeight w:val="193" w:hRule="atLeast"/>
                <w:jc w:val="center"/>
              </w:trPr>
              <w:tc>
                <w:tcPr>
                  <w:tcW w:w="1127" w:type="dxa"/>
                  <w:vMerge w:val="continue"/>
                  <w:tcBorders>
                    <w:top w:val="single" w:color="000000" w:sz="4" w:space="0"/>
                    <w:left w:val="single" w:color="000000" w:sz="4" w:space="0"/>
                    <w:bottom w:val="single" w:color="000000" w:sz="4" w:space="0"/>
                    <w:right w:val="single" w:color="000000" w:sz="4" w:space="0"/>
                  </w:tcBorders>
                  <w:vAlign w:val="center"/>
                </w:tcPr>
                <w:p w14:paraId="6204B6D7">
                  <w:pPr>
                    <w:keepNext w:val="0"/>
                    <w:keepLines w:val="0"/>
                    <w:pageBreakBefore w:val="0"/>
                    <w:widowControl/>
                    <w:kinsoku/>
                    <w:wordWrap/>
                    <w:overflowPunct/>
                    <w:topLinePunct w:val="0"/>
                    <w:autoSpaceDE w:val="0"/>
                    <w:autoSpaceDN w:val="0"/>
                    <w:bidi w:val="0"/>
                    <w:adjustRightInd w:val="0"/>
                    <w:snapToGrid w:val="0"/>
                    <w:spacing w:line="240" w:lineRule="auto"/>
                    <w:jc w:val="center"/>
                    <w:rPr>
                      <w:rFonts w:ascii="Times New Roman" w:hAnsi="Times New Roman" w:eastAsia="宋体" w:cs="Times New Roman"/>
                      <w:color w:val="000000" w:themeColor="text1"/>
                      <w:highlight w:val="none"/>
                      <w:lang w:eastAsia="zh-CN"/>
                      <w14:textFill>
                        <w14:solidFill>
                          <w14:schemeClr w14:val="tx1"/>
                        </w14:solidFill>
                      </w14:textFill>
                    </w:rPr>
                  </w:pPr>
                </w:p>
              </w:tc>
              <w:tc>
                <w:tcPr>
                  <w:tcW w:w="1255" w:type="dxa"/>
                  <w:tcBorders>
                    <w:top w:val="single" w:color="000000" w:sz="4" w:space="0"/>
                    <w:left w:val="single" w:color="000000" w:sz="4" w:space="0"/>
                    <w:bottom w:val="single" w:color="000000" w:sz="4" w:space="0"/>
                    <w:right w:val="single" w:color="000000" w:sz="4" w:space="0"/>
                  </w:tcBorders>
                  <w:vAlign w:val="center"/>
                </w:tcPr>
                <w:p w14:paraId="69E7432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水土流失预防</w:t>
                  </w:r>
                </w:p>
              </w:tc>
              <w:tc>
                <w:tcPr>
                  <w:tcW w:w="682" w:type="dxa"/>
                  <w:tcBorders>
                    <w:top w:val="single" w:color="000000" w:sz="4" w:space="0"/>
                    <w:left w:val="single" w:color="000000" w:sz="4" w:space="0"/>
                    <w:bottom w:val="single" w:color="000000" w:sz="4" w:space="0"/>
                    <w:right w:val="single" w:color="000000" w:sz="4" w:space="0"/>
                  </w:tcBorders>
                  <w:vAlign w:val="center"/>
                </w:tcPr>
                <w:p w14:paraId="6807077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70B6BFE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保护项目区域生态系统完整性和稳定性，做好植被恢复与水土保持工作。</w:t>
                  </w:r>
                </w:p>
              </w:tc>
            </w:tr>
            <w:tr w14:paraId="6EEBE7DC">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62742FB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水环境</w:t>
                  </w:r>
                </w:p>
              </w:tc>
              <w:tc>
                <w:tcPr>
                  <w:tcW w:w="1255" w:type="dxa"/>
                  <w:tcBorders>
                    <w:top w:val="single" w:color="000000" w:sz="4" w:space="0"/>
                    <w:left w:val="single" w:color="000000" w:sz="4" w:space="0"/>
                    <w:bottom w:val="single" w:color="000000" w:sz="4" w:space="0"/>
                    <w:right w:val="single" w:color="000000" w:sz="4" w:space="0"/>
                  </w:tcBorders>
                  <w:vAlign w:val="center"/>
                </w:tcPr>
                <w:p w14:paraId="1E57F81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区域地下水</w:t>
                  </w:r>
                </w:p>
              </w:tc>
              <w:tc>
                <w:tcPr>
                  <w:tcW w:w="682" w:type="dxa"/>
                  <w:tcBorders>
                    <w:top w:val="single" w:color="000000" w:sz="4" w:space="0"/>
                    <w:left w:val="single" w:color="000000" w:sz="4" w:space="0"/>
                    <w:bottom w:val="single" w:color="000000" w:sz="4" w:space="0"/>
                    <w:right w:val="single" w:color="000000" w:sz="4" w:space="0"/>
                  </w:tcBorders>
                  <w:vAlign w:val="center"/>
                </w:tcPr>
                <w:p w14:paraId="2FD57E6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2C5FB69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center"/>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bidi="ar"/>
                      <w14:textFill>
                        <w14:solidFill>
                          <w14:schemeClr w14:val="tx1"/>
                        </w14:solidFill>
                      </w14:textFill>
                    </w:rPr>
                    <w:t>确保地下水不受污染</w:t>
                  </w:r>
                </w:p>
              </w:tc>
            </w:tr>
            <w:tr w14:paraId="56863216">
              <w:tblPrEx>
                <w:tblCellMar>
                  <w:top w:w="0" w:type="dxa"/>
                  <w:left w:w="108" w:type="dxa"/>
                  <w:bottom w:w="0" w:type="dxa"/>
                  <w:right w:w="108" w:type="dxa"/>
                </w:tblCellMar>
              </w:tblPrEx>
              <w:trPr>
                <w:trHeight w:val="193" w:hRule="atLeast"/>
                <w:jc w:val="center"/>
              </w:trPr>
              <w:tc>
                <w:tcPr>
                  <w:tcW w:w="1127" w:type="dxa"/>
                  <w:tcBorders>
                    <w:top w:val="single" w:color="000000" w:sz="4" w:space="0"/>
                    <w:left w:val="single" w:color="000000" w:sz="4" w:space="0"/>
                    <w:bottom w:val="single" w:color="000000" w:sz="4" w:space="0"/>
                    <w:right w:val="single" w:color="000000" w:sz="4" w:space="0"/>
                  </w:tcBorders>
                  <w:vAlign w:val="center"/>
                </w:tcPr>
                <w:p w14:paraId="378B70B3">
                  <w:pPr>
                    <w:pStyle w:val="22"/>
                    <w:kinsoku/>
                    <w:spacing w:before="170" w:line="240" w:lineRule="atLeast"/>
                    <w:jc w:val="center"/>
                    <w:rPr>
                      <w:rFonts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土壤环境</w:t>
                  </w:r>
                </w:p>
              </w:tc>
              <w:tc>
                <w:tcPr>
                  <w:tcW w:w="1255" w:type="dxa"/>
                  <w:tcBorders>
                    <w:top w:val="single" w:color="000000" w:sz="4" w:space="0"/>
                    <w:left w:val="single" w:color="000000" w:sz="4" w:space="0"/>
                    <w:bottom w:val="single" w:color="000000" w:sz="4" w:space="0"/>
                    <w:right w:val="single" w:color="000000" w:sz="4" w:space="0"/>
                  </w:tcBorders>
                  <w:vAlign w:val="center"/>
                </w:tcPr>
                <w:p w14:paraId="33EDE29F">
                  <w:pPr>
                    <w:pStyle w:val="22"/>
                    <w:kinsoku/>
                    <w:spacing w:before="169" w:line="240" w:lineRule="atLeast"/>
                    <w:jc w:val="center"/>
                    <w:rPr>
                      <w:rFonts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bidi="ar"/>
                      <w14:textFill>
                        <w14:solidFill>
                          <w14:schemeClr w14:val="tx1"/>
                        </w14:solidFill>
                      </w14:textFill>
                    </w:rPr>
                    <w:t>井场周边约100m处的耕地</w:t>
                  </w:r>
                </w:p>
              </w:tc>
              <w:tc>
                <w:tcPr>
                  <w:tcW w:w="682" w:type="dxa"/>
                  <w:tcBorders>
                    <w:top w:val="single" w:color="000000" w:sz="4" w:space="0"/>
                    <w:left w:val="single" w:color="000000" w:sz="4" w:space="0"/>
                    <w:bottom w:val="single" w:color="000000" w:sz="4" w:space="0"/>
                    <w:right w:val="single" w:color="000000" w:sz="4" w:space="0"/>
                  </w:tcBorders>
                  <w:vAlign w:val="center"/>
                </w:tcPr>
                <w:p w14:paraId="65FB440B">
                  <w:pPr>
                    <w:kinsoku/>
                    <w:spacing w:line="240" w:lineRule="atLeast"/>
                    <w:jc w:val="center"/>
                    <w:textAlignment w:val="center"/>
                    <w:rPr>
                      <w:rFonts w:ascii="Times New Roman" w:hAnsi="Times New Roman" w:eastAsia="宋体" w:cs="Times New Roman"/>
                      <w:color w:val="000000" w:themeColor="text1"/>
                      <w:highlight w:val="none"/>
                      <w:lang w:eastAsia="zh-CN" w:bidi="ar"/>
                      <w14:textFill>
                        <w14:solidFill>
                          <w14:schemeClr w14:val="tx1"/>
                        </w14:solidFill>
                      </w14:textFill>
                    </w:rPr>
                  </w:pPr>
                  <w:r>
                    <w:rPr>
                      <w:rFonts w:hint="eastAsia" w:ascii="Times New Roman" w:hAnsi="Times New Roman" w:eastAsia="宋体" w:cs="Times New Roman"/>
                      <w:snapToGrid w:val="0"/>
                      <w:color w:val="000000" w:themeColor="text1"/>
                      <w:sz w:val="21"/>
                      <w:szCs w:val="21"/>
                      <w:lang w:val="en-US" w:eastAsia="zh-CN" w:bidi="ar"/>
                      <w14:textFill>
                        <w14:solidFill>
                          <w14:schemeClr w14:val="tx1"/>
                        </w14:solidFill>
                      </w14:textFill>
                    </w:rPr>
                    <w:t>/</w:t>
                  </w:r>
                </w:p>
              </w:tc>
              <w:tc>
                <w:tcPr>
                  <w:tcW w:w="4894" w:type="dxa"/>
                  <w:tcBorders>
                    <w:top w:val="single" w:color="000000" w:sz="4" w:space="0"/>
                    <w:left w:val="single" w:color="000000" w:sz="4" w:space="0"/>
                    <w:bottom w:val="single" w:color="000000" w:sz="4" w:space="0"/>
                    <w:right w:val="single" w:color="000000" w:sz="4" w:space="0"/>
                  </w:tcBorders>
                  <w:vAlign w:val="center"/>
                </w:tcPr>
                <w:p w14:paraId="0C82ED34">
                  <w:pPr>
                    <w:kinsoku/>
                    <w:spacing w:line="240" w:lineRule="atLeast"/>
                    <w:jc w:val="center"/>
                    <w:textAlignment w:val="center"/>
                    <w:rPr>
                      <w:rFonts w:ascii="Times New Roman" w:hAnsi="Times New Roman" w:eastAsia="宋体" w:cs="Times New Roman"/>
                      <w:color w:val="000000" w:themeColor="text1"/>
                      <w:highlight w:val="none"/>
                      <w:lang w:eastAsia="zh-CN" w:bidi="ar"/>
                      <w14:textFill>
                        <w14:solidFill>
                          <w14:schemeClr w14:val="tx1"/>
                        </w14:solidFill>
                      </w14:textFill>
                    </w:rPr>
                  </w:pPr>
                  <w:r>
                    <w:rPr>
                      <w:rFonts w:hint="default" w:ascii="Times New Roman" w:hAnsi="Times New Roman" w:eastAsia="宋体" w:cs="Times New Roman"/>
                      <w:snapToGrid w:val="0"/>
                      <w:color w:val="000000" w:themeColor="text1"/>
                      <w:sz w:val="21"/>
                      <w:szCs w:val="21"/>
                      <w:lang w:val="en-US" w:eastAsia="zh-CN" w:bidi="ar"/>
                      <w14:textFill>
                        <w14:solidFill>
                          <w14:schemeClr w14:val="tx1"/>
                        </w14:solidFill>
                      </w14:textFill>
                    </w:rPr>
                    <w:t>尽量避开农作物种植季节；严防施工扬尘、物料跑冒滴漏等间接污染，保护农作物正常生长和土壤环境质量不受影响。</w:t>
                  </w:r>
                </w:p>
              </w:tc>
            </w:tr>
          </w:tbl>
          <w:p w14:paraId="52BB240D">
            <w:pPr>
              <w:pStyle w:val="22"/>
              <w:keepNext w:val="0"/>
              <w:keepLines w:val="0"/>
              <w:pageBreakBefore w:val="0"/>
              <w:widowControl/>
              <w:kinsoku/>
              <w:wordWrap/>
              <w:overflowPunct/>
              <w:topLinePunct w:val="0"/>
              <w:autoSpaceDE w:val="0"/>
              <w:autoSpaceDN w:val="0"/>
              <w:bidi w:val="0"/>
              <w:adjustRightInd w:val="0"/>
              <w:snapToGrid w:val="0"/>
              <w:spacing w:before="0" w:beforeLines="50" w:line="360" w:lineRule="auto"/>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2.保护要求</w:t>
            </w:r>
          </w:p>
          <w:p w14:paraId="7062DCAA">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（1）保护项目所在区域的空气质量，保持现有空气质量级别，不因本项目的建设降低环境空气质量；</w:t>
            </w:r>
          </w:p>
          <w:p w14:paraId="1BB84CB6">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（2）保护项目所在区域地下水质量保持在现有水平，不受本项目所排废水的影响；</w:t>
            </w:r>
          </w:p>
          <w:p w14:paraId="0863ABC7">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（3）保护项目区声环境质量现状，符合《声环境质量标准》（GB3096-2008）的2类声环境功能限值；</w:t>
            </w:r>
          </w:p>
          <w:p w14:paraId="72C1939B">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（4）生态环境保护目标：本工程需保护项目区生态环境，使项目的建成对项目区生态环境影响较小；</w:t>
            </w:r>
          </w:p>
          <w:p w14:paraId="0748A8DC">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cs="Times New Roman"/>
                <w:b/>
                <w:bCs/>
                <w:color w:val="000000" w:themeColor="text1"/>
                <w:spacing w:val="5"/>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（5）土壤环境质量项目范围内按照</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《土壤环境质量建设用地土壤污染风险管控标准（试行）》</w:t>
            </w:r>
            <w:r>
              <w:rPr>
                <w:rFonts w:ascii="Times New Roman" w:hAnsi="Times New Roman" w:cs="Times New Roman"/>
                <w:color w:val="000000" w:themeColor="text1"/>
                <w:spacing w:val="-2"/>
                <w:sz w:val="24"/>
                <w:szCs w:val="24"/>
                <w:highlight w:val="none"/>
                <w:lang w:eastAsia="zh-CN"/>
                <w14:textFill>
                  <w14:solidFill>
                    <w14:schemeClr w14:val="tx1"/>
                  </w14:solidFill>
                </w14:textFill>
              </w:rPr>
              <w:t>第二类用地筛选值标准执行。项目区占地范围外耕地按照《土壤环境质量 农用地土壤污染风险管控标准（试行）》（GB15618-2018</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w:t>
            </w:r>
            <w:r>
              <w:rPr>
                <w:rFonts w:ascii="Times New Roman" w:hAnsi="Times New Roman" w:cs="Times New Roman"/>
                <w:color w:val="000000" w:themeColor="text1"/>
                <w:spacing w:val="-2"/>
                <w:sz w:val="24"/>
                <w:szCs w:val="24"/>
                <w:highlight w:val="none"/>
                <w:lang w:eastAsia="zh-CN"/>
                <w14:textFill>
                  <w14:solidFill>
                    <w14:schemeClr w14:val="tx1"/>
                  </w14:solidFill>
                </w14:textFill>
              </w:rPr>
              <w:t>执行。</w:t>
            </w:r>
          </w:p>
        </w:tc>
      </w:tr>
      <w:tr w14:paraId="2B163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2" w:hRule="atLeast"/>
          <w:jc w:val="center"/>
        </w:trPr>
        <w:tc>
          <w:tcPr>
            <w:tcW w:w="991" w:type="dxa"/>
            <w:tcBorders>
              <w:left w:val="single" w:color="000000" w:sz="4" w:space="0"/>
              <w:bottom w:val="single" w:color="auto" w:sz="4" w:space="0"/>
            </w:tcBorders>
            <w:vAlign w:val="center"/>
          </w:tcPr>
          <w:p w14:paraId="73CD7CE2">
            <w:pPr>
              <w:pStyle w:val="22"/>
              <w:kinsoku/>
              <w:spacing w:before="65" w:line="228" w:lineRule="auto"/>
              <w:jc w:val="center"/>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评价标准</w:t>
            </w:r>
          </w:p>
        </w:tc>
        <w:tc>
          <w:tcPr>
            <w:tcW w:w="8108" w:type="dxa"/>
            <w:tcBorders>
              <w:bottom w:val="single" w:color="auto" w:sz="4" w:space="0"/>
              <w:right w:val="single" w:color="000000" w:sz="4" w:space="0"/>
            </w:tcBorders>
            <w:vAlign w:val="center"/>
          </w:tcPr>
          <w:p w14:paraId="2D3CD8EC">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472" w:firstLineChars="200"/>
              <w:jc w:val="both"/>
              <w:textAlignment w:val="baseline"/>
              <w:rPr>
                <w:rFonts w:ascii="Times New Roman" w:hAnsi="Times New Roman" w:cs="Times New Roman"/>
                <w:b/>
                <w:bCs/>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项目施工期执行标准见表3-5。</w:t>
            </w:r>
          </w:p>
          <w:p w14:paraId="125AA217">
            <w:pPr>
              <w:pStyle w:val="22"/>
              <w:keepNext w:val="0"/>
              <w:keepLines w:val="0"/>
              <w:pageBreakBefore w:val="0"/>
              <w:widowControl/>
              <w:kinsoku/>
              <w:wordWrap/>
              <w:overflowPunct/>
              <w:topLinePunct w:val="0"/>
              <w:autoSpaceDE w:val="0"/>
              <w:autoSpaceDN w:val="0"/>
              <w:bidi w:val="0"/>
              <w:adjustRightInd w:val="0"/>
              <w:snapToGrid w:val="0"/>
              <w:jc w:val="center"/>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z w:val="21"/>
                <w:szCs w:val="21"/>
                <w:highlight w:val="none"/>
                <w14:textFill>
                  <w14:solidFill>
                    <w14:schemeClr w14:val="tx1"/>
                  </w14:solidFill>
                </w14:textFill>
              </w:rPr>
              <w:t>表3-</w:t>
            </w:r>
            <w:r>
              <w:rPr>
                <w:rFonts w:ascii="Times New Roman" w:hAnsi="Times New Roman" w:cs="Times New Roman"/>
                <w:b/>
                <w:bCs/>
                <w:color w:val="000000" w:themeColor="text1"/>
                <w:sz w:val="21"/>
                <w:szCs w:val="21"/>
                <w:highlight w:val="none"/>
                <w:lang w:eastAsia="zh-CN"/>
                <w14:textFill>
                  <w14:solidFill>
                    <w14:schemeClr w14:val="tx1"/>
                  </w14:solidFill>
                </w14:textFill>
              </w:rPr>
              <w:t xml:space="preserve">5 </w:t>
            </w: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 xml:space="preserve"> </w:t>
            </w:r>
            <w:r>
              <w:rPr>
                <w:rFonts w:ascii="Times New Roman" w:hAnsi="Times New Roman" w:cs="Times New Roman"/>
                <w:b/>
                <w:bCs/>
                <w:color w:val="000000" w:themeColor="text1"/>
                <w:sz w:val="21"/>
                <w:szCs w:val="21"/>
                <w:highlight w:val="none"/>
                <w:lang w:eastAsia="zh-CN"/>
                <w14:textFill>
                  <w14:solidFill>
                    <w14:schemeClr w14:val="tx1"/>
                  </w14:solidFill>
                </w14:textFill>
              </w:rPr>
              <w:t>执行标准及限值</w:t>
            </w:r>
          </w:p>
          <w:tbl>
            <w:tblPr>
              <w:tblStyle w:val="21"/>
              <w:tblW w:w="79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99"/>
              <w:gridCol w:w="717"/>
              <w:gridCol w:w="668"/>
              <w:gridCol w:w="5955"/>
            </w:tblGrid>
            <w:tr w14:paraId="539E1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1984" w:type="dxa"/>
                  <w:gridSpan w:val="3"/>
                  <w:vAlign w:val="center"/>
                </w:tcPr>
                <w:p w14:paraId="3A09035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7"/>
                      <w:sz w:val="21"/>
                      <w:szCs w:val="21"/>
                      <w:highlight w:val="none"/>
                      <w14:textFill>
                        <w14:solidFill>
                          <w14:schemeClr w14:val="tx1"/>
                        </w14:solidFill>
                      </w14:textFill>
                    </w:rPr>
                    <w:t>环境要素</w:t>
                  </w:r>
                </w:p>
              </w:tc>
              <w:tc>
                <w:tcPr>
                  <w:tcW w:w="5955" w:type="dxa"/>
                  <w:tcBorders>
                    <w:right w:val="single" w:color="000000" w:sz="4" w:space="0"/>
                  </w:tcBorders>
                  <w:vAlign w:val="center"/>
                </w:tcPr>
                <w:p w14:paraId="06D279F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7"/>
                      <w:sz w:val="21"/>
                      <w:szCs w:val="21"/>
                      <w:highlight w:val="none"/>
                      <w14:textFill>
                        <w14:solidFill>
                          <w14:schemeClr w14:val="tx1"/>
                        </w14:solidFill>
                      </w14:textFill>
                    </w:rPr>
                    <w:t>执行标准</w:t>
                  </w:r>
                </w:p>
              </w:tc>
            </w:tr>
            <w:tr w14:paraId="0F8D7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73CA5C4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4"/>
                      <w:sz w:val="21"/>
                      <w:szCs w:val="21"/>
                      <w:highlight w:val="none"/>
                      <w14:textFill>
                        <w14:solidFill>
                          <w14:schemeClr w14:val="tx1"/>
                        </w14:solidFill>
                      </w14:textFill>
                    </w:rPr>
                    <w:t>环境质量标准</w:t>
                  </w:r>
                </w:p>
              </w:tc>
              <w:tc>
                <w:tcPr>
                  <w:tcW w:w="717" w:type="dxa"/>
                  <w:vAlign w:val="center"/>
                </w:tcPr>
                <w:p w14:paraId="354368F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大气环境</w:t>
                  </w:r>
                </w:p>
              </w:tc>
              <w:tc>
                <w:tcPr>
                  <w:tcW w:w="668" w:type="dxa"/>
                  <w:vAlign w:val="center"/>
                </w:tcPr>
                <w:p w14:paraId="761D81F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7"/>
                      <w:sz w:val="21"/>
                      <w:szCs w:val="21"/>
                      <w:highlight w:val="none"/>
                      <w14:textFill>
                        <w14:solidFill>
                          <w14:schemeClr w14:val="tx1"/>
                        </w14:solidFill>
                      </w14:textFill>
                    </w:rPr>
                    <w:t>基本污染</w:t>
                  </w:r>
                  <w:r>
                    <w:rPr>
                      <w:rFonts w:ascii="Times New Roman" w:hAnsi="Times New Roman" w:cs="Times New Roman"/>
                      <w:color w:val="000000" w:themeColor="text1"/>
                      <w:sz w:val="21"/>
                      <w:szCs w:val="21"/>
                      <w:highlight w:val="none"/>
                      <w14:textFill>
                        <w14:solidFill>
                          <w14:schemeClr w14:val="tx1"/>
                        </w14:solidFill>
                      </w14:textFill>
                    </w:rPr>
                    <w:t>物</w:t>
                  </w:r>
                </w:p>
              </w:tc>
              <w:tc>
                <w:tcPr>
                  <w:tcW w:w="5955" w:type="dxa"/>
                  <w:tcBorders>
                    <w:right w:val="single" w:color="000000" w:sz="4" w:space="0"/>
                  </w:tcBorders>
                  <w:vAlign w:val="center"/>
                </w:tcPr>
                <w:p w14:paraId="650F1B0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5"/>
                      <w:sz w:val="21"/>
                      <w:szCs w:val="21"/>
                      <w:highlight w:val="none"/>
                      <w14:textFill>
                        <w14:solidFill>
                          <w14:schemeClr w14:val="tx1"/>
                        </w14:solidFill>
                      </w14:textFill>
                    </w:rPr>
                    <w:t>《环境空气质量标准》（GB</w:t>
                  </w:r>
                  <w:r>
                    <w:rPr>
                      <w:rFonts w:hint="eastAsia" w:ascii="Times New Roman" w:hAnsi="Times New Roman" w:cs="Times New Roman"/>
                      <w:color w:val="000000" w:themeColor="text1"/>
                      <w:spacing w:val="-5"/>
                      <w:sz w:val="21"/>
                      <w:szCs w:val="21"/>
                      <w:highlight w:val="none"/>
                      <w:lang w:eastAsia="zh-CN"/>
                      <w14:textFill>
                        <w14:solidFill>
                          <w14:schemeClr w14:val="tx1"/>
                        </w14:solidFill>
                      </w14:textFill>
                    </w:rPr>
                    <w:t>3095-2026</w:t>
                  </w:r>
                  <w:r>
                    <w:rPr>
                      <w:rFonts w:ascii="Times New Roman" w:hAnsi="Times New Roman" w:cs="Times New Roman"/>
                      <w:color w:val="000000" w:themeColor="text1"/>
                      <w:spacing w:val="-5"/>
                      <w:sz w:val="21"/>
                      <w:szCs w:val="21"/>
                      <w:highlight w:val="none"/>
                      <w14:textFill>
                        <w14:solidFill>
                          <w14:schemeClr w14:val="tx1"/>
                        </w14:solidFill>
                      </w14:textFill>
                    </w:rPr>
                    <w:t>）</w:t>
                  </w:r>
                  <w:r>
                    <w:rPr>
                      <w:rFonts w:ascii="Times New Roman" w:hAnsi="Times New Roman" w:cs="Times New Roman"/>
                      <w:color w:val="000000" w:themeColor="text1"/>
                      <w:spacing w:val="-2"/>
                      <w:sz w:val="21"/>
                      <w:szCs w:val="21"/>
                      <w:highlight w:val="none"/>
                      <w:lang w:eastAsia="zh-CN"/>
                      <w14:textFill>
                        <w14:solidFill>
                          <w14:schemeClr w14:val="tx1"/>
                        </w14:solidFill>
                      </w14:textFill>
                    </w:rPr>
                    <w:t>中的</w:t>
                  </w:r>
                  <w:r>
                    <w:rPr>
                      <w:rFonts w:hint="eastAsia" w:ascii="Times New Roman" w:hAnsi="Times New Roman" w:cs="Times New Roman"/>
                      <w:color w:val="000000" w:themeColor="text1"/>
                      <w:spacing w:val="-2"/>
                      <w:sz w:val="21"/>
                      <w:szCs w:val="21"/>
                      <w:highlight w:val="none"/>
                      <w:lang w:val="en-US" w:eastAsia="zh-CN"/>
                      <w14:textFill>
                        <w14:solidFill>
                          <w14:schemeClr w14:val="tx1"/>
                        </w14:solidFill>
                      </w14:textFill>
                    </w:rPr>
                    <w:t>过渡阶段</w:t>
                  </w:r>
                  <w:r>
                    <w:rPr>
                      <w:rFonts w:ascii="Times New Roman" w:hAnsi="Times New Roman" w:cs="Times New Roman"/>
                      <w:color w:val="000000" w:themeColor="text1"/>
                      <w:spacing w:val="-2"/>
                      <w:sz w:val="21"/>
                      <w:szCs w:val="21"/>
                      <w:highlight w:val="none"/>
                      <w:lang w:eastAsia="zh-CN"/>
                      <w14:textFill>
                        <w14:solidFill>
                          <w14:schemeClr w14:val="tx1"/>
                        </w14:solidFill>
                      </w14:textFill>
                    </w:rPr>
                    <w:t>二级</w:t>
                  </w:r>
                  <w:r>
                    <w:rPr>
                      <w:rFonts w:hint="eastAsia" w:ascii="Times New Roman" w:hAnsi="Times New Roman" w:cs="Times New Roman"/>
                      <w:color w:val="000000" w:themeColor="text1"/>
                      <w:spacing w:val="-2"/>
                      <w:sz w:val="21"/>
                      <w:szCs w:val="21"/>
                      <w:highlight w:val="none"/>
                      <w:lang w:val="en-US" w:eastAsia="zh-CN"/>
                      <w14:textFill>
                        <w14:solidFill>
                          <w14:schemeClr w14:val="tx1"/>
                        </w14:solidFill>
                      </w14:textFill>
                    </w:rPr>
                    <w:t>浓度限值</w:t>
                  </w:r>
                  <w:r>
                    <w:rPr>
                      <w:rFonts w:ascii="Times New Roman" w:hAnsi="Times New Roman" w:cs="Times New Roman"/>
                      <w:color w:val="000000" w:themeColor="text1"/>
                      <w:spacing w:val="-5"/>
                      <w:sz w:val="21"/>
                      <w:szCs w:val="21"/>
                      <w:highlight w:val="none"/>
                      <w14:textFill>
                        <w14:solidFill>
                          <w14:schemeClr w14:val="tx1"/>
                        </w14:solidFill>
                      </w14:textFill>
                    </w:rPr>
                    <w:t>（年平均值SO</w:t>
                  </w:r>
                  <w:r>
                    <w:rPr>
                      <w:rFonts w:ascii="Times New Roman" w:hAnsi="Times New Roman" w:cs="Times New Roman"/>
                      <w:color w:val="000000" w:themeColor="text1"/>
                      <w:spacing w:val="-5"/>
                      <w:position w:val="-1"/>
                      <w:sz w:val="21"/>
                      <w:szCs w:val="21"/>
                      <w:highlight w:val="none"/>
                      <w:vertAlign w:val="subscript"/>
                      <w14:textFill>
                        <w14:solidFill>
                          <w14:schemeClr w14:val="tx1"/>
                        </w14:solidFill>
                      </w14:textFill>
                    </w:rPr>
                    <w:t>2</w:t>
                  </w:r>
                  <w:r>
                    <w:rPr>
                      <w:rFonts w:hint="eastAsia" w:ascii="Times New Roman" w:hAnsi="Times New Roman" w:cs="Times New Roman"/>
                      <w:color w:val="000000" w:themeColor="text1"/>
                      <w:spacing w:val="-5"/>
                      <w:position w:val="-1"/>
                      <w:sz w:val="21"/>
                      <w:szCs w:val="21"/>
                      <w:highlight w:val="none"/>
                      <w:vertAlign w:val="baseline"/>
                      <w:lang w:eastAsia="zh-CN"/>
                      <w14:textFill>
                        <w14:solidFill>
                          <w14:schemeClr w14:val="tx1"/>
                        </w14:solidFill>
                      </w14:textFill>
                    </w:rPr>
                    <w:t>:</w:t>
                  </w:r>
                  <w:r>
                    <w:rPr>
                      <w:rFonts w:ascii="Times New Roman" w:hAnsi="Times New Roman" w:cs="Times New Roman"/>
                      <w:color w:val="000000" w:themeColor="text1"/>
                      <w:spacing w:val="-7"/>
                      <w:sz w:val="21"/>
                      <w:szCs w:val="21"/>
                      <w:highlight w:val="none"/>
                      <w14:textFill>
                        <w14:solidFill>
                          <w14:schemeClr w14:val="tx1"/>
                        </w14:solidFill>
                      </w14:textFill>
                    </w:rPr>
                    <w:t>60μg/m</w:t>
                  </w:r>
                  <w:r>
                    <w:rPr>
                      <w:rFonts w:ascii="Times New Roman" w:hAnsi="Times New Roman" w:cs="Times New Roman"/>
                      <w:color w:val="000000" w:themeColor="text1"/>
                      <w:spacing w:val="-7"/>
                      <w:sz w:val="21"/>
                      <w:szCs w:val="21"/>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2"/>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NO</w:t>
                  </w:r>
                  <w:r>
                    <w:rPr>
                      <w:rFonts w:ascii="Times New Roman" w:hAnsi="Times New Roman" w:cs="Times New Roman"/>
                      <w:color w:val="000000" w:themeColor="text1"/>
                      <w:spacing w:val="2"/>
                      <w:position w:val="-1"/>
                      <w:sz w:val="21"/>
                      <w:szCs w:val="21"/>
                      <w:highlight w:val="none"/>
                      <w:vertAlign w:val="subscript"/>
                      <w14:textFill>
                        <w14:solidFill>
                          <w14:schemeClr w14:val="tx1"/>
                        </w14:solidFill>
                      </w14:textFill>
                    </w:rPr>
                    <w:t>2</w:t>
                  </w:r>
                  <w:r>
                    <w:rPr>
                      <w:rFonts w:hint="eastAsia" w:ascii="Times New Roman" w:hAnsi="Times New Roman" w:cs="Times New Roman"/>
                      <w:color w:val="000000" w:themeColor="text1"/>
                      <w:spacing w:val="2"/>
                      <w:position w:val="-1"/>
                      <w:sz w:val="21"/>
                      <w:szCs w:val="21"/>
                      <w:highlight w:val="none"/>
                      <w:vertAlign w:val="baseline"/>
                      <w:lang w:eastAsia="zh-CN"/>
                      <w14:textFill>
                        <w14:solidFill>
                          <w14:schemeClr w14:val="tx1"/>
                        </w14:solidFill>
                      </w14:textFill>
                    </w:rPr>
                    <w:t>:</w:t>
                  </w:r>
                  <w:r>
                    <w:rPr>
                      <w:rFonts w:ascii="Times New Roman" w:hAnsi="Times New Roman" w:cs="Times New Roman"/>
                      <w:color w:val="000000" w:themeColor="text1"/>
                      <w:spacing w:val="2"/>
                      <w:sz w:val="21"/>
                      <w:szCs w:val="21"/>
                      <w:highlight w:val="none"/>
                      <w14:textFill>
                        <w14:solidFill>
                          <w14:schemeClr w14:val="tx1"/>
                        </w14:solidFill>
                      </w14:textFill>
                    </w:rPr>
                    <w:t>40μg/m</w:t>
                  </w:r>
                  <w:r>
                    <w:rPr>
                      <w:rFonts w:ascii="Times New Roman" w:hAnsi="Times New Roman" w:cs="Times New Roman"/>
                      <w:color w:val="000000" w:themeColor="text1"/>
                      <w:spacing w:val="2"/>
                      <w:sz w:val="21"/>
                      <w:szCs w:val="21"/>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2"/>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PM</w:t>
                  </w:r>
                  <w:r>
                    <w:rPr>
                      <w:rFonts w:ascii="Times New Roman" w:hAnsi="Times New Roman" w:cs="Times New Roman"/>
                      <w:color w:val="000000" w:themeColor="text1"/>
                      <w:spacing w:val="2"/>
                      <w:position w:val="-1"/>
                      <w:sz w:val="21"/>
                      <w:szCs w:val="21"/>
                      <w:highlight w:val="none"/>
                      <w:vertAlign w:val="subscript"/>
                      <w14:textFill>
                        <w14:solidFill>
                          <w14:schemeClr w14:val="tx1"/>
                        </w14:solidFill>
                      </w14:textFill>
                    </w:rPr>
                    <w:t>10</w:t>
                  </w:r>
                  <w:r>
                    <w:rPr>
                      <w:rFonts w:hint="eastAsia" w:ascii="Times New Roman" w:hAnsi="Times New Roman" w:cs="Times New Roman"/>
                      <w:color w:val="000000" w:themeColor="text1"/>
                      <w:spacing w:val="2"/>
                      <w:position w:val="-1"/>
                      <w:sz w:val="21"/>
                      <w:szCs w:val="21"/>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pacing w:val="2"/>
                      <w:sz w:val="21"/>
                      <w:szCs w:val="21"/>
                      <w:highlight w:val="none"/>
                      <w:lang w:val="en-US" w:eastAsia="zh-CN"/>
                      <w14:textFill>
                        <w14:solidFill>
                          <w14:schemeClr w14:val="tx1"/>
                        </w14:solidFill>
                      </w14:textFill>
                    </w:rPr>
                    <w:t>60</w:t>
                  </w:r>
                  <w:r>
                    <w:rPr>
                      <w:rFonts w:ascii="Times New Roman" w:hAnsi="Times New Roman" w:cs="Times New Roman"/>
                      <w:color w:val="000000" w:themeColor="text1"/>
                      <w:spacing w:val="2"/>
                      <w:sz w:val="21"/>
                      <w:szCs w:val="21"/>
                      <w:highlight w:val="none"/>
                      <w14:textFill>
                        <w14:solidFill>
                          <w14:schemeClr w14:val="tx1"/>
                        </w14:solidFill>
                      </w14:textFill>
                    </w:rPr>
                    <w:t>μg/m</w:t>
                  </w:r>
                  <w:r>
                    <w:rPr>
                      <w:rFonts w:ascii="Times New Roman" w:hAnsi="Times New Roman" w:cs="Times New Roman"/>
                      <w:color w:val="000000" w:themeColor="text1"/>
                      <w:spacing w:val="2"/>
                      <w:sz w:val="21"/>
                      <w:szCs w:val="21"/>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2"/>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PM</w:t>
                  </w:r>
                  <w:r>
                    <w:rPr>
                      <w:rFonts w:ascii="Times New Roman" w:hAnsi="Times New Roman" w:cs="Times New Roman"/>
                      <w:color w:val="000000" w:themeColor="text1"/>
                      <w:spacing w:val="2"/>
                      <w:position w:val="-1"/>
                      <w:sz w:val="21"/>
                      <w:szCs w:val="21"/>
                      <w:highlight w:val="none"/>
                      <w:vertAlign w:val="subscript"/>
                      <w14:textFill>
                        <w14:solidFill>
                          <w14:schemeClr w14:val="tx1"/>
                        </w14:solidFill>
                      </w14:textFill>
                    </w:rPr>
                    <w:t>2.5</w:t>
                  </w:r>
                  <w:r>
                    <w:rPr>
                      <w:rFonts w:hint="eastAsia" w:ascii="Times New Roman" w:hAnsi="Times New Roman" w:cs="Times New Roman"/>
                      <w:color w:val="000000" w:themeColor="text1"/>
                      <w:spacing w:val="2"/>
                      <w:position w:val="-1"/>
                      <w:sz w:val="21"/>
                      <w:szCs w:val="21"/>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pacing w:val="2"/>
                      <w:sz w:val="21"/>
                      <w:szCs w:val="21"/>
                      <w:highlight w:val="none"/>
                      <w:lang w:val="en-US" w:eastAsia="zh-CN"/>
                      <w14:textFill>
                        <w14:solidFill>
                          <w14:schemeClr w14:val="tx1"/>
                        </w14:solidFill>
                      </w14:textFill>
                    </w:rPr>
                    <w:t>30</w:t>
                  </w:r>
                  <w:r>
                    <w:rPr>
                      <w:rFonts w:ascii="Times New Roman" w:hAnsi="Times New Roman" w:cs="Times New Roman"/>
                      <w:color w:val="000000" w:themeColor="text1"/>
                      <w:spacing w:val="2"/>
                      <w:sz w:val="21"/>
                      <w:szCs w:val="21"/>
                      <w:highlight w:val="none"/>
                      <w14:textFill>
                        <w14:solidFill>
                          <w14:schemeClr w14:val="tx1"/>
                        </w14:solidFill>
                      </w14:textFill>
                    </w:rPr>
                    <w:t>μg/m</w:t>
                  </w:r>
                  <w:r>
                    <w:rPr>
                      <w:rFonts w:ascii="Times New Roman" w:hAnsi="Times New Roman" w:cs="Times New Roman"/>
                      <w:color w:val="000000" w:themeColor="text1"/>
                      <w:spacing w:val="2"/>
                      <w:sz w:val="21"/>
                      <w:szCs w:val="21"/>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2"/>
                      <w:sz w:val="21"/>
                      <w:szCs w:val="21"/>
                      <w:highlight w:val="none"/>
                      <w14:textFill>
                        <w14:solidFill>
                          <w14:schemeClr w14:val="tx1"/>
                        </w14:solidFill>
                      </w14:textFill>
                    </w:rPr>
                    <w:t>；O</w:t>
                  </w:r>
                  <w:r>
                    <w:rPr>
                      <w:rFonts w:ascii="Times New Roman" w:hAnsi="Times New Roman" w:cs="Times New Roman"/>
                      <w:color w:val="000000" w:themeColor="text1"/>
                      <w:spacing w:val="2"/>
                      <w:position w:val="-1"/>
                      <w:sz w:val="21"/>
                      <w:szCs w:val="21"/>
                      <w:highlight w:val="none"/>
                      <w:vertAlign w:val="subscript"/>
                      <w14:textFill>
                        <w14:solidFill>
                          <w14:schemeClr w14:val="tx1"/>
                        </w14:solidFill>
                      </w14:textFill>
                    </w:rPr>
                    <w:t>3</w:t>
                  </w:r>
                  <w:r>
                    <w:rPr>
                      <w:rFonts w:ascii="Times New Roman" w:hAnsi="Times New Roman" w:cs="Times New Roman"/>
                      <w:color w:val="000000" w:themeColor="text1"/>
                      <w:spacing w:val="2"/>
                      <w:sz w:val="21"/>
                      <w:szCs w:val="21"/>
                      <w:highlight w:val="none"/>
                      <w14:textFill>
                        <w14:solidFill>
                          <w14:schemeClr w14:val="tx1"/>
                        </w14:solidFill>
                      </w14:textFill>
                    </w:rPr>
                    <w:t>日最大</w:t>
                  </w:r>
                  <w:r>
                    <w:rPr>
                      <w:rFonts w:ascii="Times New Roman" w:hAnsi="Times New Roman" w:cs="Times New Roman"/>
                      <w:color w:val="000000" w:themeColor="text1"/>
                      <w:spacing w:val="1"/>
                      <w:sz w:val="21"/>
                      <w:szCs w:val="21"/>
                      <w:highlight w:val="none"/>
                      <w14:textFill>
                        <w14:solidFill>
                          <w14:schemeClr w14:val="tx1"/>
                        </w14:solidFill>
                      </w14:textFill>
                    </w:rPr>
                    <w:t>8h</w:t>
                  </w:r>
                  <w:r>
                    <w:rPr>
                      <w:rFonts w:ascii="Times New Roman" w:hAnsi="Times New Roman" w:cs="Times New Roman"/>
                      <w:color w:val="000000" w:themeColor="text1"/>
                      <w:spacing w:val="6"/>
                      <w:sz w:val="21"/>
                      <w:szCs w:val="21"/>
                      <w:highlight w:val="none"/>
                      <w14:textFill>
                        <w14:solidFill>
                          <w14:schemeClr w14:val="tx1"/>
                        </w14:solidFill>
                      </w14:textFill>
                    </w:rPr>
                    <w:t>平均值：160μg/m</w:t>
                  </w:r>
                  <w:r>
                    <w:rPr>
                      <w:rFonts w:ascii="Times New Roman" w:hAnsi="Times New Roman" w:cs="Times New Roman"/>
                      <w:color w:val="000000" w:themeColor="text1"/>
                      <w:spacing w:val="2"/>
                      <w:sz w:val="21"/>
                      <w:szCs w:val="21"/>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6"/>
                      <w:sz w:val="21"/>
                      <w:szCs w:val="21"/>
                      <w:highlight w:val="none"/>
                      <w14:textFill>
                        <w14:solidFill>
                          <w14:schemeClr w14:val="tx1"/>
                        </w14:solidFill>
                      </w14:textFill>
                    </w:rPr>
                    <w:t>；</w:t>
                  </w:r>
                  <w:r>
                    <w:rPr>
                      <w:rFonts w:ascii="Times New Roman" w:hAnsi="Times New Roman" w:cs="Times New Roman"/>
                      <w:color w:val="000000" w:themeColor="text1"/>
                      <w:sz w:val="21"/>
                      <w:szCs w:val="21"/>
                      <w:highlight w:val="none"/>
                      <w14:textFill>
                        <w14:solidFill>
                          <w14:schemeClr w14:val="tx1"/>
                        </w14:solidFill>
                      </w14:textFill>
                    </w:rPr>
                    <w:t>CO</w:t>
                  </w:r>
                  <w:r>
                    <w:rPr>
                      <w:rFonts w:ascii="Times New Roman" w:hAnsi="Times New Roman" w:cs="Times New Roman"/>
                      <w:color w:val="000000" w:themeColor="text1"/>
                      <w:spacing w:val="6"/>
                      <w:sz w:val="21"/>
                      <w:szCs w:val="21"/>
                      <w:highlight w:val="none"/>
                      <w14:textFill>
                        <w14:solidFill>
                          <w14:schemeClr w14:val="tx1"/>
                        </w14:solidFill>
                      </w14:textFill>
                    </w:rPr>
                    <w:t>24h平均值：4</w:t>
                  </w:r>
                  <w:r>
                    <w:rPr>
                      <w:rFonts w:ascii="Times New Roman" w:hAnsi="Times New Roman" w:cs="Times New Roman"/>
                      <w:color w:val="000000" w:themeColor="text1"/>
                      <w:sz w:val="21"/>
                      <w:szCs w:val="21"/>
                      <w:highlight w:val="none"/>
                      <w14:textFill>
                        <w14:solidFill>
                          <w14:schemeClr w14:val="tx1"/>
                        </w14:solidFill>
                      </w14:textFill>
                    </w:rPr>
                    <w:t>mg</w:t>
                  </w:r>
                  <w:r>
                    <w:rPr>
                      <w:rFonts w:ascii="Times New Roman" w:hAnsi="Times New Roman" w:cs="Times New Roman"/>
                      <w:color w:val="000000" w:themeColor="text1"/>
                      <w:spacing w:val="6"/>
                      <w:sz w:val="21"/>
                      <w:szCs w:val="21"/>
                      <w:highlight w:val="none"/>
                      <w14:textFill>
                        <w14:solidFill>
                          <w14:schemeClr w14:val="tx1"/>
                        </w14:solidFill>
                      </w14:textFill>
                    </w:rPr>
                    <w:t>/m</w:t>
                  </w:r>
                  <w:r>
                    <w:rPr>
                      <w:rFonts w:ascii="Times New Roman" w:hAnsi="Times New Roman" w:cs="Times New Roman"/>
                      <w:color w:val="000000" w:themeColor="text1"/>
                      <w:spacing w:val="2"/>
                      <w:sz w:val="21"/>
                      <w:szCs w:val="21"/>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6"/>
                      <w:sz w:val="21"/>
                      <w:szCs w:val="21"/>
                      <w:highlight w:val="none"/>
                      <w14:textFill>
                        <w14:solidFill>
                          <w14:schemeClr w14:val="tx1"/>
                        </w14:solidFill>
                      </w14:textFill>
                    </w:rPr>
                    <w:t>）</w:t>
                  </w:r>
                </w:p>
              </w:tc>
            </w:tr>
            <w:tr w14:paraId="11075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4148F20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717" w:type="dxa"/>
                  <w:vAlign w:val="center"/>
                </w:tcPr>
                <w:p w14:paraId="2679C48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声环境</w:t>
                  </w:r>
                </w:p>
              </w:tc>
              <w:tc>
                <w:tcPr>
                  <w:tcW w:w="668" w:type="dxa"/>
                  <w:vAlign w:val="center"/>
                </w:tcPr>
                <w:p w14:paraId="2875E5B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1"/>
                      <w:sz w:val="21"/>
                      <w:szCs w:val="21"/>
                      <w:highlight w:val="none"/>
                      <w14:textFill>
                        <w14:solidFill>
                          <w14:schemeClr w14:val="tx1"/>
                        </w14:solidFill>
                      </w14:textFill>
                    </w:rPr>
                    <w:t>噪声</w:t>
                  </w:r>
                </w:p>
              </w:tc>
              <w:tc>
                <w:tcPr>
                  <w:tcW w:w="5955" w:type="dxa"/>
                  <w:tcBorders>
                    <w:right w:val="single" w:color="000000" w:sz="4" w:space="0"/>
                  </w:tcBorders>
                  <w:vAlign w:val="center"/>
                </w:tcPr>
                <w:p w14:paraId="4DFA2918">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8"/>
                      <w:sz w:val="21"/>
                      <w:szCs w:val="21"/>
                      <w:highlight w:val="none"/>
                      <w:lang w:eastAsia="zh-CN"/>
                      <w14:textFill>
                        <w14:solidFill>
                          <w14:schemeClr w14:val="tx1"/>
                        </w14:solidFill>
                      </w14:textFill>
                    </w:rPr>
                    <w:t>《声环境质量标准》（</w:t>
                  </w:r>
                  <w:r>
                    <w:rPr>
                      <w:rFonts w:ascii="Times New Roman" w:hAnsi="Times New Roman" w:cs="Times New Roman"/>
                      <w:color w:val="000000" w:themeColor="text1"/>
                      <w:sz w:val="21"/>
                      <w:szCs w:val="21"/>
                      <w:highlight w:val="none"/>
                      <w:lang w:eastAsia="zh-CN"/>
                      <w14:textFill>
                        <w14:solidFill>
                          <w14:schemeClr w14:val="tx1"/>
                        </w14:solidFill>
                      </w14:textFill>
                    </w:rPr>
                    <w:t>GB</w:t>
                  </w:r>
                  <w:r>
                    <w:rPr>
                      <w:rFonts w:ascii="Times New Roman" w:hAnsi="Times New Roman" w:cs="Times New Roman"/>
                      <w:color w:val="000000" w:themeColor="text1"/>
                      <w:spacing w:val="8"/>
                      <w:sz w:val="21"/>
                      <w:szCs w:val="21"/>
                      <w:highlight w:val="none"/>
                      <w:lang w:eastAsia="zh-CN"/>
                      <w14:textFill>
                        <w14:solidFill>
                          <w14:schemeClr w14:val="tx1"/>
                        </w14:solidFill>
                      </w14:textFill>
                    </w:rPr>
                    <w:t>3096-2008）2类（昼间：60</w:t>
                  </w:r>
                  <w:r>
                    <w:rPr>
                      <w:rFonts w:ascii="Times New Roman" w:hAnsi="Times New Roman" w:cs="Times New Roman"/>
                      <w:color w:val="000000" w:themeColor="text1"/>
                      <w:sz w:val="21"/>
                      <w:szCs w:val="21"/>
                      <w:highlight w:val="none"/>
                      <w:lang w:eastAsia="zh-CN"/>
                      <w14:textFill>
                        <w14:solidFill>
                          <w14:schemeClr w14:val="tx1"/>
                        </w14:solidFill>
                      </w14:textFill>
                    </w:rPr>
                    <w:t>dB</w:t>
                  </w:r>
                  <w:r>
                    <w:rPr>
                      <w:rFonts w:ascii="Times New Roman" w:hAnsi="Times New Roman" w:cs="Times New Roman"/>
                      <w:color w:val="000000" w:themeColor="text1"/>
                      <w:spacing w:val="8"/>
                      <w:sz w:val="21"/>
                      <w:szCs w:val="21"/>
                      <w:highlight w:val="none"/>
                      <w:lang w:eastAsia="zh-CN"/>
                      <w14:textFill>
                        <w14:solidFill>
                          <w14:schemeClr w14:val="tx1"/>
                        </w14:solidFill>
                      </w14:textFill>
                    </w:rPr>
                    <w:t>（A</w:t>
                  </w:r>
                  <w:r>
                    <w:rPr>
                      <w:rFonts w:ascii="Times New Roman" w:hAnsi="Times New Roman" w:cs="Times New Roman"/>
                      <w:color w:val="000000" w:themeColor="text1"/>
                      <w:sz w:val="21"/>
                      <w:szCs w:val="21"/>
                      <w:highlight w:val="none"/>
                      <w:lang w:eastAsia="zh-CN"/>
                      <w14:textFill>
                        <w14:solidFill>
                          <w14:schemeClr w14:val="tx1"/>
                        </w14:solidFill>
                      </w14:textFill>
                    </w:rPr>
                    <w:t>），</w:t>
                  </w:r>
                  <w:r>
                    <w:rPr>
                      <w:rFonts w:ascii="Times New Roman" w:hAnsi="Times New Roman" w:cs="Times New Roman"/>
                      <w:color w:val="000000" w:themeColor="text1"/>
                      <w:spacing w:val="8"/>
                      <w:sz w:val="21"/>
                      <w:szCs w:val="21"/>
                      <w:highlight w:val="none"/>
                      <w:lang w:eastAsia="zh-CN"/>
                      <w14:textFill>
                        <w14:solidFill>
                          <w14:schemeClr w14:val="tx1"/>
                        </w14:solidFill>
                      </w14:textFill>
                    </w:rPr>
                    <w:t>夜间：50</w:t>
                  </w:r>
                  <w:r>
                    <w:rPr>
                      <w:rFonts w:ascii="Times New Roman" w:hAnsi="Times New Roman" w:cs="Times New Roman"/>
                      <w:color w:val="000000" w:themeColor="text1"/>
                      <w:sz w:val="21"/>
                      <w:szCs w:val="21"/>
                      <w:highlight w:val="none"/>
                      <w:lang w:eastAsia="zh-CN"/>
                      <w14:textFill>
                        <w14:solidFill>
                          <w14:schemeClr w14:val="tx1"/>
                        </w14:solidFill>
                      </w14:textFill>
                    </w:rPr>
                    <w:t>dB</w:t>
                  </w:r>
                  <w:r>
                    <w:rPr>
                      <w:rFonts w:ascii="Times New Roman" w:hAnsi="Times New Roman" w:cs="Times New Roman"/>
                      <w:color w:val="000000" w:themeColor="text1"/>
                      <w:spacing w:val="8"/>
                      <w:sz w:val="21"/>
                      <w:szCs w:val="21"/>
                      <w:highlight w:val="none"/>
                      <w:lang w:eastAsia="zh-CN"/>
                      <w14:textFill>
                        <w14:solidFill>
                          <w14:schemeClr w14:val="tx1"/>
                        </w14:solidFill>
                      </w14:textFill>
                    </w:rPr>
                    <w:t>（A</w:t>
                  </w:r>
                  <w:r>
                    <w:rPr>
                      <w:rFonts w:ascii="Times New Roman" w:hAnsi="Times New Roman" w:cs="Times New Roman"/>
                      <w:color w:val="000000" w:themeColor="text1"/>
                      <w:sz w:val="21"/>
                      <w:szCs w:val="21"/>
                      <w:highlight w:val="none"/>
                      <w:lang w:eastAsia="zh-CN"/>
                      <w14:textFill>
                        <w14:solidFill>
                          <w14:schemeClr w14:val="tx1"/>
                        </w14:solidFill>
                      </w14:textFill>
                    </w:rPr>
                    <w:t>））</w:t>
                  </w:r>
                </w:p>
              </w:tc>
            </w:tr>
            <w:tr w14:paraId="2F35A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6299F06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污染</w:t>
                  </w:r>
                  <w:r>
                    <w:rPr>
                      <w:rFonts w:ascii="Times New Roman" w:hAnsi="Times New Roman" w:cs="Times New Roman"/>
                      <w:color w:val="000000" w:themeColor="text1"/>
                      <w:spacing w:val="4"/>
                      <w:sz w:val="21"/>
                      <w:szCs w:val="21"/>
                      <w:highlight w:val="none"/>
                      <w14:textFill>
                        <w14:solidFill>
                          <w14:schemeClr w14:val="tx1"/>
                        </w14:solidFill>
                      </w14:textFill>
                    </w:rPr>
                    <w:t>排放标准</w:t>
                  </w:r>
                </w:p>
              </w:tc>
              <w:tc>
                <w:tcPr>
                  <w:tcW w:w="717" w:type="dxa"/>
                  <w:vMerge w:val="restart"/>
                  <w:vAlign w:val="center"/>
                </w:tcPr>
                <w:p w14:paraId="46A88C83">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废气</w:t>
                  </w:r>
                </w:p>
              </w:tc>
              <w:tc>
                <w:tcPr>
                  <w:tcW w:w="668" w:type="dxa"/>
                  <w:vAlign w:val="center"/>
                </w:tcPr>
                <w:p w14:paraId="4B23696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施工期发电机废气</w:t>
                  </w:r>
                </w:p>
              </w:tc>
              <w:tc>
                <w:tcPr>
                  <w:tcW w:w="5955" w:type="dxa"/>
                  <w:tcBorders>
                    <w:right w:val="single" w:color="000000" w:sz="4" w:space="0"/>
                  </w:tcBorders>
                  <w:vAlign w:val="center"/>
                </w:tcPr>
                <w:p w14:paraId="288FC99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大气污染物综合排放标准</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GB16297-1996</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r>
            <w:tr w14:paraId="1F836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3961116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717" w:type="dxa"/>
                  <w:vMerge w:val="continue"/>
                  <w:vAlign w:val="center"/>
                </w:tcPr>
                <w:p w14:paraId="5BE5DA0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668" w:type="dxa"/>
                  <w:vAlign w:val="center"/>
                </w:tcPr>
                <w:p w14:paraId="1BEB676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6"/>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施工扬尘</w:t>
                  </w:r>
                </w:p>
              </w:tc>
              <w:tc>
                <w:tcPr>
                  <w:tcW w:w="5955" w:type="dxa"/>
                  <w:tcBorders>
                    <w:right w:val="single" w:color="000000" w:sz="4" w:space="0"/>
                  </w:tcBorders>
                  <w:vAlign w:val="center"/>
                </w:tcPr>
                <w:p w14:paraId="30EA170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6"/>
                      <w:sz w:val="21"/>
                      <w:szCs w:val="21"/>
                      <w:highlight w:val="none"/>
                      <w:lang w:eastAsia="zh-CN"/>
                      <w14:textFill>
                        <w14:solidFill>
                          <w14:schemeClr w14:val="tx1"/>
                        </w14:solidFill>
                      </w14:textFill>
                    </w:rPr>
                  </w:pPr>
                  <w:r>
                    <w:rPr>
                      <w:rFonts w:ascii="Times New Roman" w:hAnsi="Times New Roman" w:cs="Times New Roman"/>
                      <w:color w:val="000000" w:themeColor="text1"/>
                      <w:spacing w:val="6"/>
                      <w:sz w:val="21"/>
                      <w:szCs w:val="21"/>
                      <w:highlight w:val="none"/>
                      <w:lang w:eastAsia="zh-CN"/>
                      <w14:textFill>
                        <w14:solidFill>
                          <w14:schemeClr w14:val="tx1"/>
                        </w14:solidFill>
                      </w14:textFill>
                    </w:rPr>
                    <w:t>《大气污染物综合排放标准》（GB16297-1996）中表2其他无组织排放监控浓度限值要求（TSP：1.0mg/m</w:t>
                  </w:r>
                  <w:r>
                    <w:rPr>
                      <w:rFonts w:ascii="Times New Roman" w:hAnsi="Times New Roman" w:cs="Times New Roman"/>
                      <w:color w:val="000000" w:themeColor="text1"/>
                      <w:spacing w:val="6"/>
                      <w:sz w:val="21"/>
                      <w:szCs w:val="21"/>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6"/>
                      <w:sz w:val="21"/>
                      <w:szCs w:val="21"/>
                      <w:highlight w:val="none"/>
                      <w:lang w:eastAsia="zh-CN"/>
                      <w14:textFill>
                        <w14:solidFill>
                          <w14:schemeClr w14:val="tx1"/>
                        </w14:solidFill>
                      </w14:textFill>
                    </w:rPr>
                    <w:t>）</w:t>
                  </w:r>
                </w:p>
              </w:tc>
            </w:tr>
            <w:tr w14:paraId="336F7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0F5F001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717" w:type="dxa"/>
                  <w:vMerge w:val="continue"/>
                  <w:vAlign w:val="center"/>
                </w:tcPr>
                <w:p w14:paraId="4A93077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668" w:type="dxa"/>
                  <w:vAlign w:val="center"/>
                </w:tcPr>
                <w:p w14:paraId="0593026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7"/>
                      <w:sz w:val="21"/>
                      <w:szCs w:val="21"/>
                      <w:highlight w:val="none"/>
                      <w14:textFill>
                        <w14:solidFill>
                          <w14:schemeClr w14:val="tx1"/>
                        </w14:solidFill>
                      </w14:textFill>
                    </w:rPr>
                    <w:t>非</w:t>
                  </w:r>
                  <w:r>
                    <w:rPr>
                      <w:rFonts w:ascii="Times New Roman" w:hAnsi="Times New Roman" w:cs="Times New Roman"/>
                      <w:color w:val="000000" w:themeColor="text1"/>
                      <w:sz w:val="21"/>
                      <w:szCs w:val="21"/>
                      <w:highlight w:val="none"/>
                      <w14:textFill>
                        <w14:solidFill>
                          <w14:schemeClr w14:val="tx1"/>
                        </w14:solidFill>
                      </w14:textFill>
                    </w:rPr>
                    <w:t>甲烷总烃</w:t>
                  </w:r>
                </w:p>
              </w:tc>
              <w:tc>
                <w:tcPr>
                  <w:tcW w:w="5955" w:type="dxa"/>
                  <w:tcBorders>
                    <w:right w:val="single" w:color="000000" w:sz="4" w:space="0"/>
                  </w:tcBorders>
                  <w:vAlign w:val="center"/>
                </w:tcPr>
                <w:p w14:paraId="73D0FC64">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3"/>
                      <w:sz w:val="21"/>
                      <w:szCs w:val="21"/>
                      <w:highlight w:val="none"/>
                      <w:lang w:eastAsia="zh-CN"/>
                      <w14:textFill>
                        <w14:solidFill>
                          <w14:schemeClr w14:val="tx1"/>
                        </w14:solidFill>
                      </w14:textFill>
                    </w:rPr>
                    <w:t>《陆上石油天然气开采工业大气污染物排放标准》（</w:t>
                  </w:r>
                  <w:r>
                    <w:rPr>
                      <w:rFonts w:ascii="Times New Roman" w:hAnsi="Times New Roman" w:cs="Times New Roman"/>
                      <w:color w:val="000000" w:themeColor="text1"/>
                      <w:sz w:val="21"/>
                      <w:szCs w:val="21"/>
                      <w:highlight w:val="none"/>
                      <w:lang w:eastAsia="zh-CN"/>
                      <w14:textFill>
                        <w14:solidFill>
                          <w14:schemeClr w14:val="tx1"/>
                        </w14:solidFill>
                      </w14:textFill>
                    </w:rPr>
                    <w:t>GB</w:t>
                  </w:r>
                  <w:r>
                    <w:rPr>
                      <w:rFonts w:ascii="Times New Roman" w:hAnsi="Times New Roman" w:cs="Times New Roman"/>
                      <w:color w:val="000000" w:themeColor="text1"/>
                      <w:spacing w:val="3"/>
                      <w:sz w:val="21"/>
                      <w:szCs w:val="21"/>
                      <w:highlight w:val="none"/>
                      <w:lang w:eastAsia="zh-CN"/>
                      <w14:textFill>
                        <w14:solidFill>
                          <w14:schemeClr w14:val="tx1"/>
                        </w14:solidFill>
                      </w14:textFill>
                    </w:rPr>
                    <w:t>39728</w:t>
                  </w:r>
                  <w:r>
                    <w:rPr>
                      <w:rFonts w:ascii="Times New Roman" w:hAnsi="Times New Roman" w:cs="Times New Roman"/>
                      <w:color w:val="000000" w:themeColor="text1"/>
                      <w:spacing w:val="2"/>
                      <w:sz w:val="21"/>
                      <w:szCs w:val="21"/>
                      <w:highlight w:val="none"/>
                      <w:lang w:eastAsia="zh-CN"/>
                      <w14:textFill>
                        <w14:solidFill>
                          <w14:schemeClr w14:val="tx1"/>
                        </w14:solidFill>
                      </w14:textFill>
                    </w:rPr>
                    <w:t>-2020</w:t>
                  </w:r>
                  <w:r>
                    <w:rPr>
                      <w:rFonts w:hint="eastAsia" w:ascii="Times New Roman" w:hAnsi="Times New Roman" w:cs="Times New Roman"/>
                      <w:color w:val="000000" w:themeColor="text1"/>
                      <w:spacing w:val="2"/>
                      <w:sz w:val="21"/>
                      <w:szCs w:val="21"/>
                      <w:highlight w:val="none"/>
                      <w:lang w:eastAsia="zh-CN"/>
                      <w14:textFill>
                        <w14:solidFill>
                          <w14:schemeClr w14:val="tx1"/>
                        </w14:solidFill>
                      </w14:textFill>
                    </w:rPr>
                    <w:t>）</w:t>
                  </w:r>
                  <w:r>
                    <w:rPr>
                      <w:rFonts w:ascii="Times New Roman" w:hAnsi="Times New Roman" w:cs="Times New Roman"/>
                      <w:color w:val="000000" w:themeColor="text1"/>
                      <w:spacing w:val="5"/>
                      <w:sz w:val="21"/>
                      <w:szCs w:val="21"/>
                      <w:highlight w:val="none"/>
                      <w:lang w:eastAsia="zh-CN"/>
                      <w14:textFill>
                        <w14:solidFill>
                          <w14:schemeClr w14:val="tx1"/>
                        </w14:solidFill>
                      </w14:textFill>
                    </w:rPr>
                    <w:t>（非甲烷总烃：4</w:t>
                  </w:r>
                  <w:r>
                    <w:rPr>
                      <w:rFonts w:ascii="Times New Roman" w:hAnsi="Times New Roman" w:cs="Times New Roman"/>
                      <w:color w:val="000000" w:themeColor="text1"/>
                      <w:sz w:val="21"/>
                      <w:szCs w:val="21"/>
                      <w:highlight w:val="none"/>
                      <w:lang w:eastAsia="zh-CN"/>
                      <w14:textFill>
                        <w14:solidFill>
                          <w14:schemeClr w14:val="tx1"/>
                        </w14:solidFill>
                      </w14:textFill>
                    </w:rPr>
                    <w:t>mg</w:t>
                  </w:r>
                  <w:r>
                    <w:rPr>
                      <w:rFonts w:ascii="Times New Roman" w:hAnsi="Times New Roman" w:cs="Times New Roman"/>
                      <w:color w:val="000000" w:themeColor="text1"/>
                      <w:spacing w:val="5"/>
                      <w:sz w:val="21"/>
                      <w:szCs w:val="21"/>
                      <w:highlight w:val="none"/>
                      <w:lang w:eastAsia="zh-CN"/>
                      <w14:textFill>
                        <w14:solidFill>
                          <w14:schemeClr w14:val="tx1"/>
                        </w14:solidFill>
                      </w14:textFill>
                    </w:rPr>
                    <w:t>/m</w:t>
                  </w:r>
                  <w:r>
                    <w:rPr>
                      <w:rFonts w:ascii="Times New Roman" w:hAnsi="Times New Roman" w:cs="Times New Roman"/>
                      <w:color w:val="000000" w:themeColor="text1"/>
                      <w:spacing w:val="5"/>
                      <w:sz w:val="21"/>
                      <w:szCs w:val="21"/>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5"/>
                      <w:sz w:val="21"/>
                      <w:szCs w:val="21"/>
                      <w:highlight w:val="none"/>
                      <w:lang w:eastAsia="zh-CN"/>
                      <w14:textFill>
                        <w14:solidFill>
                          <w14:schemeClr w14:val="tx1"/>
                        </w14:solidFill>
                      </w14:textFill>
                    </w:rPr>
                    <w:t>）</w:t>
                  </w:r>
                </w:p>
              </w:tc>
            </w:tr>
            <w:tr w14:paraId="6A379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575A2C3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717" w:type="dxa"/>
                  <w:vMerge w:val="continue"/>
                  <w:vAlign w:val="center"/>
                </w:tcPr>
                <w:p w14:paraId="395F6DF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668" w:type="dxa"/>
                  <w:vAlign w:val="center"/>
                </w:tcPr>
                <w:p w14:paraId="1D0A356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6"/>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H</w:t>
                  </w:r>
                  <w:r>
                    <w:rPr>
                      <w:rFonts w:ascii="Times New Roman" w:hAnsi="Times New Roman" w:cs="Times New Roman"/>
                      <w:color w:val="000000" w:themeColor="text1"/>
                      <w:spacing w:val="6"/>
                      <w:sz w:val="21"/>
                      <w:szCs w:val="21"/>
                      <w:highlight w:val="none"/>
                      <w:vertAlign w:val="subscript"/>
                      <w14:textFill>
                        <w14:solidFill>
                          <w14:schemeClr w14:val="tx1"/>
                        </w14:solidFill>
                      </w14:textFill>
                    </w:rPr>
                    <w:t>2</w:t>
                  </w:r>
                  <w:r>
                    <w:rPr>
                      <w:rFonts w:ascii="Times New Roman" w:hAnsi="Times New Roman" w:cs="Times New Roman"/>
                      <w:color w:val="000000" w:themeColor="text1"/>
                      <w:spacing w:val="6"/>
                      <w:sz w:val="21"/>
                      <w:szCs w:val="21"/>
                      <w:highlight w:val="none"/>
                      <w14:textFill>
                        <w14:solidFill>
                          <w14:schemeClr w14:val="tx1"/>
                        </w14:solidFill>
                      </w14:textFill>
                    </w:rPr>
                    <w:t>S</w:t>
                  </w:r>
                </w:p>
              </w:tc>
              <w:tc>
                <w:tcPr>
                  <w:tcW w:w="5955" w:type="dxa"/>
                  <w:tcBorders>
                    <w:right w:val="single" w:color="000000" w:sz="4" w:space="0"/>
                  </w:tcBorders>
                  <w:vAlign w:val="center"/>
                </w:tcPr>
                <w:p w14:paraId="2BAEC13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7"/>
                      <w:sz w:val="21"/>
                      <w:szCs w:val="21"/>
                      <w:highlight w:val="none"/>
                      <w:lang w:eastAsia="zh-CN"/>
                      <w14:textFill>
                        <w14:solidFill>
                          <w14:schemeClr w14:val="tx1"/>
                        </w14:solidFill>
                      </w14:textFill>
                    </w:rPr>
                  </w:pPr>
                  <w:r>
                    <w:rPr>
                      <w:rFonts w:ascii="Times New Roman" w:hAnsi="Times New Roman" w:cs="Times New Roman"/>
                      <w:color w:val="000000" w:themeColor="text1"/>
                      <w:spacing w:val="7"/>
                      <w:sz w:val="21"/>
                      <w:szCs w:val="21"/>
                      <w:highlight w:val="none"/>
                      <w:lang w:eastAsia="zh-CN"/>
                      <w14:textFill>
                        <w14:solidFill>
                          <w14:schemeClr w14:val="tx1"/>
                        </w14:solidFill>
                      </w14:textFill>
                    </w:rPr>
                    <w:t>《恶臭污染物排放标准》（GB14554-93）中表1恶臭污染物厂界标准值二级新扩改建限值（H</w:t>
                  </w:r>
                  <w:r>
                    <w:rPr>
                      <w:rFonts w:ascii="Times New Roman" w:hAnsi="Times New Roman" w:cs="Times New Roman"/>
                      <w:color w:val="000000" w:themeColor="text1"/>
                      <w:spacing w:val="7"/>
                      <w:sz w:val="21"/>
                      <w:szCs w:val="21"/>
                      <w:highlight w:val="none"/>
                      <w:vertAlign w:val="subscript"/>
                      <w:lang w:eastAsia="zh-CN"/>
                      <w14:textFill>
                        <w14:solidFill>
                          <w14:schemeClr w14:val="tx1"/>
                        </w14:solidFill>
                      </w14:textFill>
                    </w:rPr>
                    <w:t>2</w:t>
                  </w:r>
                  <w:r>
                    <w:rPr>
                      <w:rFonts w:ascii="Times New Roman" w:hAnsi="Times New Roman" w:cs="Times New Roman"/>
                      <w:color w:val="000000" w:themeColor="text1"/>
                      <w:spacing w:val="7"/>
                      <w:sz w:val="21"/>
                      <w:szCs w:val="21"/>
                      <w:highlight w:val="none"/>
                      <w:lang w:eastAsia="zh-CN"/>
                      <w14:textFill>
                        <w14:solidFill>
                          <w14:schemeClr w14:val="tx1"/>
                        </w14:solidFill>
                      </w14:textFill>
                    </w:rPr>
                    <w:t>S厂界：0.06mg/m</w:t>
                  </w:r>
                  <w:r>
                    <w:rPr>
                      <w:rFonts w:ascii="Times New Roman" w:hAnsi="Times New Roman" w:cs="Times New Roman"/>
                      <w:color w:val="000000" w:themeColor="text1"/>
                      <w:spacing w:val="7"/>
                      <w:sz w:val="21"/>
                      <w:szCs w:val="21"/>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7"/>
                      <w:sz w:val="21"/>
                      <w:szCs w:val="21"/>
                      <w:highlight w:val="none"/>
                      <w:lang w:eastAsia="zh-CN"/>
                      <w14:textFill>
                        <w14:solidFill>
                          <w14:schemeClr w14:val="tx1"/>
                        </w14:solidFill>
                      </w14:textFill>
                    </w:rPr>
                    <w:t>）</w:t>
                  </w:r>
                </w:p>
              </w:tc>
            </w:tr>
            <w:tr w14:paraId="7863B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bottom w:val="nil"/>
                  </w:tcBorders>
                  <w:vAlign w:val="center"/>
                </w:tcPr>
                <w:p w14:paraId="71010C0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717" w:type="dxa"/>
                  <w:vMerge w:val="continue"/>
                  <w:vAlign w:val="center"/>
                </w:tcPr>
                <w:p w14:paraId="5037EED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668" w:type="dxa"/>
                  <w:vAlign w:val="center"/>
                </w:tcPr>
                <w:p w14:paraId="0CD391A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6"/>
                      <w:sz w:val="21"/>
                      <w:szCs w:val="21"/>
                      <w:highlight w:val="none"/>
                      <w:lang w:eastAsia="zh-CN"/>
                      <w14:textFill>
                        <w14:solidFill>
                          <w14:schemeClr w14:val="tx1"/>
                        </w14:solidFill>
                      </w14:textFill>
                    </w:rPr>
                  </w:pPr>
                  <w:r>
                    <w:rPr>
                      <w:rFonts w:ascii="Times New Roman" w:hAnsi="Times New Roman" w:cs="Times New Roman"/>
                      <w:color w:val="000000" w:themeColor="text1"/>
                      <w:spacing w:val="6"/>
                      <w:sz w:val="21"/>
                      <w:szCs w:val="21"/>
                      <w:highlight w:val="none"/>
                      <w:lang w:eastAsia="zh-CN"/>
                      <w14:textFill>
                        <w14:solidFill>
                          <w14:schemeClr w14:val="tx1"/>
                        </w14:solidFill>
                      </w14:textFill>
                    </w:rPr>
                    <w:t>锅炉废气</w:t>
                  </w:r>
                </w:p>
              </w:tc>
              <w:tc>
                <w:tcPr>
                  <w:tcW w:w="5955" w:type="dxa"/>
                  <w:tcBorders>
                    <w:right w:val="single" w:color="000000" w:sz="4" w:space="0"/>
                  </w:tcBorders>
                  <w:vAlign w:val="center"/>
                </w:tcPr>
                <w:p w14:paraId="2B8715F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7"/>
                      <w:sz w:val="21"/>
                      <w:szCs w:val="21"/>
                      <w:highlight w:val="none"/>
                      <w:lang w:eastAsia="zh-CN"/>
                      <w14:textFill>
                        <w14:solidFill>
                          <w14:schemeClr w14:val="tx1"/>
                        </w14:solidFill>
                      </w14:textFill>
                    </w:rPr>
                  </w:pPr>
                  <w:r>
                    <w:rPr>
                      <w:rFonts w:ascii="Times New Roman" w:hAnsi="Times New Roman" w:cs="Times New Roman"/>
                      <w:color w:val="000000" w:themeColor="text1"/>
                      <w:spacing w:val="7"/>
                      <w:sz w:val="21"/>
                      <w:szCs w:val="21"/>
                      <w:highlight w:val="none"/>
                      <w:lang w:eastAsia="zh-CN"/>
                      <w14:textFill>
                        <w14:solidFill>
                          <w14:schemeClr w14:val="tx1"/>
                        </w14:solidFill>
                      </w14:textFill>
                    </w:rPr>
                    <w:t>《锅炉大气污染物排放标准》（GB13271-2014）中表</w:t>
                  </w:r>
                  <w:r>
                    <w:rPr>
                      <w:rFonts w:hint="eastAsia" w:ascii="Times New Roman" w:hAnsi="Times New Roman" w:cs="Times New Roman"/>
                      <w:color w:val="000000" w:themeColor="text1"/>
                      <w:spacing w:val="7"/>
                      <w:sz w:val="21"/>
                      <w:szCs w:val="21"/>
                      <w:highlight w:val="none"/>
                      <w:lang w:val="en-US" w:eastAsia="zh-CN"/>
                      <w14:textFill>
                        <w14:solidFill>
                          <w14:schemeClr w14:val="tx1"/>
                        </w14:solidFill>
                      </w14:textFill>
                    </w:rPr>
                    <w:t>3</w:t>
                  </w:r>
                  <w:r>
                    <w:rPr>
                      <w:rFonts w:ascii="Times New Roman" w:hAnsi="Times New Roman" w:cs="Times New Roman"/>
                      <w:color w:val="000000" w:themeColor="text1"/>
                      <w:spacing w:val="7"/>
                      <w:sz w:val="21"/>
                      <w:szCs w:val="21"/>
                      <w:highlight w:val="none"/>
                      <w:lang w:eastAsia="zh-CN"/>
                      <w14:textFill>
                        <w14:solidFill>
                          <w14:schemeClr w14:val="tx1"/>
                        </w14:solidFill>
                      </w14:textFill>
                    </w:rPr>
                    <w:t>燃</w:t>
                  </w:r>
                  <w:r>
                    <w:rPr>
                      <w:rFonts w:hint="eastAsia" w:ascii="Times New Roman" w:hAnsi="Times New Roman" w:cs="Times New Roman"/>
                      <w:color w:val="000000" w:themeColor="text1"/>
                      <w:spacing w:val="7"/>
                      <w:sz w:val="21"/>
                      <w:szCs w:val="21"/>
                      <w:highlight w:val="none"/>
                      <w:lang w:val="en-US" w:eastAsia="zh-CN"/>
                      <w14:textFill>
                        <w14:solidFill>
                          <w14:schemeClr w14:val="tx1"/>
                        </w14:solidFill>
                      </w14:textFill>
                    </w:rPr>
                    <w:t>气</w:t>
                  </w:r>
                  <w:r>
                    <w:rPr>
                      <w:rFonts w:ascii="Times New Roman" w:hAnsi="Times New Roman" w:cs="Times New Roman"/>
                      <w:color w:val="000000" w:themeColor="text1"/>
                      <w:spacing w:val="7"/>
                      <w:sz w:val="21"/>
                      <w:szCs w:val="21"/>
                      <w:highlight w:val="none"/>
                      <w:lang w:eastAsia="zh-CN"/>
                      <w14:textFill>
                        <w14:solidFill>
                          <w14:schemeClr w14:val="tx1"/>
                        </w14:solidFill>
                      </w14:textFill>
                    </w:rPr>
                    <w:t>锅炉排放限值</w:t>
                  </w:r>
                </w:p>
              </w:tc>
            </w:tr>
            <w:tr w14:paraId="57E2E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2403E25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717" w:type="dxa"/>
                  <w:vAlign w:val="center"/>
                </w:tcPr>
                <w:p w14:paraId="440EDBE0">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噪声</w:t>
                  </w:r>
                </w:p>
              </w:tc>
              <w:tc>
                <w:tcPr>
                  <w:tcW w:w="668" w:type="dxa"/>
                  <w:vAlign w:val="center"/>
                </w:tcPr>
                <w:p w14:paraId="09160A0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6"/>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施工期井场噪声</w:t>
                  </w:r>
                </w:p>
              </w:tc>
              <w:tc>
                <w:tcPr>
                  <w:tcW w:w="5955" w:type="dxa"/>
                  <w:tcBorders>
                    <w:right w:val="single" w:color="000000" w:sz="4" w:space="0"/>
                  </w:tcBorders>
                  <w:vAlign w:val="center"/>
                </w:tcPr>
                <w:p w14:paraId="2D8B665E">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6"/>
                      <w:sz w:val="21"/>
                      <w:szCs w:val="21"/>
                      <w:highlight w:val="none"/>
                      <w:lang w:eastAsia="zh-CN"/>
                      <w14:textFill>
                        <w14:solidFill>
                          <w14:schemeClr w14:val="tx1"/>
                        </w14:solidFill>
                      </w14:textFill>
                    </w:rPr>
                  </w:pPr>
                  <w:r>
                    <w:rPr>
                      <w:rFonts w:ascii="Times New Roman" w:hAnsi="Times New Roman" w:cs="Times New Roman"/>
                      <w:color w:val="000000" w:themeColor="text1"/>
                      <w:spacing w:val="6"/>
                      <w:sz w:val="21"/>
                      <w:szCs w:val="21"/>
                      <w:highlight w:val="none"/>
                      <w:lang w:eastAsia="zh-CN"/>
                      <w14:textFill>
                        <w14:solidFill>
                          <w14:schemeClr w14:val="tx1"/>
                        </w14:solidFill>
                      </w14:textFill>
                    </w:rPr>
                    <w:t>《建筑施工噪声排放标准》（GB12523-2025）（昼间：70dB（A）、夜间：55dB（A））</w:t>
                  </w:r>
                </w:p>
              </w:tc>
            </w:tr>
            <w:tr w14:paraId="29603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restart"/>
                  <w:tcBorders>
                    <w:bottom w:val="nil"/>
                  </w:tcBorders>
                  <w:vAlign w:val="center"/>
                </w:tcPr>
                <w:p w14:paraId="36513176">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污染</w:t>
                  </w:r>
                  <w:r>
                    <w:rPr>
                      <w:rFonts w:ascii="Times New Roman" w:hAnsi="Times New Roman" w:cs="Times New Roman"/>
                      <w:color w:val="000000" w:themeColor="text1"/>
                      <w:spacing w:val="5"/>
                      <w:sz w:val="21"/>
                      <w:szCs w:val="21"/>
                      <w:highlight w:val="none"/>
                      <w14:textFill>
                        <w14:solidFill>
                          <w14:schemeClr w14:val="tx1"/>
                        </w14:solidFill>
                      </w14:textFill>
                    </w:rPr>
                    <w:t>控制</w:t>
                  </w:r>
                  <w:r>
                    <w:rPr>
                      <w:rFonts w:ascii="Times New Roman" w:hAnsi="Times New Roman" w:cs="Times New Roman"/>
                      <w:color w:val="000000" w:themeColor="text1"/>
                      <w:spacing w:val="4"/>
                      <w:sz w:val="21"/>
                      <w:szCs w:val="21"/>
                      <w:highlight w:val="none"/>
                      <w14:textFill>
                        <w14:solidFill>
                          <w14:schemeClr w14:val="tx1"/>
                        </w14:solidFill>
                      </w14:textFill>
                    </w:rPr>
                    <w:t>标准</w:t>
                  </w:r>
                </w:p>
              </w:tc>
              <w:tc>
                <w:tcPr>
                  <w:tcW w:w="717" w:type="dxa"/>
                  <w:vAlign w:val="center"/>
                </w:tcPr>
                <w:p w14:paraId="63E3397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一般固废</w:t>
                  </w:r>
                </w:p>
              </w:tc>
              <w:tc>
                <w:tcPr>
                  <w:tcW w:w="668" w:type="dxa"/>
                  <w:vAlign w:val="center"/>
                </w:tcPr>
                <w:p w14:paraId="1F20232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水基岩屑</w:t>
                  </w:r>
                </w:p>
              </w:tc>
              <w:tc>
                <w:tcPr>
                  <w:tcW w:w="5955" w:type="dxa"/>
                  <w:tcBorders>
                    <w:right w:val="single" w:color="000000" w:sz="4" w:space="0"/>
                  </w:tcBorders>
                  <w:vAlign w:val="center"/>
                </w:tcPr>
                <w:p w14:paraId="2EF2883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pacing w:val="6"/>
                      <w:sz w:val="21"/>
                      <w:szCs w:val="21"/>
                      <w:highlight w:val="none"/>
                      <w:lang w:eastAsia="zh-CN"/>
                      <w14:textFill>
                        <w14:solidFill>
                          <w14:schemeClr w14:val="tx1"/>
                        </w14:solidFill>
                      </w14:textFill>
                    </w:rPr>
                  </w:pPr>
                  <w:r>
                    <w:rPr>
                      <w:rFonts w:ascii="Times New Roman" w:hAnsi="Times New Roman" w:cs="Times New Roman"/>
                      <w:color w:val="000000" w:themeColor="text1"/>
                      <w:spacing w:val="6"/>
                      <w:sz w:val="21"/>
                      <w:szCs w:val="21"/>
                      <w:highlight w:val="none"/>
                      <w:lang w:eastAsia="zh-CN"/>
                      <w14:textFill>
                        <w14:solidFill>
                          <w14:schemeClr w14:val="tx1"/>
                        </w14:solidFill>
                      </w14:textFill>
                    </w:rPr>
                    <w:t>《一般工业固体废物贮存和填埋污染控制标准》（GB18599-2020</w:t>
                  </w:r>
                  <w:r>
                    <w:rPr>
                      <w:rFonts w:hint="eastAsia" w:ascii="Times New Roman" w:hAnsi="Times New Roman" w:cs="Times New Roman"/>
                      <w:color w:val="000000" w:themeColor="text1"/>
                      <w:spacing w:val="6"/>
                      <w:sz w:val="21"/>
                      <w:szCs w:val="21"/>
                      <w:highlight w:val="none"/>
                      <w:lang w:eastAsia="zh-CN"/>
                      <w14:textFill>
                        <w14:solidFill>
                          <w14:schemeClr w14:val="tx1"/>
                        </w14:solidFill>
                      </w14:textFill>
                    </w:rPr>
                    <w:t>）</w:t>
                  </w:r>
                </w:p>
              </w:tc>
            </w:tr>
            <w:tr w14:paraId="6672F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 w:hRule="atLeast"/>
                <w:jc w:val="center"/>
              </w:trPr>
              <w:tc>
                <w:tcPr>
                  <w:tcW w:w="599" w:type="dxa"/>
                  <w:vMerge w:val="continue"/>
                  <w:tcBorders>
                    <w:top w:val="nil"/>
                  </w:tcBorders>
                  <w:vAlign w:val="center"/>
                </w:tcPr>
                <w:p w14:paraId="6AABF05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717" w:type="dxa"/>
                  <w:vAlign w:val="center"/>
                </w:tcPr>
                <w:p w14:paraId="6130B1D7">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8"/>
                      <w:sz w:val="21"/>
                      <w:szCs w:val="21"/>
                      <w:highlight w:val="none"/>
                      <w14:textFill>
                        <w14:solidFill>
                          <w14:schemeClr w14:val="tx1"/>
                        </w14:solidFill>
                      </w14:textFill>
                    </w:rPr>
                    <w:t>危险废物</w:t>
                  </w:r>
                </w:p>
              </w:tc>
              <w:tc>
                <w:tcPr>
                  <w:tcW w:w="668" w:type="dxa"/>
                  <w:vAlign w:val="center"/>
                </w:tcPr>
                <w:p w14:paraId="24237CB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3"/>
                      <w:sz w:val="21"/>
                      <w:szCs w:val="21"/>
                      <w:highlight w:val="none"/>
                      <w:lang w:eastAsia="zh-CN"/>
                      <w14:textFill>
                        <w14:solidFill>
                          <w14:schemeClr w14:val="tx1"/>
                        </w14:solidFill>
                      </w14:textFill>
                    </w:rPr>
                    <w:t>废防渗</w:t>
                  </w:r>
                  <w:r>
                    <w:rPr>
                      <w:rFonts w:ascii="Times New Roman" w:hAnsi="Times New Roman" w:cs="Times New Roman"/>
                      <w:color w:val="000000" w:themeColor="text1"/>
                      <w:spacing w:val="4"/>
                      <w:sz w:val="21"/>
                      <w:szCs w:val="21"/>
                      <w:highlight w:val="none"/>
                      <w:lang w:eastAsia="zh-CN"/>
                      <w14:textFill>
                        <w14:solidFill>
                          <w14:schemeClr w14:val="tx1"/>
                        </w14:solidFill>
                      </w14:textFill>
                    </w:rPr>
                    <w:t>材料</w:t>
                  </w:r>
                </w:p>
              </w:tc>
              <w:tc>
                <w:tcPr>
                  <w:tcW w:w="5955" w:type="dxa"/>
                  <w:tcBorders>
                    <w:right w:val="single" w:color="000000" w:sz="4" w:space="0"/>
                  </w:tcBorders>
                  <w:vAlign w:val="center"/>
                </w:tcPr>
                <w:p w14:paraId="0073683F">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3"/>
                      <w:sz w:val="21"/>
                      <w:szCs w:val="21"/>
                      <w:highlight w:val="none"/>
                      <w:lang w:eastAsia="zh-CN"/>
                      <w14:textFill>
                        <w14:solidFill>
                          <w14:schemeClr w14:val="tx1"/>
                        </w14:solidFill>
                      </w14:textFill>
                    </w:rPr>
                    <w:t>《油气田钻井固体废弃物综合利用污染物控</w:t>
                  </w:r>
                  <w:r>
                    <w:rPr>
                      <w:rFonts w:ascii="Times New Roman" w:hAnsi="Times New Roman" w:cs="Times New Roman"/>
                      <w:color w:val="000000" w:themeColor="text1"/>
                      <w:spacing w:val="2"/>
                      <w:sz w:val="21"/>
                      <w:szCs w:val="21"/>
                      <w:highlight w:val="none"/>
                      <w:lang w:eastAsia="zh-CN"/>
                      <w14:textFill>
                        <w14:solidFill>
                          <w14:schemeClr w14:val="tx1"/>
                        </w14:solidFill>
                      </w14:textFill>
                    </w:rPr>
                    <w:t>制要求》（</w:t>
                  </w:r>
                  <w:r>
                    <w:rPr>
                      <w:rFonts w:ascii="Times New Roman" w:hAnsi="Times New Roman" w:cs="Times New Roman"/>
                      <w:color w:val="000000" w:themeColor="text1"/>
                      <w:sz w:val="21"/>
                      <w:szCs w:val="21"/>
                      <w:highlight w:val="none"/>
                      <w:lang w:eastAsia="zh-CN"/>
                      <w14:textFill>
                        <w14:solidFill>
                          <w14:schemeClr w14:val="tx1"/>
                        </w14:solidFill>
                      </w14:textFill>
                    </w:rPr>
                    <w:t>DB 65/T 3997-2017</w:t>
                  </w:r>
                  <w:r>
                    <w:rPr>
                      <w:rFonts w:ascii="Times New Roman" w:hAnsi="Times New Roman" w:cs="Times New Roman"/>
                      <w:color w:val="000000" w:themeColor="text1"/>
                      <w:spacing w:val="2"/>
                      <w:sz w:val="21"/>
                      <w:szCs w:val="21"/>
                      <w:highlight w:val="none"/>
                      <w:lang w:eastAsia="zh-CN"/>
                      <w14:textFill>
                        <w14:solidFill>
                          <w14:schemeClr w14:val="tx1"/>
                        </w14:solidFill>
                      </w14:textFill>
                    </w:rPr>
                    <w:t>）</w:t>
                  </w:r>
                  <w:r>
                    <w:rPr>
                      <w:rFonts w:ascii="Times New Roman" w:hAnsi="Times New Roman" w:cs="Times New Roman"/>
                      <w:color w:val="000000" w:themeColor="text1"/>
                      <w:spacing w:val="7"/>
                      <w:sz w:val="21"/>
                      <w:szCs w:val="21"/>
                      <w:highlight w:val="none"/>
                      <w:lang w:eastAsia="zh-CN"/>
                      <w14:textFill>
                        <w14:solidFill>
                          <w14:schemeClr w14:val="tx1"/>
                        </w14:solidFill>
                      </w14:textFill>
                    </w:rPr>
                    <w:t>《危险废物贮存污染控制标准》（</w:t>
                  </w:r>
                  <w:r>
                    <w:rPr>
                      <w:rFonts w:ascii="Times New Roman" w:hAnsi="Times New Roman" w:cs="Times New Roman"/>
                      <w:color w:val="000000" w:themeColor="text1"/>
                      <w:sz w:val="21"/>
                      <w:szCs w:val="21"/>
                      <w:highlight w:val="none"/>
                      <w:lang w:eastAsia="zh-CN"/>
                      <w14:textFill>
                        <w14:solidFill>
                          <w14:schemeClr w14:val="tx1"/>
                        </w14:solidFill>
                      </w14:textFill>
                    </w:rPr>
                    <w:t>GB</w:t>
                  </w:r>
                  <w:r>
                    <w:rPr>
                      <w:rFonts w:ascii="Times New Roman" w:hAnsi="Times New Roman" w:cs="Times New Roman"/>
                      <w:color w:val="000000" w:themeColor="text1"/>
                      <w:spacing w:val="7"/>
                      <w:sz w:val="21"/>
                      <w:szCs w:val="21"/>
                      <w:highlight w:val="none"/>
                      <w:lang w:eastAsia="zh-CN"/>
                      <w14:textFill>
                        <w14:solidFill>
                          <w14:schemeClr w14:val="tx1"/>
                        </w14:solidFill>
                      </w14:textFill>
                    </w:rPr>
                    <w:t>18597-2023）《危险废物收集贮存运输技术规范》（HJ2025-2012）</w:t>
                  </w:r>
                </w:p>
              </w:tc>
            </w:tr>
          </w:tbl>
          <w:p w14:paraId="63D986D3">
            <w:pPr>
              <w:pStyle w:val="22"/>
              <w:kinsoku/>
              <w:spacing w:before="65" w:line="228" w:lineRule="auto"/>
              <w:jc w:val="both"/>
              <w:rPr>
                <w:rFonts w:ascii="Times New Roman" w:hAnsi="Times New Roman" w:cs="Times New Roman"/>
                <w:color w:val="000000" w:themeColor="text1"/>
                <w:spacing w:val="-4"/>
                <w:sz w:val="24"/>
                <w:szCs w:val="24"/>
                <w:highlight w:val="none"/>
                <w:lang w:eastAsia="zh-CN"/>
                <w14:textFill>
                  <w14:solidFill>
                    <w14:schemeClr w14:val="tx1"/>
                  </w14:solidFill>
                </w14:textFill>
              </w:rPr>
            </w:pPr>
          </w:p>
        </w:tc>
      </w:tr>
      <w:tr w14:paraId="0EB8B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 w:hRule="atLeast"/>
          <w:jc w:val="center"/>
        </w:trPr>
        <w:tc>
          <w:tcPr>
            <w:tcW w:w="991" w:type="dxa"/>
            <w:tcBorders>
              <w:top w:val="single" w:color="auto" w:sz="4" w:space="0"/>
              <w:left w:val="single" w:color="auto" w:sz="4" w:space="0"/>
              <w:bottom w:val="single" w:color="auto" w:sz="4" w:space="0"/>
            </w:tcBorders>
            <w:vAlign w:val="center"/>
          </w:tcPr>
          <w:p w14:paraId="0E9E211E">
            <w:pPr>
              <w:pStyle w:val="22"/>
              <w:kinsoku/>
              <w:spacing w:before="65" w:line="228" w:lineRule="auto"/>
              <w:jc w:val="center"/>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pacing w:val="10"/>
                <w:sz w:val="24"/>
                <w:szCs w:val="24"/>
                <w:highlight w:val="none"/>
                <w14:textFill>
                  <w14:solidFill>
                    <w14:schemeClr w14:val="tx1"/>
                  </w14:solidFill>
                </w14:textFill>
              </w:rPr>
              <w:t>其他</w:t>
            </w:r>
          </w:p>
        </w:tc>
        <w:tc>
          <w:tcPr>
            <w:tcW w:w="8108" w:type="dxa"/>
            <w:tcBorders>
              <w:top w:val="single" w:color="auto" w:sz="4" w:space="0"/>
              <w:bottom w:val="single" w:color="auto" w:sz="4" w:space="0"/>
              <w:right w:val="single" w:color="auto" w:sz="4" w:space="0"/>
            </w:tcBorders>
            <w:vAlign w:val="center"/>
          </w:tcPr>
          <w:p w14:paraId="74624231">
            <w:pPr>
              <w:pStyle w:val="22"/>
              <w:kinsoku/>
              <w:spacing w:line="360" w:lineRule="auto"/>
              <w:ind w:firstLine="520" w:firstLineChars="200"/>
              <w:jc w:val="both"/>
              <w:rPr>
                <w:rFonts w:ascii="Times New Roman" w:hAnsi="Times New Roman" w:cs="Times New Roman"/>
                <w:color w:val="000000" w:themeColor="text1"/>
                <w:spacing w:val="10"/>
                <w:sz w:val="24"/>
                <w:szCs w:val="24"/>
                <w:highlight w:val="none"/>
                <w:lang w:eastAsia="zh-CN"/>
                <w14:textFill>
                  <w14:solidFill>
                    <w14:schemeClr w14:val="tx1"/>
                  </w14:solidFill>
                </w14:textFill>
              </w:rPr>
            </w:pPr>
          </w:p>
          <w:p w14:paraId="1B927943">
            <w:pPr>
              <w:pStyle w:val="22"/>
              <w:kinsoku/>
              <w:spacing w:line="360" w:lineRule="auto"/>
              <w:ind w:firstLine="520" w:firstLineChars="200"/>
              <w:jc w:val="both"/>
              <w:rPr>
                <w:rFonts w:ascii="Times New Roman" w:hAnsi="Times New Roman" w:cs="Times New Roman"/>
                <w:color w:val="000000" w:themeColor="text1"/>
                <w:spacing w:val="10"/>
                <w:sz w:val="24"/>
                <w:szCs w:val="24"/>
                <w:highlight w:val="none"/>
                <w:lang w:eastAsia="zh-CN"/>
                <w14:textFill>
                  <w14:solidFill>
                    <w14:schemeClr w14:val="tx1"/>
                  </w14:solidFill>
                </w14:textFill>
              </w:rPr>
            </w:pPr>
          </w:p>
          <w:p w14:paraId="560EBEC0">
            <w:pPr>
              <w:pStyle w:val="22"/>
              <w:keepNext w:val="0"/>
              <w:keepLines w:val="0"/>
              <w:pageBreakBefore w:val="0"/>
              <w:widowControl/>
              <w:kinsoku/>
              <w:wordWrap/>
              <w:overflowPunct/>
              <w:topLinePunct w:val="0"/>
              <w:autoSpaceDE w:val="0"/>
              <w:autoSpaceDN w:val="0"/>
              <w:bidi w:val="0"/>
              <w:adjustRightInd w:val="0"/>
              <w:snapToGrid w:val="0"/>
              <w:spacing w:line="360" w:lineRule="auto"/>
              <w:ind w:firstLine="520" w:firstLineChars="200"/>
              <w:jc w:val="both"/>
              <w:textAlignment w:val="baseline"/>
              <w:rPr>
                <w:rFonts w:ascii="Times New Roman" w:hAnsi="Times New Roman" w:cs="Times New Roman"/>
                <w:color w:val="000000" w:themeColor="text1"/>
                <w:spacing w:val="10"/>
                <w:sz w:val="24"/>
                <w:szCs w:val="24"/>
                <w:highlight w:val="none"/>
                <w:lang w:eastAsia="zh-CN"/>
                <w14:textFill>
                  <w14:solidFill>
                    <w14:schemeClr w14:val="tx1"/>
                  </w14:solidFill>
                </w14:textFill>
              </w:rPr>
            </w:pPr>
            <w:r>
              <w:rPr>
                <w:rFonts w:ascii="Times New Roman" w:hAnsi="Times New Roman" w:cs="Times New Roman"/>
                <w:color w:val="000000" w:themeColor="text1"/>
                <w:spacing w:val="10"/>
                <w:sz w:val="24"/>
                <w:szCs w:val="24"/>
                <w:highlight w:val="none"/>
                <w:lang w:eastAsia="zh-CN"/>
                <w14:textFill>
                  <w14:solidFill>
                    <w14:schemeClr w14:val="tx1"/>
                  </w14:solidFill>
                </w14:textFill>
              </w:rPr>
              <w:t>本项目钻试周期短，污染物产生量少，钻试期结束后污染物停止排放，故不提出总量控制指标。</w:t>
            </w:r>
          </w:p>
          <w:p w14:paraId="112F978D">
            <w:pPr>
              <w:pStyle w:val="22"/>
              <w:kinsoku/>
              <w:spacing w:line="360" w:lineRule="auto"/>
              <w:ind w:firstLine="520" w:firstLineChars="200"/>
              <w:jc w:val="both"/>
              <w:rPr>
                <w:rFonts w:ascii="Times New Roman" w:hAnsi="Times New Roman" w:cs="Times New Roman"/>
                <w:color w:val="000000" w:themeColor="text1"/>
                <w:spacing w:val="10"/>
                <w:sz w:val="24"/>
                <w:szCs w:val="24"/>
                <w:highlight w:val="none"/>
                <w:lang w:eastAsia="zh-CN"/>
                <w14:textFill>
                  <w14:solidFill>
                    <w14:schemeClr w14:val="tx1"/>
                  </w14:solidFill>
                </w14:textFill>
              </w:rPr>
            </w:pPr>
          </w:p>
          <w:p w14:paraId="5EFC5A46">
            <w:pPr>
              <w:pStyle w:val="22"/>
              <w:kinsoku/>
              <w:spacing w:line="360" w:lineRule="auto"/>
              <w:ind w:firstLine="520" w:firstLineChars="200"/>
              <w:jc w:val="both"/>
              <w:rPr>
                <w:rFonts w:ascii="Times New Roman" w:hAnsi="Times New Roman" w:cs="Times New Roman"/>
                <w:color w:val="000000" w:themeColor="text1"/>
                <w:spacing w:val="10"/>
                <w:sz w:val="24"/>
                <w:szCs w:val="24"/>
                <w:highlight w:val="none"/>
                <w:lang w:eastAsia="zh-CN"/>
                <w14:textFill>
                  <w14:solidFill>
                    <w14:schemeClr w14:val="tx1"/>
                  </w14:solidFill>
                </w14:textFill>
              </w:rPr>
            </w:pPr>
          </w:p>
        </w:tc>
      </w:tr>
    </w:tbl>
    <w:p w14:paraId="60A37643">
      <w:pPr>
        <w:kinsoku/>
        <w:spacing w:before="101" w:line="360" w:lineRule="auto"/>
        <w:jc w:val="center"/>
        <w:outlineLvl w:val="0"/>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pacing w:val="3"/>
          <w:sz w:val="30"/>
          <w:szCs w:val="30"/>
          <w:highlight w:val="none"/>
          <w:lang w:eastAsia="zh-CN"/>
          <w14:textFill>
            <w14:solidFill>
              <w14:schemeClr w14:val="tx1"/>
            </w14:solidFill>
          </w14:textFill>
        </w:rPr>
        <w:br w:type="column"/>
      </w:r>
      <w:r>
        <w:rPr>
          <w:rFonts w:ascii="Times New Roman" w:hAnsi="Times New Roman" w:eastAsia="宋体" w:cs="Times New Roman"/>
          <w:b/>
          <w:bCs/>
          <w:color w:val="000000" w:themeColor="text1"/>
          <w:spacing w:val="3"/>
          <w:sz w:val="30"/>
          <w:szCs w:val="30"/>
          <w:highlight w:val="none"/>
          <w14:textFill>
            <w14:solidFill>
              <w14:schemeClr w14:val="tx1"/>
            </w14:solidFill>
          </w14:textFill>
        </w:rPr>
        <w:t>四、生态环境影响分析</w:t>
      </w:r>
    </w:p>
    <w:tbl>
      <w:tblPr>
        <w:tblStyle w:val="17"/>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8323"/>
      </w:tblGrid>
      <w:tr w14:paraId="29F0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578" w:type="dxa"/>
            <w:vAlign w:val="center"/>
          </w:tcPr>
          <w:p w14:paraId="79FCD129">
            <w:pPr>
              <w:widowControl w:val="0"/>
              <w:kinsoku/>
              <w:spacing w:line="360" w:lineRule="auto"/>
              <w:jc w:val="center"/>
              <w:rPr>
                <w:rFonts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18" w:name="OLE_LINK45"/>
            <w:r>
              <w:rPr>
                <w:rFonts w:ascii="Times New Roman" w:hAnsi="Times New Roman" w:eastAsia="宋体" w:cs="Times New Roman"/>
                <w:color w:val="000000" w:themeColor="text1"/>
                <w:sz w:val="24"/>
                <w:szCs w:val="24"/>
                <w:highlight w:val="none"/>
                <w:lang w:eastAsia="zh-CN"/>
                <w14:textFill>
                  <w14:solidFill>
                    <w14:schemeClr w14:val="tx1"/>
                  </w14:solidFill>
                </w14:textFill>
              </w:rPr>
              <w:t>施工期生态环境影响分析</w:t>
            </w:r>
            <w:bookmarkEnd w:id="18"/>
          </w:p>
        </w:tc>
        <w:tc>
          <w:tcPr>
            <w:tcW w:w="8290" w:type="dxa"/>
          </w:tcPr>
          <w:p w14:paraId="72F11684">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6"/>
                <w:sz w:val="24"/>
                <w:szCs w:val="24"/>
                <w:highlight w:val="none"/>
                <w:lang w:eastAsia="zh-CN"/>
                <w14:textFill>
                  <w14:solidFill>
                    <w14:schemeClr w14:val="tx1"/>
                  </w14:solidFill>
                </w14:textFill>
              </w:rPr>
              <w:t>1</w:t>
            </w:r>
            <w:r>
              <w:rPr>
                <w:rFonts w:ascii="Times New Roman" w:hAnsi="Times New Roman" w:cs="Times New Roman"/>
                <w:b/>
                <w:bCs/>
                <w:color w:val="000000" w:themeColor="text1"/>
                <w:spacing w:val="-34"/>
                <w:sz w:val="24"/>
                <w:szCs w:val="24"/>
                <w:highlight w:val="none"/>
                <w:lang w:eastAsia="zh-CN"/>
                <w14:textFill>
                  <w14:solidFill>
                    <w14:schemeClr w14:val="tx1"/>
                  </w14:solidFill>
                </w14:textFill>
              </w:rPr>
              <w:t>.</w:t>
            </w:r>
            <w:r>
              <w:rPr>
                <w:rFonts w:ascii="Times New Roman" w:hAnsi="Times New Roman" w:cs="Times New Roman"/>
                <w:b/>
                <w:bCs/>
                <w:color w:val="000000" w:themeColor="text1"/>
                <w:spacing w:val="-6"/>
                <w:sz w:val="24"/>
                <w:szCs w:val="24"/>
                <w:highlight w:val="none"/>
                <w:lang w:eastAsia="zh-CN"/>
                <w14:textFill>
                  <w14:solidFill>
                    <w14:schemeClr w14:val="tx1"/>
                  </w14:solidFill>
                </w14:textFill>
              </w:rPr>
              <w:t>生态环境影响分析</w:t>
            </w:r>
          </w:p>
          <w:p w14:paraId="25F9B347">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3"/>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3"/>
                <w:sz w:val="24"/>
                <w:szCs w:val="24"/>
                <w:highlight w:val="none"/>
                <w:lang w:eastAsia="zh-CN"/>
                <w14:textFill>
                  <w14:solidFill>
                    <w14:schemeClr w14:val="tx1"/>
                  </w14:solidFill>
                </w14:textFill>
              </w:rPr>
              <w:t>1.1生态环境影响因素及类型</w:t>
            </w:r>
          </w:p>
          <w:p w14:paraId="775F5EDD">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本项</w:t>
            </w:r>
            <w:r>
              <w:rPr>
                <w:rFonts w:hint="eastAsia" w:ascii="Times New Roman" w:hAnsi="Times New Roman" w:cs="Times New Roman"/>
                <w:color w:val="000000" w:themeColor="text1"/>
                <w:sz w:val="24"/>
                <w:szCs w:val="24"/>
                <w:highlight w:val="none"/>
                <w:lang w:eastAsia="zh-CN"/>
                <w14:textFill>
                  <w14:solidFill>
                    <w14:schemeClr w14:val="tx1"/>
                  </w14:solidFill>
                </w14:textFill>
              </w:rPr>
              <w:t>目在</w:t>
            </w:r>
            <w:r>
              <w:rPr>
                <w:rFonts w:ascii="Times New Roman" w:hAnsi="Times New Roman" w:cs="Times New Roman"/>
                <w:color w:val="000000" w:themeColor="text1"/>
                <w:sz w:val="24"/>
                <w:szCs w:val="24"/>
                <w:highlight w:val="none"/>
                <w:lang w:eastAsia="zh-CN"/>
                <w14:textFill>
                  <w14:solidFill>
                    <w14:schemeClr w14:val="tx1"/>
                  </w14:solidFill>
                </w14:textFill>
              </w:rPr>
              <w:t>道路施工过程中不可避免地会对周围生</w:t>
            </w:r>
            <w:r>
              <w:rPr>
                <w:rFonts w:ascii="Times New Roman" w:hAnsi="Times New Roman" w:cs="Times New Roman"/>
                <w:color w:val="000000" w:themeColor="text1"/>
                <w:spacing w:val="-1"/>
                <w:sz w:val="24"/>
                <w:szCs w:val="24"/>
                <w:highlight w:val="none"/>
                <w:lang w:eastAsia="zh-CN"/>
                <w14:textFill>
                  <w14:solidFill>
                    <w14:schemeClr w14:val="tx1"/>
                  </w14:solidFill>
                </w14:textFill>
              </w:rPr>
              <w:t>态环境造成不同程度的污染</w:t>
            </w:r>
            <w:r>
              <w:rPr>
                <w:rFonts w:ascii="Times New Roman" w:hAnsi="Times New Roman" w:cs="Times New Roman"/>
                <w:color w:val="000000" w:themeColor="text1"/>
                <w:spacing w:val="-3"/>
                <w:sz w:val="24"/>
                <w:szCs w:val="24"/>
                <w:highlight w:val="none"/>
                <w:lang w:eastAsia="zh-CN"/>
                <w14:textFill>
                  <w14:solidFill>
                    <w14:schemeClr w14:val="tx1"/>
                  </w14:solidFill>
                </w14:textFill>
              </w:rPr>
              <w:t>和破坏。</w:t>
            </w:r>
          </w:p>
          <w:p w14:paraId="20C74DB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（1）生态环境影响类型</w:t>
            </w:r>
          </w:p>
          <w:p w14:paraId="18FCD154">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3" w:firstLineChars="205"/>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Cambria Math" w:hAnsi="Cambria Math" w:cs="Cambria Math"/>
                <w:color w:val="000000" w:themeColor="text1"/>
                <w:spacing w:val="-2"/>
                <w:sz w:val="24"/>
                <w:szCs w:val="24"/>
                <w:highlight w:val="none"/>
                <w:lang w:eastAsia="zh-CN"/>
                <w14:textFill>
                  <w14:solidFill>
                    <w14:schemeClr w14:val="tx1"/>
                  </w14:solidFill>
                </w14:textFill>
              </w:rPr>
              <w:t>①</w:t>
            </w:r>
            <w:r>
              <w:rPr>
                <w:rFonts w:ascii="Times New Roman" w:hAnsi="Times New Roman" w:cs="Times New Roman"/>
                <w:color w:val="000000" w:themeColor="text1"/>
                <w:spacing w:val="-2"/>
                <w:sz w:val="24"/>
                <w:szCs w:val="24"/>
                <w:highlight w:val="none"/>
                <w:lang w:eastAsia="zh-CN"/>
                <w14:textFill>
                  <w14:solidFill>
                    <w14:schemeClr w14:val="tx1"/>
                  </w14:solidFill>
                </w14:textFill>
              </w:rPr>
              <w:t>占地对地表土壤、植被影响</w:t>
            </w:r>
          </w:p>
          <w:p w14:paraId="35F73C5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3" w:firstLineChars="205"/>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井场、道路施工占地范围内土壤翻出、植被清除，将破坏地表原有稳定砾石层，加剧风蚀，改变原有生态系统结构</w:t>
            </w:r>
            <w:r>
              <w:rPr>
                <w:rFonts w:ascii="Times New Roman" w:hAnsi="Times New Roman" w:cs="Times New Roman"/>
                <w:color w:val="000000" w:themeColor="text1"/>
                <w:spacing w:val="-3"/>
                <w:sz w:val="24"/>
                <w:szCs w:val="24"/>
                <w:highlight w:val="none"/>
                <w:lang w:eastAsia="zh-CN"/>
                <w14:textFill>
                  <w14:solidFill>
                    <w14:schemeClr w14:val="tx1"/>
                  </w14:solidFill>
                </w14:textFill>
              </w:rPr>
              <w:t>和功能，属</w:t>
            </w:r>
            <w:r>
              <w:rPr>
                <w:rFonts w:ascii="Times New Roman" w:hAnsi="Times New Roman" w:cs="Times New Roman"/>
                <w:color w:val="000000" w:themeColor="text1"/>
                <w:spacing w:val="-2"/>
                <w:sz w:val="24"/>
                <w:szCs w:val="24"/>
                <w:highlight w:val="none"/>
                <w:lang w:eastAsia="zh-CN"/>
                <w14:textFill>
                  <w14:solidFill>
                    <w14:schemeClr w14:val="tx1"/>
                  </w14:solidFill>
                </w14:textFill>
              </w:rPr>
              <w:t>暂时性影响。施工完成后，临时性占地和影响将消除，使被破坏的生态环境逐步恢复。评价井和产能井封井前井场将会在原来连续分布的生态环境中形成生态斑点，产生地表温度、水分等物理异常，以及干扰地面植被和野生动物繁殖、迁移</w:t>
            </w:r>
            <w:r>
              <w:rPr>
                <w:rFonts w:ascii="Times New Roman" w:hAnsi="Times New Roman" w:cs="Times New Roman"/>
                <w:color w:val="000000" w:themeColor="text1"/>
                <w:spacing w:val="-1"/>
                <w:sz w:val="24"/>
                <w:szCs w:val="24"/>
                <w:highlight w:val="none"/>
                <w:lang w:eastAsia="zh-CN"/>
                <w14:textFill>
                  <w14:solidFill>
                    <w14:schemeClr w14:val="tx1"/>
                  </w14:solidFill>
                </w14:textFill>
              </w:rPr>
              <w:t>和栖息，长久影响生态环境的类型和结构。</w:t>
            </w:r>
          </w:p>
          <w:p w14:paraId="68D196C3">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color w:val="000000" w:themeColor="text1"/>
                <w:spacing w:val="-1"/>
                <w:sz w:val="24"/>
                <w:szCs w:val="24"/>
                <w:highlight w:val="none"/>
                <w:lang w:eastAsia="zh-CN"/>
                <w14:textFill>
                  <w14:solidFill>
                    <w14:schemeClr w14:val="tx1"/>
                  </w14:solidFill>
                </w14:textFill>
              </w:rPr>
            </w:pPr>
            <w:r>
              <w:rPr>
                <w:rFonts w:ascii="Cambria Math" w:hAnsi="Cambria Math" w:cs="Cambria Math"/>
                <w:color w:val="000000" w:themeColor="text1"/>
                <w:spacing w:val="-1"/>
                <w:sz w:val="24"/>
                <w:szCs w:val="24"/>
                <w:highlight w:val="none"/>
                <w:lang w:eastAsia="zh-CN"/>
                <w14:textFill>
                  <w14:solidFill>
                    <w14:schemeClr w14:val="tx1"/>
                  </w14:solidFill>
                </w14:textFill>
              </w:rPr>
              <w:t>②</w:t>
            </w:r>
            <w:r>
              <w:rPr>
                <w:rFonts w:ascii="Times New Roman" w:hAnsi="Times New Roman" w:cs="Times New Roman"/>
                <w:color w:val="000000" w:themeColor="text1"/>
                <w:spacing w:val="-1"/>
                <w:sz w:val="24"/>
                <w:szCs w:val="24"/>
                <w:highlight w:val="none"/>
                <w:lang w:eastAsia="zh-CN"/>
                <w14:textFill>
                  <w14:solidFill>
                    <w14:schemeClr w14:val="tx1"/>
                  </w14:solidFill>
                </w14:textFill>
              </w:rPr>
              <w:t>污染物排放对生态环境的影响</w:t>
            </w:r>
          </w:p>
          <w:p w14:paraId="4B919E8A">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本工程主要污染源集中在钻井工程，其污染源分布广、排放源强小，污染因子简单，具有影响的全方位性、综合性的特点，其对生态环境影响的途径和程度</w:t>
            </w:r>
            <w:r>
              <w:rPr>
                <w:rFonts w:ascii="Times New Roman" w:hAnsi="Times New Roman" w:cs="Times New Roman"/>
                <w:color w:val="000000" w:themeColor="text1"/>
                <w:sz w:val="24"/>
                <w:szCs w:val="24"/>
                <w:highlight w:val="none"/>
                <w:lang w:eastAsia="zh-CN"/>
                <w14:textFill>
                  <w14:solidFill>
                    <w14:schemeClr w14:val="tx1"/>
                  </w14:solidFill>
                </w14:textFill>
              </w:rPr>
              <w:t>取决于水环境、空气环境、声环境被污染的程度和</w:t>
            </w:r>
            <w:r>
              <w:rPr>
                <w:rFonts w:ascii="Times New Roman" w:hAnsi="Times New Roman" w:cs="Times New Roman"/>
                <w:color w:val="000000" w:themeColor="text1"/>
                <w:spacing w:val="-1"/>
                <w:sz w:val="24"/>
                <w:szCs w:val="24"/>
                <w:highlight w:val="none"/>
                <w:lang w:eastAsia="zh-CN"/>
                <w14:textFill>
                  <w14:solidFill>
                    <w14:schemeClr w14:val="tx1"/>
                  </w14:solidFill>
                </w14:textFill>
              </w:rPr>
              <w:t>固废的产生量及处置方式。</w:t>
            </w:r>
          </w:p>
          <w:p w14:paraId="2C7BFCF6">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（2）生态环境影响因素</w:t>
            </w:r>
          </w:p>
          <w:p w14:paraId="2BA42144">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环境影响因素识别实际上是对主体的识别，包括主体工程和辅助工程。对于</w:t>
            </w:r>
            <w:r>
              <w:rPr>
                <w:rFonts w:ascii="Times New Roman" w:hAnsi="Times New Roman" w:cs="Times New Roman"/>
                <w:color w:val="000000" w:themeColor="text1"/>
                <w:spacing w:val="-1"/>
                <w:sz w:val="24"/>
                <w:szCs w:val="24"/>
                <w:highlight w:val="none"/>
                <w:lang w:eastAsia="zh-CN"/>
                <w14:textFill>
                  <w14:solidFill>
                    <w14:schemeClr w14:val="tx1"/>
                  </w14:solidFill>
                </w14:textFill>
              </w:rPr>
              <w:t>本项目来讲，主要从钻井工程分析环境影响因素。</w:t>
            </w:r>
          </w:p>
          <w:p w14:paraId="529CF482">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1"/>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本项目部署新井2口，井场的平整会产生土方的</w:t>
            </w:r>
            <w:r>
              <w:rPr>
                <w:rFonts w:ascii="Times New Roman" w:hAnsi="Times New Roman" w:cs="Times New Roman"/>
                <w:color w:val="000000" w:themeColor="text1"/>
                <w:spacing w:val="-1"/>
                <w:sz w:val="24"/>
                <w:szCs w:val="24"/>
                <w:highlight w:val="none"/>
                <w:lang w:eastAsia="zh-CN"/>
                <w14:textFill>
                  <w14:solidFill>
                    <w14:schemeClr w14:val="tx1"/>
                  </w14:solidFill>
                </w14:textFill>
              </w:rPr>
              <w:t>扰动；钻井过程中废物的排</w:t>
            </w:r>
            <w:r>
              <w:rPr>
                <w:rFonts w:ascii="Times New Roman" w:hAnsi="Times New Roman" w:cs="Times New Roman"/>
                <w:color w:val="000000" w:themeColor="text1"/>
                <w:spacing w:val="-2"/>
                <w:sz w:val="24"/>
                <w:szCs w:val="24"/>
                <w:highlight w:val="none"/>
                <w:lang w:eastAsia="zh-CN"/>
                <w14:textFill>
                  <w14:solidFill>
                    <w14:schemeClr w14:val="tx1"/>
                  </w14:solidFill>
                </w14:textFill>
              </w:rPr>
              <w:t>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完井后全部回收外运；施工机械划定运行线路，不得随意开行便道，以减少对地表原生结构的破坏。各种措施的采</w:t>
            </w:r>
            <w:r>
              <w:rPr>
                <w:rFonts w:ascii="Times New Roman" w:hAnsi="Times New Roman" w:cs="Times New Roman"/>
                <w:color w:val="000000" w:themeColor="text1"/>
                <w:spacing w:val="-1"/>
                <w:sz w:val="24"/>
                <w:szCs w:val="24"/>
                <w:highlight w:val="none"/>
                <w:lang w:eastAsia="zh-CN"/>
                <w14:textFill>
                  <w14:solidFill>
                    <w14:schemeClr w14:val="tx1"/>
                  </w14:solidFill>
                </w14:textFill>
              </w:rPr>
              <w:t>用，可有效减轻钻井过程对生态环境的影响。</w:t>
            </w:r>
          </w:p>
          <w:p w14:paraId="6A5D1204">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3"/>
                <w:sz w:val="24"/>
                <w:szCs w:val="24"/>
                <w:highlight w:val="none"/>
                <w:lang w:eastAsia="zh-CN"/>
                <w14:textFill>
                  <w14:solidFill>
                    <w14:schemeClr w14:val="tx1"/>
                  </w14:solidFill>
                </w14:textFill>
              </w:rPr>
              <w:t>1.2对植被的影响分析</w:t>
            </w:r>
          </w:p>
          <w:p w14:paraId="0F8907C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（1）工程占地对植被的影响</w:t>
            </w:r>
          </w:p>
          <w:p w14:paraId="16FC65D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工程占地包括井场、入场道路和施工营地等临时占地，对植被的影响主要表现在施工期，主要影响形式是对土地的占用以及施工阶段清场过程中对地表植被的清理及施工过程中地碾压。</w:t>
            </w:r>
          </w:p>
          <w:p w14:paraId="6BDAB473">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在井场、道路施工过程中土地被扰动，地表植被基本被毁。施工结束后重新回到原来的自然状态，但地表植被及地表结构却发生了变化。地表保护层被破坏后，其稳定性下降，防止水土流失的能力也随之下降。</w:t>
            </w:r>
          </w:p>
          <w:p w14:paraId="4049A274">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（2）人类活动对植被的影响</w:t>
            </w:r>
          </w:p>
          <w:p w14:paraId="63EA0D96">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项目施工过程对植被的影响主要表现在人类和机械对植物的践踏、碾压和砍伐，使原生植被生境发生较大变化。区域单位面积上人口密度的增加将导致工程开发范围内及边缘区域地表土壤被践踏、自然植被减少。</w:t>
            </w:r>
          </w:p>
          <w:p w14:paraId="25181E5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评价区植被分布不均匀，覆盖度较低，人类活动对该区域天然植被产生的不良影响非常有限。</w:t>
            </w:r>
          </w:p>
          <w:p w14:paraId="2950CA32">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（3）道路修建对植被的影响</w:t>
            </w:r>
          </w:p>
          <w:p w14:paraId="1B69AACC">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施工临时道路选线过程中，采取工程避让措施，尽量避开野生植物生长密集地带，最大限度减少对道路两侧植被生存环境的破坏。在道路修建过程中，主要影响是对土地的占用以及施工阶段清场过程中对地表植被的清理。施工完成后，由于区域内有冬季降雪，在融雪季节道路两侧有积水产生，有利于荒漠植被的自然恢复。</w:t>
            </w:r>
          </w:p>
          <w:p w14:paraId="0FF3E677">
            <w:pPr>
              <w:pStyle w:val="22"/>
              <w:keepNext w:val="0"/>
              <w:keepLines w:val="0"/>
              <w:pageBreakBefore w:val="0"/>
              <w:widowControl w:val="0"/>
              <w:numPr>
                <w:ilvl w:val="0"/>
                <w:numId w:val="5"/>
              </w:numPr>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生物损失量核算</w:t>
            </w:r>
          </w:p>
          <w:p w14:paraId="5BD9CD3A">
            <w:pPr>
              <w:pStyle w:val="22"/>
              <w:keepNext w:val="0"/>
              <w:keepLines w:val="0"/>
              <w:pageBreakBefore w:val="0"/>
              <w:widowControl w:val="0"/>
              <w:numPr>
                <w:ilvl w:val="0"/>
                <w:numId w:val="0"/>
              </w:numPr>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本项目占地类型主要为荒漠戈壁上的天然牧草地和其他草地。区域植被类型为荒漠植被，覆盖度约10%，主要物种为骆驼蓬、多枝柽柳、芨芨草等。由于施工期进行表土剥离和平整，将导致占地范围内的生物量全部损失（按100%损失率计算）。参考新疆北部荒漠草地平均生物量干重（约1500kg/hm²）进行估算，</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临时占地总面积为</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50328</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m²（</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其中吉阜103H为23445</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m²</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、吉阜1001H为26883</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m²），</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则</w:t>
            </w:r>
            <w:r>
              <w:rPr>
                <w:rFonts w:hint="default" w:ascii="Times New Roman" w:hAnsi="Times New Roman" w:eastAsia="宋体" w:cs="Times New Roman"/>
                <w:color w:val="000000" w:themeColor="text1"/>
                <w:sz w:val="24"/>
                <w:szCs w:val="24"/>
                <w14:textFill>
                  <w14:solidFill>
                    <w14:schemeClr w14:val="tx1"/>
                  </w14:solidFill>
                </w14:textFill>
              </w:rPr>
              <w:t>本项目因施工造成的植被生物量损失约为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7.55</w:t>
            </w:r>
            <w:r>
              <w:rPr>
                <w:rFonts w:hint="default" w:ascii="Times New Roman" w:hAnsi="Times New Roman" w:eastAsia="宋体" w:cs="Times New Roman"/>
                <w:color w:val="000000" w:themeColor="text1"/>
                <w:sz w:val="24"/>
                <w:szCs w:val="24"/>
                <w14:textFill>
                  <w14:solidFill>
                    <w14:schemeClr w14:val="tx1"/>
                  </w14:solidFill>
                </w14:textFill>
              </w:rPr>
              <w:t>吨</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eastAsia="zh-CN"/>
                <w14:textFill>
                  <w14:solidFill>
                    <w14:schemeClr w14:val="tx1"/>
                  </w14:solidFill>
                </w14:textFill>
              </w:rPr>
              <w:t>其中</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吉阜103H为3.52t、吉阜1001H为4.03t</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由于项目区植被稀疏，生物量基数小，且为临时占地，施工结束后通过人工辅助措施（撒播草籽等）和自然恢复，受损的生物量可在3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5年内逐步恢复，不会对区域生态系统稳定性造成不可逆影响。</w:t>
            </w:r>
          </w:p>
          <w:p w14:paraId="3FCA044A">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由于项目地点远离城市干线，交通事故发生的概率极小，且造成的污染有限。相对于整个开发区域而言，事故均发生于一个较小的范围内，事故发生后及时清理事故污染，交通事故不会对整个区域植被产生明显不利影响。</w:t>
            </w:r>
          </w:p>
          <w:p w14:paraId="44135CDB">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1.3对野生动物的影响分析</w:t>
            </w:r>
          </w:p>
          <w:p w14:paraId="35DE0C76">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14:paraId="2290C89C">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（1）施工期对野生动物的影响</w:t>
            </w:r>
          </w:p>
          <w:p w14:paraId="276CD5ED">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30m以外活动，待无噪声干扰时较常见于人类生活区附近。因此，随着钻井、试油各个过程的变化，该区域内野生动物的种类和数量将发生一定的变化，原有的戈壁荒漠型鸟类和哺乳类将逐渐避开人类活动的干扰迁至其他区域，而常见的伴人型野生动物种类有所增加。施工完成后，施工人员撤离作业区域，区域内的人为活动逐步减少，野生动物将逐步回归原有生境。</w:t>
            </w:r>
          </w:p>
          <w:p w14:paraId="1557A2F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（2）事故对野生动物的影响</w:t>
            </w:r>
          </w:p>
          <w:p w14:paraId="5E149F1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发生事故时常常导致原油及天然气的泄出和渗漏，从而可能影响工程区域内的野生脊椎动物的生存环境。事故类型的不同，对野生动物的影响范围和程度也有所不同。当发生井喷事故时，井场周围200m</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w:t>
            </w:r>
            <w:r>
              <w:rPr>
                <w:rFonts w:ascii="Times New Roman" w:hAnsi="Times New Roman" w:cs="Times New Roman"/>
                <w:color w:val="000000" w:themeColor="text1"/>
                <w:spacing w:val="-2"/>
                <w:sz w:val="24"/>
                <w:szCs w:val="24"/>
                <w:highlight w:val="none"/>
                <w:lang w:eastAsia="zh-CN"/>
                <w14:textFill>
                  <w14:solidFill>
                    <w14:schemeClr w14:val="tx1"/>
                  </w14:solidFill>
                </w14:textFill>
              </w:rPr>
              <w:t>500m范围以内的各种小型脊椎动物会因躲避不及造成死亡，局部区域可能影响到的只是一些啮齿类动物、爬行动物和小型鸟类，对大中型动物不会造成影响。如果发生火灾事故，由于生态环境及空气环境的变化，短时间内会使事故周围动物的分布数量下降。</w:t>
            </w:r>
          </w:p>
          <w:p w14:paraId="58285E1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（3）对野生动物生活环境的影响</w:t>
            </w:r>
          </w:p>
          <w:p w14:paraId="14690076">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区域内各种野生动物经过长期的适应已形成较稳定的取食、饮水、栖息活动范围和分布。本项目施工造成的</w:t>
            </w:r>
            <w:r>
              <w:rPr>
                <w:rFonts w:hint="eastAsia" w:ascii="Times New Roman" w:hAnsi="Times New Roman" w:cs="Times New Roman"/>
                <w:color w:val="000000" w:themeColor="text1"/>
                <w:spacing w:val="-2"/>
                <w:sz w:val="24"/>
                <w:szCs w:val="24"/>
                <w:lang w:val="en-US" w:eastAsia="zh-CN"/>
                <w14:textFill>
                  <w14:solidFill>
                    <w14:schemeClr w14:val="tx1"/>
                  </w14:solidFill>
                </w14:textFill>
              </w:rPr>
              <w:t>临时</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占地和人为活动干扰，将对地表活动的野生动物栖息地产生一定的隔离和切割作用。</w:t>
            </w:r>
          </w:p>
          <w:p w14:paraId="2AF3A60B">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栖息地破碎化程度预测：本项目为陆地钻井点状施工作业，不涉及长距离线性工程（如高等级公路或大型管网）的大范围切割。经预测，施工机械活动和占地造成的栖息地破碎化和惊扰影响范围较为局限，整体影响范围</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较小</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，不会形成大面积的物理阻隔，原分布区内的物种可向外围缓冲地带短暂扩散扩散。恢复周期预测： 钻井作业结束后，随着人类活动和施工机械的撤离，占地扰动因素随之消除。在严格落实地貌平整、表土回覆及人工辅助播种等生态恢复措施的前提下，预计受扰动生境的植被和生态功能将在 3~5 年内逐渐恢复。野生动物在原有生境修复并重新适应后，其活动和分布范围亦将自然恢复，不会对区域物种多样性造成长期不利影响。</w:t>
            </w:r>
          </w:p>
          <w:p w14:paraId="29FBB412">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1.</w:t>
            </w: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4</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对林地的影响分析</w:t>
            </w:r>
          </w:p>
          <w:p w14:paraId="3837F2C7">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项目勘探井临时占地占用林地，破坏林地植被的生物多样性。区域植被类型以红砂灌丛为主，项目临时占地将导致红砂株数减少、生物量降低，但本项目占地面积有限，不会导致区域植被类型发生明显变化，待施工活动结束后，原有生境、植被类型将逐渐恢复。</w:t>
            </w:r>
          </w:p>
          <w:p w14:paraId="086FF401">
            <w:pPr>
              <w:pStyle w:val="22"/>
              <w:widowControl w:val="0"/>
              <w:kinsoku/>
              <w:spacing w:line="360" w:lineRule="auto"/>
              <w:jc w:val="both"/>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1.</w:t>
            </w:r>
            <w:r>
              <w:rPr>
                <w:rFonts w:hint="eastAsia" w:ascii="Times New Roman" w:hAnsi="Times New Roman" w:eastAsia="宋体" w:cs="Times New Roman"/>
                <w:b/>
                <w:bCs/>
                <w:color w:val="000000" w:themeColor="text1"/>
                <w:spacing w:val="-2"/>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对农田的影响分析</w:t>
            </w:r>
          </w:p>
          <w:p w14:paraId="49F07D17">
            <w:pPr>
              <w:pStyle w:val="22"/>
              <w:widowControl w:val="0"/>
              <w:kinsoku/>
              <w:spacing w:line="360" w:lineRule="auto"/>
              <w:ind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本项目占地类型主要为</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其他草地</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周边约100m有耕地分布，</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对农作物的影响主要来自于施工废气、道路扬尘等间接影响方式。</w:t>
            </w:r>
          </w:p>
          <w:p w14:paraId="556986C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2.施工期土壤环境影响分析</w:t>
            </w:r>
          </w:p>
          <w:p w14:paraId="4C64228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本项目属于“矿产资源地质勘查（含勘探活动和油气资源勘探）”，根据《环境影响评价技术导则 土壤环境（试行）》（HJ964-2018）附录A，本项目为Ⅳ类项目，可不开展土壤环境影响评价，本次环评仅做简单分析。</w:t>
            </w:r>
          </w:p>
          <w:p w14:paraId="388DBBFC">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2.1工程占地影响分析</w:t>
            </w:r>
          </w:p>
          <w:p w14:paraId="307180B3">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本项目占地主要为井场及临时道路，占地类型为灌木林地（具体见表2-3），</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大多</w:t>
            </w:r>
            <w:r>
              <w:rPr>
                <w:rFonts w:ascii="Times New Roman" w:hAnsi="Times New Roman" w:cs="Times New Roman"/>
                <w:color w:val="000000" w:themeColor="text1"/>
                <w:spacing w:val="-2"/>
                <w:sz w:val="24"/>
                <w:szCs w:val="24"/>
                <w:highlight w:val="none"/>
                <w:lang w:eastAsia="zh-CN"/>
                <w14:textFill>
                  <w14:solidFill>
                    <w14:schemeClr w14:val="tx1"/>
                  </w14:solidFill>
                </w14:textFill>
              </w:rPr>
              <w:t>为临时占地。最主要的危害是破坏了地表结构，增加了土壤风蚀量和沙漠化的可能性。在进行井场施工时，将对作业范围内的土壤表层进行干扰和破坏，土壤表层结构（包括紧实度）、肥力将受到影响，土壤易受到侵蚀。当施工结束后，人为活动的范围缩小，将使受到破坏的地表逐渐得到恢复，风蚀和荒漠化影响将随着天然植被的恢复逐渐得到控制。</w:t>
            </w:r>
          </w:p>
          <w:p w14:paraId="0D6317D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2.2固体废物对土壤环境的影响</w:t>
            </w:r>
          </w:p>
          <w:p w14:paraId="01BFDFBB">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在钻井过程中会产生钻井泥浆和岩屑，本项目采用泥浆不落地技术，可以有效减缓钻井泥浆、岩屑对土壤的影响范围和程度。</w:t>
            </w:r>
          </w:p>
          <w:p w14:paraId="552A71E7">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2.3事故状态下对土壤环境的影响</w:t>
            </w:r>
          </w:p>
          <w:p w14:paraId="586082F5">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14:paraId="098CDB42">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井喷持续时间越长，对土壤造成的污染越严重。但根据已有的相关资料，井喷事故主要影响事故区域内的表层土壤。</w:t>
            </w:r>
          </w:p>
          <w:p w14:paraId="7BC415D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2.4水土流失影响分析</w:t>
            </w:r>
          </w:p>
          <w:p w14:paraId="2C85DE86">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油田工程建设对当地水土流失影响的方式包括扰动、损坏、开挖、破坏原地貌、地表土壤结构及植被。工程施工及占地呈面状、线状分布，施工期间，井场占地、临时道路、机械作业人员活动等都会加剧水土流失。油田开发过程中加剧水土流失的不良影响主要表现在以下几个方面：</w:t>
            </w:r>
          </w:p>
          <w:p w14:paraId="26B68E3A">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（1）施工车辆对地表的大面积碾压，使所经过地段的植被和地表结构遭到不同程度的破坏，使荒漠化的过程加剧。</w:t>
            </w:r>
          </w:p>
          <w:p w14:paraId="447B0EDA">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2）在井场开钻及临时设施搭建中，最直接而且易引起水土流失的是施工过程中使影响范围内的地表保护层变得松散，增加风蚀量。对于本项目油田的开发建设来讲，地面构筑物建设的内容主要包括井场、道路的敷设及配套工程等。临时占地范围内的土壤地表表层遭到破坏，下层的粉细物质暴露在地层表面，在风力的作用下，风蚀量会明显加大，这种影响在短时间内不会完全恢复。但随着时间的推移，风蚀量会随着地表新保护层的逐渐形成而减弱。</w:t>
            </w:r>
          </w:p>
          <w:p w14:paraId="3FF59B7C">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3）油田道路建设可能引起水土流失的因素较多，如破坏地表结构、砍伐植被、挖取土方等。带来的环境问题是使具有稳定结皮的地表结构被破坏，使其失去原有稳定性，引发流沙的重新分布。如遇起沙风，地表在没有保护的状态下极易被吹蚀，从而引起水土流失。道路施工期间的水土流失影响主要在于动土引起的风沙影响，风沙影响的范围主要集中于油田区域内。施工期结束后，路面风沙影响即告结束，但此时路边作业带的影响还将持续几年，呈逐渐衰减趋势。施工期内，管沟边堆起一道临时土垄，在大风状态下易发生风力侵蚀，即使在堆土回填后风蚀量会有所减少，但地表仍为疏松地带，需要一个较长的恢复阶段。</w:t>
            </w:r>
          </w:p>
          <w:p w14:paraId="4C5AB92A">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本项目所在区域属于“天山北坡国家级水土流失重点预防区”，施工期会使施工范围内的土体结构遭到破坏、野生植被会受到严重破坏甚至被彻底清除，若遇到大风天气施工，则可能导致风蚀作用加剧；钻试结束后，由于井场、进场道路和生活营地等土壤结构、自然植被的恢复还需要一定时间，区域水土流失还将继续发生。但随着时间的延长、土壤结构的变化以及地表植被的恢复，水土流失的程度会慢慢减轻。</w:t>
            </w:r>
          </w:p>
          <w:p w14:paraId="4F7E674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2.5土地沙化影响分析</w:t>
            </w:r>
          </w:p>
          <w:p w14:paraId="3F4D2BF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项目区钻井工程实施中，会使施工带范围内的土体结构遭到破坏，其范围内的植被也会受到严重破坏甚至被彻底清除，导致风沙作用加剧，主要表现为：</w:t>
            </w:r>
          </w:p>
          <w:p w14:paraId="0E9D8C43">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（1）土壤粗粒化</w:t>
            </w:r>
          </w:p>
          <w:p w14:paraId="4D1AA9C6">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在土壤沙化过程中，当风力作用地表产生风蚀时，便产生风蚀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14:paraId="12EFFD0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（2）土壤贫瘠及含盐量变化</w:t>
            </w:r>
          </w:p>
          <w:p w14:paraId="1BCBB9AF">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随着</w:t>
            </w:r>
            <w:r>
              <w:rPr>
                <w:rFonts w:ascii="Times New Roman" w:hAnsi="Times New Roman" w:cs="Times New Roman"/>
                <w:color w:val="000000" w:themeColor="text1"/>
                <w:spacing w:val="-2"/>
                <w:sz w:val="24"/>
                <w:szCs w:val="24"/>
                <w:highlight w:val="none"/>
                <w:lang w:eastAsia="zh-CN"/>
                <w14:textFill>
                  <w14:solidFill>
                    <w14:schemeClr w14:val="tx1"/>
                  </w14:solidFill>
                </w14:textFill>
              </w:rPr>
              <w:t>沙化增强，盐分含量降低。</w:t>
            </w:r>
          </w:p>
          <w:p w14:paraId="719F3FD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（3）对区域沙化土地的影响分析</w:t>
            </w:r>
          </w:p>
          <w:p w14:paraId="05622AED">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本项目施工期临时占地将会破坏项目占地范围内的土壤表层稳定砾幕和地表荒漠植被，项目所在区域具有多风、降水量偏低等气候特征，地表稳定结皮被破坏后，在大风天气条件下，项目施工会使占地范围内的土地就地起沙，局部形成沙化土地。</w:t>
            </w:r>
          </w:p>
          <w:p w14:paraId="2215829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但是由于项目占地范围较小，施工结束后对临时占地范围内场地进行平整和清理，尽量利用井场施工时产生的表层弃土对临时占地进行覆盖，采用自然恢复的方式对区域植被进行恢复。</w:t>
            </w:r>
          </w:p>
          <w:p w14:paraId="2E3EBE8E">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综上所述，本项目对项目所在区域土地沙化影响不大。</w:t>
            </w:r>
          </w:p>
          <w:p w14:paraId="38212B2C">
            <w:pPr>
              <w:pStyle w:val="26"/>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3.大气环境影响分析</w:t>
            </w:r>
          </w:p>
          <w:p w14:paraId="6B820BCD">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19" w:name="_Hlk136794460"/>
            <w:r>
              <w:rPr>
                <w:rFonts w:ascii="Times New Roman" w:hAnsi="Times New Roman" w:eastAsia="宋体" w:cs="Times New Roman"/>
                <w:color w:val="000000" w:themeColor="text1"/>
                <w:sz w:val="24"/>
                <w:szCs w:val="24"/>
                <w:highlight w:val="none"/>
                <w:lang w:eastAsia="zh-CN"/>
                <w14:textFill>
                  <w14:solidFill>
                    <w14:schemeClr w14:val="tx1"/>
                  </w14:solidFill>
                </w14:textFill>
              </w:rPr>
              <w:t>废气主要为柴油机、发电机燃料燃烧烟气、施工机械及施工车辆尾气、施工扬尘、伴生气放空产生的燃烧烟气、试油期间采出液储存及装车过程中无组织逸散的废气、柴油储存卸车无组织废气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钻井岩屑暂存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和</w:t>
            </w:r>
            <w:r>
              <w:rPr>
                <w:rFonts w:ascii="Times New Roman" w:hAnsi="Times New Roman" w:eastAsia="宋体" w:cs="Times New Roman"/>
                <w:color w:val="000000" w:themeColor="text1"/>
                <w:spacing w:val="1"/>
                <w:sz w:val="24"/>
                <w:szCs w:val="24"/>
                <w:highlight w:val="none"/>
                <w:lang w:eastAsia="zh-CN"/>
                <w14:textFill>
                  <w14:solidFill>
                    <w14:schemeClr w14:val="tx1"/>
                  </w14:solidFill>
                </w14:textFill>
              </w:rPr>
              <w:t>道路工程等</w:t>
            </w:r>
            <w:r>
              <w:rPr>
                <w:rFonts w:ascii="Times New Roman" w:hAnsi="Times New Roman" w:eastAsia="宋体" w:cs="Times New Roman"/>
                <w:color w:val="000000" w:themeColor="text1"/>
                <w:spacing w:val="-3"/>
                <w:sz w:val="24"/>
                <w:szCs w:val="24"/>
                <w:highlight w:val="none"/>
                <w:lang w:eastAsia="zh-CN"/>
                <w14:textFill>
                  <w14:solidFill>
                    <w14:schemeClr w14:val="tx1"/>
                  </w14:solidFill>
                </w14:textFill>
              </w:rPr>
              <w:t>在施工作业过程中产生的扬尘等</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08E2AE83">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）施工机械及施工车辆尾气</w:t>
            </w:r>
          </w:p>
          <w:p w14:paraId="7B4D9D6B">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施工机械及施工车辆运行过程中会产生一定的尾气，对周围大气环境产生一定的影响；各类施工机械及施工车辆均采用符合国家标准的油品，定期对施工机械及车辆检维修并加强保养，保证施工机械及车辆正常运行，且废气随着施工期的结束而消失，不会对周围大气环境产生不利影响。</w:t>
            </w:r>
          </w:p>
          <w:p w14:paraId="6B9D1D29">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）施工扬尘</w:t>
            </w:r>
          </w:p>
          <w:p w14:paraId="0574A183">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井场平整、探临道路、生活营地等建设及施工运输车辆会产生扬尘，对周围大气环境产生一定的影响；施工期加强管理、对易起尘物料进行遮盖、车辆低速慢行等措施，且扬尘随着施工期的结束而消失，不会对周围大气环境产生不利影响。</w:t>
            </w:r>
          </w:p>
          <w:p w14:paraId="6664DC8E">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）伴生气燃烧烟气</w:t>
            </w:r>
          </w:p>
          <w:p w14:paraId="466E15BE">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钻井和试油过程中可能会出现油层伴生气排出地面的情况，伴生气经过液气分离后通过点火排放。由于勘探前油藏情况未明，伴生气产生量无法确定，根据准东采油管理区区域已经完钻的探井可知，试油期产生的伴生气气量不稳定，不具备回收利用条件，但具备燃烧条件的，经排气管线充分燃烧后排放，因此，本工程伴生气通过排气管线充分燃烧后放空，属于阶段性排放，且随着钻试结束而停止产生，只在打开目的层且井筒压力过大时才会进行放喷。</w:t>
            </w:r>
          </w:p>
          <w:p w14:paraId="0844F1EB">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本次评价按照钻井经验中对环境最不利情况进行分析，按照伴生气产生最大量进行估算，整个试油期放喷1次，放喷时间15min，放喷气量30m</w:t>
            </w:r>
            <w:r>
              <w:rPr>
                <w:rFonts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/h进行核算，伴生气产生量7.5m</w:t>
            </w:r>
            <w:r>
              <w:rPr>
                <w:rFonts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伴生气主要成分为甲烷，基本不含硫，燃烧后排放污染物主要为NOx和颗粒物。根据《第一次全国污染源普查工业污染源产排污系数手册》以及《实用环境保护数据大全》，核算本项目伴生气燃烧废气污染物的产排情况见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58017A5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highlight w:val="none"/>
                <w:lang w:eastAsia="zh-CN"/>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表</w:t>
            </w:r>
            <w:r>
              <w:rPr>
                <w:rFonts w:ascii="Times New Roman" w:hAnsi="Times New Roman" w:eastAsia="宋体" w:cs="Times New Roman"/>
                <w:b/>
                <w:bCs/>
                <w:color w:val="000000" w:themeColor="text1"/>
                <w:highlight w:val="none"/>
                <w:lang w:eastAsia="zh-CN"/>
                <w14:textFill>
                  <w14:solidFill>
                    <w14:schemeClr w14:val="tx1"/>
                  </w14:solidFill>
                </w14:textFill>
              </w:rPr>
              <w:t>4</w:t>
            </w:r>
            <w:r>
              <w:rPr>
                <w:rFonts w:ascii="Times New Roman" w:hAnsi="Times New Roman" w:cs="Times New Roman"/>
                <w:b/>
                <w:bCs/>
                <w:color w:val="000000" w:themeColor="text1"/>
                <w:highlight w:val="none"/>
                <w:lang w:eastAsia="zh-CN"/>
                <w14:textFill>
                  <w14:solidFill>
                    <w14:schemeClr w14:val="tx1"/>
                  </w14:solidFill>
                </w14:textFill>
              </w:rPr>
              <w:t>-</w:t>
            </w:r>
            <w:r>
              <w:rPr>
                <w:rFonts w:hint="eastAsia" w:ascii="Times New Roman" w:hAnsi="Times New Roman" w:cs="Times New Roman"/>
                <w:b/>
                <w:bCs/>
                <w:color w:val="000000" w:themeColor="text1"/>
                <w:highlight w:val="none"/>
                <w:lang w:val="en-US" w:eastAsia="zh-CN"/>
                <w14:textFill>
                  <w14:solidFill>
                    <w14:schemeClr w14:val="tx1"/>
                  </w14:solidFill>
                </w14:textFill>
              </w:rPr>
              <w:t>1</w:t>
            </w:r>
            <w:r>
              <w:rPr>
                <w:rFonts w:ascii="Times New Roman" w:hAnsi="Times New Roman" w:cs="Times New Roman"/>
                <w:b/>
                <w:bCs/>
                <w:color w:val="000000" w:themeColor="text1"/>
                <w:highlight w:val="none"/>
                <w:lang w:eastAsia="zh-CN"/>
                <w14:textFill>
                  <w14:solidFill>
                    <w14:schemeClr w14:val="tx1"/>
                  </w14:solidFill>
                </w14:textFill>
              </w:rPr>
              <w:t xml:space="preserve"> </w:t>
            </w:r>
            <w:r>
              <w:rPr>
                <w:rFonts w:hint="eastAsia" w:ascii="Times New Roman" w:hAnsi="Times New Roman" w:cs="Times New Roman"/>
                <w:b/>
                <w:bCs/>
                <w:color w:val="000000" w:themeColor="text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highlight w:val="none"/>
                <w:lang w:eastAsia="zh-CN"/>
                <w14:textFill>
                  <w14:solidFill>
                    <w14:schemeClr w14:val="tx1"/>
                  </w14:solidFill>
                </w14:textFill>
              </w:rPr>
              <w:t>放喷废气污染物排放量表</w:t>
            </w:r>
          </w:p>
          <w:tbl>
            <w:tblPr>
              <w:tblStyle w:val="21"/>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493"/>
              <w:gridCol w:w="1637"/>
              <w:gridCol w:w="1956"/>
              <w:gridCol w:w="2013"/>
            </w:tblGrid>
            <w:tr w14:paraId="4E67E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1539" w:type="pct"/>
                  <w:tcBorders>
                    <w:top w:val="single" w:color="000000" w:sz="10" w:space="0"/>
                  </w:tcBorders>
                  <w:vAlign w:val="center"/>
                </w:tcPr>
                <w:p w14:paraId="4BBE6D3C">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7"/>
                      <w:sz w:val="21"/>
                      <w:szCs w:val="21"/>
                      <w:highlight w:val="none"/>
                      <w:lang w:eastAsia="zh-CN"/>
                      <w14:textFill>
                        <w14:solidFill>
                          <w14:schemeClr w14:val="tx1"/>
                        </w14:solidFill>
                      </w14:textFill>
                    </w:rPr>
                    <w:t>污染物名称</w:t>
                  </w:r>
                </w:p>
              </w:tc>
              <w:tc>
                <w:tcPr>
                  <w:tcW w:w="1010" w:type="pct"/>
                  <w:tcBorders>
                    <w:top w:val="single" w:color="000000" w:sz="10" w:space="0"/>
                  </w:tcBorders>
                  <w:vAlign w:val="center"/>
                </w:tcPr>
                <w:p w14:paraId="637181A5">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7"/>
                      <w:sz w:val="21"/>
                      <w:szCs w:val="21"/>
                      <w:highlight w:val="none"/>
                      <w:lang w:eastAsia="zh-CN"/>
                      <w14:textFill>
                        <w14:solidFill>
                          <w14:schemeClr w14:val="tx1"/>
                        </w14:solidFill>
                      </w14:textFill>
                    </w:rPr>
                    <w:t>废气量</w:t>
                  </w:r>
                </w:p>
              </w:tc>
              <w:tc>
                <w:tcPr>
                  <w:tcW w:w="1207" w:type="pct"/>
                  <w:tcBorders>
                    <w:top w:val="single" w:color="000000" w:sz="10" w:space="0"/>
                  </w:tcBorders>
                  <w:vAlign w:val="center"/>
                </w:tcPr>
                <w:p w14:paraId="1487718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Times New Roman" w:cs="Times New Roman"/>
                      <w:b/>
                      <w:bCs/>
                      <w:color w:val="000000" w:themeColor="text1"/>
                      <w:highlight w:val="none"/>
                      <w:lang w:eastAsia="zh-CN"/>
                      <w14:textFill>
                        <w14:solidFill>
                          <w14:schemeClr w14:val="tx1"/>
                        </w14:solidFill>
                      </w14:textFill>
                    </w:rPr>
                  </w:pPr>
                  <w:r>
                    <w:rPr>
                      <w:rFonts w:ascii="Times New Roman" w:hAnsi="Times New Roman" w:eastAsia="Times New Roman" w:cs="Times New Roman"/>
                      <w:b/>
                      <w:bCs/>
                      <w:color w:val="000000" w:themeColor="text1"/>
                      <w:spacing w:val="7"/>
                      <w:highlight w:val="none"/>
                      <w:lang w:eastAsia="zh-CN"/>
                      <w14:textFill>
                        <w14:solidFill>
                          <w14:schemeClr w14:val="tx1"/>
                        </w14:solidFill>
                      </w14:textFill>
                    </w:rPr>
                    <w:t>NO</w:t>
                  </w:r>
                  <w:r>
                    <w:rPr>
                      <w:rFonts w:ascii="Times New Roman" w:hAnsi="Times New Roman" w:eastAsia="Times New Roman" w:cs="Times New Roman"/>
                      <w:b/>
                      <w:bCs/>
                      <w:color w:val="000000" w:themeColor="text1"/>
                      <w:spacing w:val="7"/>
                      <w:highlight w:val="none"/>
                      <w:vertAlign w:val="subscript"/>
                      <w:lang w:eastAsia="zh-CN"/>
                      <w14:textFill>
                        <w14:solidFill>
                          <w14:schemeClr w14:val="tx1"/>
                        </w14:solidFill>
                      </w14:textFill>
                    </w:rPr>
                    <w:t>X</w:t>
                  </w:r>
                </w:p>
              </w:tc>
              <w:tc>
                <w:tcPr>
                  <w:tcW w:w="1242" w:type="pct"/>
                  <w:tcBorders>
                    <w:top w:val="single" w:color="000000" w:sz="10" w:space="0"/>
                    <w:right w:val="single" w:color="000000" w:sz="4" w:space="0"/>
                  </w:tcBorders>
                  <w:vAlign w:val="center"/>
                </w:tcPr>
                <w:p w14:paraId="2B1B3909">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b/>
                      <w:bCs/>
                      <w:color w:val="000000" w:themeColor="text1"/>
                      <w:sz w:val="21"/>
                      <w:szCs w:val="21"/>
                      <w:highlight w:val="none"/>
                      <w:lang w:eastAsia="zh-CN"/>
                      <w14:textFill>
                        <w14:solidFill>
                          <w14:schemeClr w14:val="tx1"/>
                        </w14:solidFill>
                      </w14:textFill>
                    </w:rPr>
                  </w:pPr>
                  <w:r>
                    <w:rPr>
                      <w:rFonts w:ascii="Times New Roman" w:hAnsi="Times New Roman" w:cs="Times New Roman"/>
                      <w:b/>
                      <w:bCs/>
                      <w:color w:val="000000" w:themeColor="text1"/>
                      <w:spacing w:val="7"/>
                      <w:sz w:val="21"/>
                      <w:szCs w:val="21"/>
                      <w:highlight w:val="none"/>
                      <w:lang w:eastAsia="zh-CN"/>
                      <w14:textFill>
                        <w14:solidFill>
                          <w14:schemeClr w14:val="tx1"/>
                        </w14:solidFill>
                      </w14:textFill>
                    </w:rPr>
                    <w:t>颗粒物</w:t>
                  </w:r>
                </w:p>
              </w:tc>
            </w:tr>
            <w:tr w14:paraId="32E95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539" w:type="pct"/>
                  <w:vAlign w:val="center"/>
                </w:tcPr>
                <w:p w14:paraId="02C1D18A">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7"/>
                      <w:sz w:val="21"/>
                      <w:szCs w:val="21"/>
                      <w:highlight w:val="none"/>
                      <w:lang w:eastAsia="zh-CN"/>
                      <w14:textFill>
                        <w14:solidFill>
                          <w14:schemeClr w14:val="tx1"/>
                        </w14:solidFill>
                      </w14:textFill>
                    </w:rPr>
                    <w:t>产污系数</w:t>
                  </w:r>
                </w:p>
              </w:tc>
              <w:tc>
                <w:tcPr>
                  <w:tcW w:w="1010" w:type="pct"/>
                  <w:vAlign w:val="center"/>
                </w:tcPr>
                <w:p w14:paraId="609043A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z w:val="21"/>
                      <w:szCs w:val="21"/>
                      <w:highlight w:val="none"/>
                      <w:lang w:eastAsia="zh-CN"/>
                      <w14:textFill>
                        <w14:solidFill>
                          <w14:schemeClr w14:val="tx1"/>
                        </w14:solidFill>
                      </w14:textFill>
                    </w:rPr>
                    <w:t>/</w:t>
                  </w:r>
                </w:p>
              </w:tc>
              <w:tc>
                <w:tcPr>
                  <w:tcW w:w="1207" w:type="pct"/>
                  <w:vAlign w:val="center"/>
                </w:tcPr>
                <w:p w14:paraId="1980DB3B">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eastAsia="Times New Roman" w:cs="Times New Roman"/>
                      <w:color w:val="000000" w:themeColor="text1"/>
                      <w:spacing w:val="6"/>
                      <w:sz w:val="21"/>
                      <w:szCs w:val="21"/>
                      <w:highlight w:val="none"/>
                      <w:lang w:eastAsia="zh-CN"/>
                      <w14:textFill>
                        <w14:solidFill>
                          <w14:schemeClr w14:val="tx1"/>
                        </w14:solidFill>
                      </w14:textFill>
                    </w:rPr>
                    <w:t>9.36</w:t>
                  </w:r>
                  <w:r>
                    <w:rPr>
                      <w:rFonts w:ascii="Times New Roman" w:hAnsi="Times New Roman" w:eastAsia="Times New Roman" w:cs="Times New Roman"/>
                      <w:color w:val="000000" w:themeColor="text1"/>
                      <w:sz w:val="21"/>
                      <w:szCs w:val="21"/>
                      <w:highlight w:val="none"/>
                      <w:lang w:eastAsia="zh-CN"/>
                      <w14:textFill>
                        <w14:solidFill>
                          <w14:schemeClr w14:val="tx1"/>
                        </w14:solidFill>
                      </w14:textFill>
                    </w:rPr>
                    <w:t>kg</w:t>
                  </w:r>
                  <w:r>
                    <w:rPr>
                      <w:rFonts w:ascii="Times New Roman" w:hAnsi="Times New Roman" w:eastAsia="Times New Roman" w:cs="Times New Roman"/>
                      <w:color w:val="000000" w:themeColor="text1"/>
                      <w:spacing w:val="6"/>
                      <w:sz w:val="21"/>
                      <w:szCs w:val="21"/>
                      <w:highlight w:val="none"/>
                      <w:lang w:eastAsia="zh-CN"/>
                      <w14:textFill>
                        <w14:solidFill>
                          <w14:schemeClr w14:val="tx1"/>
                        </w14:solidFill>
                      </w14:textFill>
                    </w:rPr>
                    <w:t>/</w:t>
                  </w:r>
                  <w:r>
                    <w:rPr>
                      <w:rFonts w:ascii="Times New Roman" w:hAnsi="Times New Roman" w:cs="Times New Roman"/>
                      <w:color w:val="000000" w:themeColor="text1"/>
                      <w:spacing w:val="6"/>
                      <w:sz w:val="21"/>
                      <w:szCs w:val="21"/>
                      <w:highlight w:val="none"/>
                      <w:lang w:eastAsia="zh-CN"/>
                      <w14:textFill>
                        <w14:solidFill>
                          <w14:schemeClr w14:val="tx1"/>
                        </w14:solidFill>
                      </w14:textFill>
                    </w:rPr>
                    <w:t>万</w:t>
                  </w:r>
                  <w:r>
                    <w:rPr>
                      <w:rFonts w:ascii="Times New Roman" w:hAnsi="Times New Roman" w:cs="Times New Roman"/>
                      <w:color w:val="000000" w:themeColor="text1"/>
                      <w:sz w:val="24"/>
                      <w:szCs w:val="24"/>
                      <w:highlight w:val="none"/>
                      <w:lang w:eastAsia="zh-CN"/>
                      <w14:textFill>
                        <w14:solidFill>
                          <w14:schemeClr w14:val="tx1"/>
                        </w14:solidFill>
                      </w14:textFill>
                    </w:rPr>
                    <w:t>m</w:t>
                  </w:r>
                  <w:r>
                    <w:rPr>
                      <w:rFonts w:ascii="Times New Roman" w:hAnsi="Times New Roman" w:cs="Times New Roman"/>
                      <w:color w:val="000000" w:themeColor="text1"/>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6"/>
                      <w:sz w:val="21"/>
                      <w:szCs w:val="21"/>
                      <w:highlight w:val="none"/>
                      <w:lang w:eastAsia="zh-CN"/>
                      <w14:textFill>
                        <w14:solidFill>
                          <w14:schemeClr w14:val="tx1"/>
                        </w14:solidFill>
                      </w14:textFill>
                    </w:rPr>
                    <w:t>伴生气</w:t>
                  </w:r>
                </w:p>
              </w:tc>
              <w:tc>
                <w:tcPr>
                  <w:tcW w:w="1242" w:type="pct"/>
                  <w:tcBorders>
                    <w:right w:val="single" w:color="000000" w:sz="4" w:space="0"/>
                  </w:tcBorders>
                  <w:vAlign w:val="center"/>
                </w:tcPr>
                <w:p w14:paraId="7F672452">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eastAsia="Times New Roman" w:cs="Times New Roman"/>
                      <w:color w:val="000000" w:themeColor="text1"/>
                      <w:spacing w:val="5"/>
                      <w:sz w:val="21"/>
                      <w:szCs w:val="21"/>
                      <w:highlight w:val="none"/>
                      <w:lang w:eastAsia="zh-CN"/>
                      <w14:textFill>
                        <w14:solidFill>
                          <w14:schemeClr w14:val="tx1"/>
                        </w14:solidFill>
                      </w14:textFill>
                    </w:rPr>
                    <w:t>1.2</w:t>
                  </w:r>
                  <w:r>
                    <w:rPr>
                      <w:rFonts w:ascii="Times New Roman" w:hAnsi="Times New Roman" w:eastAsia="Times New Roman" w:cs="Times New Roman"/>
                      <w:color w:val="000000" w:themeColor="text1"/>
                      <w:sz w:val="21"/>
                      <w:szCs w:val="21"/>
                      <w:highlight w:val="none"/>
                      <w:lang w:eastAsia="zh-CN"/>
                      <w14:textFill>
                        <w14:solidFill>
                          <w14:schemeClr w14:val="tx1"/>
                        </w14:solidFill>
                      </w14:textFill>
                    </w:rPr>
                    <w:t>kg</w:t>
                  </w:r>
                  <w:r>
                    <w:rPr>
                      <w:rFonts w:ascii="Times New Roman" w:hAnsi="Times New Roman" w:eastAsia="Times New Roman" w:cs="Times New Roman"/>
                      <w:color w:val="000000" w:themeColor="text1"/>
                      <w:spacing w:val="5"/>
                      <w:sz w:val="21"/>
                      <w:szCs w:val="21"/>
                      <w:highlight w:val="none"/>
                      <w:lang w:eastAsia="zh-CN"/>
                      <w14:textFill>
                        <w14:solidFill>
                          <w14:schemeClr w14:val="tx1"/>
                        </w14:solidFill>
                      </w14:textFill>
                    </w:rPr>
                    <w:t>/</w:t>
                  </w:r>
                  <w:r>
                    <w:rPr>
                      <w:rFonts w:ascii="Times New Roman" w:hAnsi="Times New Roman" w:cs="Times New Roman"/>
                      <w:color w:val="000000" w:themeColor="text1"/>
                      <w:spacing w:val="5"/>
                      <w:sz w:val="21"/>
                      <w:szCs w:val="21"/>
                      <w:highlight w:val="none"/>
                      <w:lang w:eastAsia="zh-CN"/>
                      <w14:textFill>
                        <w14:solidFill>
                          <w14:schemeClr w14:val="tx1"/>
                        </w14:solidFill>
                      </w14:textFill>
                    </w:rPr>
                    <w:t>万</w:t>
                  </w:r>
                  <w:r>
                    <w:rPr>
                      <w:rFonts w:ascii="Times New Roman" w:hAnsi="Times New Roman" w:cs="Times New Roman"/>
                      <w:color w:val="000000" w:themeColor="text1"/>
                      <w:sz w:val="24"/>
                      <w:szCs w:val="24"/>
                      <w:highlight w:val="none"/>
                      <w:lang w:eastAsia="zh-CN"/>
                      <w14:textFill>
                        <w14:solidFill>
                          <w14:schemeClr w14:val="tx1"/>
                        </w14:solidFill>
                      </w14:textFill>
                    </w:rPr>
                    <w:t>m</w:t>
                  </w:r>
                  <w:r>
                    <w:rPr>
                      <w:rFonts w:ascii="Times New Roman" w:hAnsi="Times New Roman" w:cs="Times New Roman"/>
                      <w:color w:val="000000" w:themeColor="text1"/>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5"/>
                      <w:sz w:val="21"/>
                      <w:szCs w:val="21"/>
                      <w:highlight w:val="none"/>
                      <w:lang w:eastAsia="zh-CN"/>
                      <w14:textFill>
                        <w14:solidFill>
                          <w14:schemeClr w14:val="tx1"/>
                        </w14:solidFill>
                      </w14:textFill>
                    </w:rPr>
                    <w:t>伴生气</w:t>
                  </w:r>
                </w:p>
              </w:tc>
            </w:tr>
            <w:tr w14:paraId="5EE6E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539" w:type="pct"/>
                  <w:vAlign w:val="center"/>
                </w:tcPr>
                <w:p w14:paraId="3DFB68B1">
                  <w:pPr>
                    <w:pStyle w:val="22"/>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7"/>
                      <w:sz w:val="21"/>
                      <w:szCs w:val="21"/>
                      <w:highlight w:val="none"/>
                      <w:lang w:eastAsia="zh-CN"/>
                      <w14:textFill>
                        <w14:solidFill>
                          <w14:schemeClr w14:val="tx1"/>
                        </w14:solidFill>
                      </w14:textFill>
                    </w:rPr>
                    <w:t>大气污染物排放量</w:t>
                  </w:r>
                </w:p>
              </w:tc>
              <w:tc>
                <w:tcPr>
                  <w:tcW w:w="1010" w:type="pct"/>
                  <w:vAlign w:val="center"/>
                </w:tcPr>
                <w:p w14:paraId="70EC313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spacing w:val="2"/>
                      <w:highlight w:val="none"/>
                      <w:lang w:eastAsia="zh-CN"/>
                      <w14:textFill>
                        <w14:solidFill>
                          <w14:schemeClr w14:val="tx1"/>
                        </w14:solidFill>
                      </w14:textFill>
                    </w:rPr>
                    <w:t>7.5×2</w:t>
                  </w:r>
                  <w:r>
                    <w:rPr>
                      <w:rFonts w:hint="eastAsia" w:ascii="Times New Roman" w:hAnsi="Times New Roman" w:eastAsia="宋体" w:cs="Times New Roman"/>
                      <w:color w:val="000000" w:themeColor="text1"/>
                      <w:spacing w:val="2"/>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m</w:t>
                  </w:r>
                  <w:r>
                    <w:rPr>
                      <w:rFonts w:ascii="Times New Roman" w:hAnsi="Times New Roman" w:eastAsia="宋体" w:cs="Times New Roman"/>
                      <w:color w:val="000000" w:themeColor="text1"/>
                      <w:highlight w:val="none"/>
                      <w:vertAlign w:val="superscript"/>
                      <w:lang w:eastAsia="zh-CN"/>
                      <w14:textFill>
                        <w14:solidFill>
                          <w14:schemeClr w14:val="tx1"/>
                        </w14:solidFill>
                      </w14:textFill>
                    </w:rPr>
                    <w:t>3</w:t>
                  </w:r>
                  <w:r>
                    <w:rPr>
                      <w:rFonts w:hint="eastAsia" w:ascii="Times New Roman" w:hAnsi="Times New Roman" w:eastAsia="宋体" w:cs="Times New Roman"/>
                      <w:color w:val="000000" w:themeColor="text1"/>
                      <w:highlight w:val="none"/>
                      <w:vertAlign w:val="superscript"/>
                      <w:lang w:eastAsia="zh-CN"/>
                      <w14:textFill>
                        <w14:solidFill>
                          <w14:schemeClr w14:val="tx1"/>
                        </w14:solidFill>
                      </w14:textFill>
                    </w:rPr>
                    <w:t>)</w:t>
                  </w:r>
                </w:p>
              </w:tc>
              <w:tc>
                <w:tcPr>
                  <w:tcW w:w="1207" w:type="pct"/>
                  <w:vAlign w:val="center"/>
                </w:tcPr>
                <w:p w14:paraId="30288F1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spacing w:val="3"/>
                      <w:highlight w:val="none"/>
                      <w:lang w:eastAsia="zh-CN"/>
                      <w14:textFill>
                        <w14:solidFill>
                          <w14:schemeClr w14:val="tx1"/>
                        </w14:solidFill>
                      </w14:textFill>
                    </w:rPr>
                    <w:t>0.014</w:t>
                  </w:r>
                  <w:r>
                    <w:rPr>
                      <w:rFonts w:hint="eastAsia" w:ascii="Times New Roman" w:hAnsi="Times New Roman" w:eastAsia="宋体" w:cs="Times New Roman"/>
                      <w:color w:val="000000" w:themeColor="text1"/>
                      <w:spacing w:val="3"/>
                      <w:highlight w:val="none"/>
                      <w:lang w:eastAsia="zh-CN"/>
                      <w14:textFill>
                        <w14:solidFill>
                          <w14:schemeClr w14:val="tx1"/>
                        </w14:solidFill>
                      </w14:textFill>
                    </w:rPr>
                    <w:t>(</w:t>
                  </w:r>
                  <w:r>
                    <w:rPr>
                      <w:rFonts w:ascii="Times New Roman" w:hAnsi="Times New Roman" w:eastAsia="Times New Roman" w:cs="Times New Roman"/>
                      <w:color w:val="000000" w:themeColor="text1"/>
                      <w:highlight w:val="none"/>
                      <w:lang w:eastAsia="zh-CN"/>
                      <w14:textFill>
                        <w14:solidFill>
                          <w14:schemeClr w14:val="tx1"/>
                        </w14:solidFill>
                      </w14:textFill>
                    </w:rPr>
                    <w:t>kg</w:t>
                  </w:r>
                  <w:r>
                    <w:rPr>
                      <w:rFonts w:hint="eastAsia" w:ascii="Times New Roman" w:hAnsi="Times New Roman" w:eastAsia="Times New Roman" w:cs="Times New Roman"/>
                      <w:color w:val="000000" w:themeColor="text1"/>
                      <w:highlight w:val="none"/>
                      <w:lang w:eastAsia="zh-CN"/>
                      <w14:textFill>
                        <w14:solidFill>
                          <w14:schemeClr w14:val="tx1"/>
                        </w14:solidFill>
                      </w14:textFill>
                    </w:rPr>
                    <w:t>)</w:t>
                  </w:r>
                </w:p>
              </w:tc>
              <w:tc>
                <w:tcPr>
                  <w:tcW w:w="1242" w:type="pct"/>
                  <w:tcBorders>
                    <w:right w:val="single" w:color="000000" w:sz="4" w:space="0"/>
                  </w:tcBorders>
                  <w:vAlign w:val="center"/>
                </w:tcPr>
                <w:p w14:paraId="1F06B1F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spacing w:val="2"/>
                      <w:highlight w:val="none"/>
                      <w:lang w:eastAsia="zh-CN"/>
                      <w14:textFill>
                        <w14:solidFill>
                          <w14:schemeClr w14:val="tx1"/>
                        </w14:solidFill>
                      </w14:textFill>
                    </w:rPr>
                    <w:t>0.0018</w:t>
                  </w:r>
                  <w:r>
                    <w:rPr>
                      <w:rFonts w:hint="eastAsia" w:ascii="Times New Roman" w:hAnsi="Times New Roman" w:eastAsia="宋体" w:cs="Times New Roman"/>
                      <w:color w:val="000000" w:themeColor="text1"/>
                      <w:spacing w:val="2"/>
                      <w:highlight w:val="none"/>
                      <w:lang w:eastAsia="zh-CN"/>
                      <w14:textFill>
                        <w14:solidFill>
                          <w14:schemeClr w14:val="tx1"/>
                        </w14:solidFill>
                      </w14:textFill>
                    </w:rPr>
                    <w:t>(</w:t>
                  </w:r>
                  <w:r>
                    <w:rPr>
                      <w:rFonts w:ascii="Times New Roman" w:hAnsi="Times New Roman" w:eastAsia="Times New Roman" w:cs="Times New Roman"/>
                      <w:color w:val="000000" w:themeColor="text1"/>
                      <w:highlight w:val="none"/>
                      <w:lang w:eastAsia="zh-CN"/>
                      <w14:textFill>
                        <w14:solidFill>
                          <w14:schemeClr w14:val="tx1"/>
                        </w14:solidFill>
                      </w14:textFill>
                    </w:rPr>
                    <w:t>kg</w:t>
                  </w:r>
                  <w:r>
                    <w:rPr>
                      <w:rFonts w:hint="eastAsia" w:ascii="Times New Roman" w:hAnsi="Times New Roman" w:eastAsia="Times New Roman" w:cs="Times New Roman"/>
                      <w:color w:val="000000" w:themeColor="text1"/>
                      <w:highlight w:val="none"/>
                      <w:lang w:eastAsia="zh-CN"/>
                      <w14:textFill>
                        <w14:solidFill>
                          <w14:schemeClr w14:val="tx1"/>
                        </w14:solidFill>
                      </w14:textFill>
                    </w:rPr>
                    <w:t>)</w:t>
                  </w:r>
                </w:p>
              </w:tc>
            </w:tr>
          </w:tbl>
          <w:p w14:paraId="7D917E36">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left="0" w:right="0" w:firstLine="482"/>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根据表4-3，整个试油周期燃放产生氮氧化物0.014kg，产生颗粒物0.0018kg；根据周边探井试油情况推断，本项目伴生气产生量较少，符合《陆上石油天然气开采工业大气污染物排放标准》（GB 39728—2020）中规定的其他排放控制要求。由于伴生气放空燃烧属短期排放且产生量较少，因此伴生气燃烧废气对环境的影响可以接受。</w:t>
            </w:r>
          </w:p>
          <w:p w14:paraId="51A3DDD2">
            <w:pPr>
              <w:keepNext w:val="0"/>
              <w:keepLines w:val="0"/>
              <w:pageBreakBefore w:val="0"/>
              <w:widowControl w:val="0"/>
              <w:kinsoku/>
              <w:wordWrap/>
              <w:overflowPunct/>
              <w:topLinePunct w:val="0"/>
              <w:bidi w:val="0"/>
              <w:adjustRightInd w:val="0"/>
              <w:snapToGrid w:val="0"/>
              <w:spacing w:line="360" w:lineRule="auto"/>
              <w:ind w:left="0" w:right="0" w:firstLine="48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）采出液储存及装车过程的无组织废气</w:t>
            </w:r>
          </w:p>
          <w:p w14:paraId="1681930A">
            <w:pPr>
              <w:keepNext w:val="0"/>
              <w:keepLines w:val="0"/>
              <w:pageBreakBefore w:val="0"/>
              <w:widowControl w:val="0"/>
              <w:kinsoku/>
              <w:wordWrap/>
              <w:overflowPunct/>
              <w:topLinePunct w:val="0"/>
              <w:bidi w:val="0"/>
              <w:adjustRightInd w:val="0"/>
              <w:snapToGrid w:val="0"/>
              <w:spacing w:line="360" w:lineRule="auto"/>
              <w:ind w:left="0" w:right="0" w:firstLine="48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试油期产生的采出液暂存于地面储罐，由罐车定期拉运至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吉康</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脱水站处理，采出液在储存及装车过程中会产生无组织挥发烃类（以非甲烷总烃计）和硫化氢。本项目主要为探明区域油藏含油气性及规模，试油过程不确定性大，试油阶段采出液产生情况无法确定，且采出液装载仅在试油期进行，随试油期结束而停止产生；项目周边地域空旷、扩散条件良好；试油期采出液储存及装车过程产生的无组织非甲烷总烃应符合《陆上石油天然气开采工业大气污染物排放标准》（GB39728-2020）中相关标准限值要求，硫化氢排放浓度应满足《恶臭污染物排放标准》（GB14554-93）表1二级新改扩建浓度要求，不会对区域环境产生较大影响。</w:t>
            </w:r>
          </w:p>
          <w:p w14:paraId="03F2A0A2">
            <w:pPr>
              <w:keepNext w:val="0"/>
              <w:keepLines w:val="0"/>
              <w:pageBreakBefore w:val="0"/>
              <w:widowControl w:val="0"/>
              <w:kinsoku/>
              <w:wordWrap/>
              <w:overflowPunct/>
              <w:topLinePunct w:val="0"/>
              <w:bidi w:val="0"/>
              <w:adjustRightInd w:val="0"/>
              <w:snapToGrid w:val="0"/>
              <w:spacing w:line="360" w:lineRule="auto"/>
              <w:ind w:left="0" w:right="0" w:firstLine="48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）柴油卸车及储存无组织废气</w:t>
            </w:r>
          </w:p>
          <w:p w14:paraId="0E090A99">
            <w:pPr>
              <w:keepNext w:val="0"/>
              <w:keepLines w:val="0"/>
              <w:pageBreakBefore w:val="0"/>
              <w:widowControl w:val="0"/>
              <w:kinsoku/>
              <w:wordWrap/>
              <w:overflowPunct/>
              <w:topLinePunct w:val="0"/>
              <w:bidi w:val="0"/>
              <w:adjustRightInd w:val="0"/>
              <w:snapToGrid w:val="0"/>
              <w:spacing w:line="360" w:lineRule="auto"/>
              <w:ind w:left="0" w:right="0" w:firstLine="48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井场设1座柴油罐，为固定顶罐，外购柴油由罐车拉运至井场后暂存于储罐内，最大贮存量约20t。柴油卸车及临时贮存时会产生一定的无组织挥发性废气，由于柴油周转量较小，真实蒸气压较低，挥发性低，由柴油卸车及储罐临时储存产生的挥发性废气量较小，不会对周围大气环境产生明显不利影响。对比新疆油田其他类似钻井井场，井场场界外非甲烷总烃的浓度应低于《陆上石油天然气开采工业大气污染物排放标准》（GB39728-2020）周界外无组织排放浓度限值4.0mg/m</w:t>
            </w:r>
            <w:r>
              <w:rPr>
                <w:rFonts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的要求。</w:t>
            </w:r>
          </w:p>
          <w:p w14:paraId="0BE83559">
            <w:pPr>
              <w:keepNext w:val="0"/>
              <w:keepLines w:val="0"/>
              <w:pageBreakBefore w:val="0"/>
              <w:widowControl w:val="0"/>
              <w:kinsoku/>
              <w:wordWrap/>
              <w:overflowPunct/>
              <w:topLinePunct w:val="0"/>
              <w:bidi w:val="0"/>
              <w:adjustRightInd w:val="0"/>
              <w:snapToGrid w:val="0"/>
              <w:spacing w:line="360" w:lineRule="auto"/>
              <w:ind w:left="0" w:right="0" w:firstLine="48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）钻井岩屑暂存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w:t>
            </w:r>
          </w:p>
          <w:p w14:paraId="732CE164">
            <w:pPr>
              <w:keepNext w:val="0"/>
              <w:keepLines w:val="0"/>
              <w:pageBreakBefore w:val="0"/>
              <w:widowControl w:val="0"/>
              <w:kinsoku/>
              <w:wordWrap/>
              <w:overflowPunct/>
              <w:topLinePunct w:val="0"/>
              <w:bidi w:val="0"/>
              <w:adjustRightInd w:val="0"/>
              <w:snapToGrid w:val="0"/>
              <w:spacing w:line="360" w:lineRule="auto"/>
              <w:ind w:left="0" w:right="0" w:firstLine="48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本项目钻井过程中产生的水基钻井岩屑在井场设置的岩屑罐中暂存，采取防渗、防雨及封闭措施。根据设计资料，岩屑含水率较高，整体产量有限，水基岩屑粒径细、湿度大，自然扬尘能力弱。</w:t>
            </w:r>
          </w:p>
          <w:p w14:paraId="66535FC9">
            <w:pPr>
              <w:keepNext w:val="0"/>
              <w:keepLines w:val="0"/>
              <w:pageBreakBefore w:val="0"/>
              <w:widowControl w:val="0"/>
              <w:kinsoku/>
              <w:wordWrap/>
              <w:overflowPunct/>
              <w:topLinePunct w:val="0"/>
              <w:bidi w:val="0"/>
              <w:adjustRightInd w:val="0"/>
              <w:snapToGrid w:val="0"/>
              <w:spacing w:line="360" w:lineRule="auto"/>
              <w:ind w:left="0" w:right="0" w:firstLine="48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钻井过程中产生的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油基岩屑</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在井场设置的岩屑罐中暂存，采取防渗、防雨及封闭措施。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油基岩屑会会发出少量的有机废气，产生量较小，对周围环境空气影响较小。</w:t>
            </w:r>
          </w:p>
          <w:p w14:paraId="278E94A9">
            <w:pPr>
              <w:keepNext w:val="0"/>
              <w:keepLines w:val="0"/>
              <w:pageBreakBefore w:val="0"/>
              <w:widowControl w:val="0"/>
              <w:kinsoku/>
              <w:wordWrap/>
              <w:overflowPunct/>
              <w:topLinePunct w:val="0"/>
              <w:bidi w:val="0"/>
              <w:adjustRightInd w:val="0"/>
              <w:snapToGrid w:val="0"/>
              <w:spacing w:line="360" w:lineRule="auto"/>
              <w:ind w:left="0" w:right="0" w:firstLine="48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各井场在岩屑暂存过程中配套实施洒水、加盖、密闭转运等抑尘措施，并确保及时清运至指定处置单位处理。因此，钻井岩屑暂存期间的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产生量较小，作用时间短、空间影响范围有限。整体来看，钻井岩屑暂存对项目周边大气环境的影响较轻微，不会造成明显不利影响。</w:t>
            </w:r>
          </w:p>
          <w:p w14:paraId="23E9EDCA">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）试油过程中伴生气中可能含有少量的硫化氢</w:t>
            </w:r>
          </w:p>
          <w:p w14:paraId="6054226B">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项目为油气矿产资源勘查，不确定油气藏中是否含硫化氢，按不利因素考虑，在试油过程中伴生气中可能含有少量的硫化氢，试油过程中可能通过阀门、法兰等连接件有少量的硫化氢逸散，井场配备有硫化氢监测仪，试油过程中伴生气主要通过排气管线燃烧放空，项目周围无大气环境保护目标，且地域空旷、扩散条件较好，不会对周围环境产生不利影响。</w:t>
            </w:r>
          </w:p>
          <w:p w14:paraId="16B93A04">
            <w:pPr>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）锅炉废气影响</w:t>
            </w:r>
          </w:p>
          <w:p w14:paraId="44C7ADB4">
            <w:pPr>
              <w:widowControl w:val="0"/>
              <w:kinsoku/>
              <w:spacing w:line="360" w:lineRule="auto"/>
              <w:ind w:firstLine="480" w:firstLineChars="20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本项目生产过程中产生的废气主要有锅炉废气、锅炉清灰粉尘及贮存粉尘等，根据建设单位提供资料，锅炉将使用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适当</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废气治理措施</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，保证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治理</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效果，锅炉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排放浓度可满足《锅炉大气污染物排放标准》（GB13271-2014）中表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气</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锅炉排放限值。具体排放量如下：</w:t>
            </w:r>
          </w:p>
          <w:p w14:paraId="6EE075BC">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锅炉拟采用生物质成型燃料为燃料，平均低位发热值16.11MJ/kg，根据建设单位提供资料2.5t/h的生物质锅炉每天使用燃料7.5t/d，按最不利情况下锅炉运行60d计算，共需使用燃料450t。</w:t>
            </w:r>
          </w:p>
          <w:p w14:paraId="1A8053DC">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lang w:eastAsia="zh-CN" w:bidi="ar"/>
                <w14:textFill>
                  <w14:solidFill>
                    <w14:schemeClr w14:val="tx1"/>
                  </w14:solidFill>
                </w14:textFill>
              </w:rPr>
              <w:t>标干烟气量：</w:t>
            </w:r>
          </w:p>
          <w:p w14:paraId="22B55823">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t>根据《排污许可证申请与核发技术规范  锅炉》（HJ953-2018），固体燃料燃烧所需的烟气量采用下式进行计算：</w:t>
            </w:r>
          </w:p>
          <w:p w14:paraId="1AA11088">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t>Vgy=0.393Qnet,ar+0.876（Qnet,ar≥12.54MJ/kg，Vdaf≥15%）</w:t>
            </w:r>
          </w:p>
          <w:p w14:paraId="1E402423">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lang w:eastAsia="zh-CN" w:bidi="ar"/>
                <w14:textFill>
                  <w14:solidFill>
                    <w14:schemeClr w14:val="tx1"/>
                  </w14:solidFill>
                </w14:textFill>
              </w:rPr>
              <w:t>式中：Vgy—基准烟气量</w:t>
            </w: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，（标m</w:t>
            </w:r>
            <w:r>
              <w:rPr>
                <w:rFonts w:hint="default" w:ascii="Times New Roman" w:hAnsi="Times New Roman" w:eastAsia="宋体" w:cs="Times New Roman"/>
                <w:snapToGrid/>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/kg）</w:t>
            </w:r>
          </w:p>
          <w:p w14:paraId="7D7DF4DB">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Qnet,ar—燃料的低位发热值，MJ/kg，拟建项目燃料热值16.11MJ/kg；</w:t>
            </w:r>
          </w:p>
          <w:p w14:paraId="3BF9322A">
            <w:pPr>
              <w:widowControl/>
              <w:kinsoku/>
              <w:autoSpaceDE/>
              <w:autoSpaceDN/>
              <w:spacing w:line="360" w:lineRule="auto"/>
              <w:ind w:firstLine="480" w:firstLineChars="200"/>
              <w:jc w:val="both"/>
              <w:textAlignment w:val="auto"/>
              <w:rPr>
                <w:rFonts w:hint="default" w:ascii="Times New Roman" w:hAnsi="Times New Roman" w:eastAsia="宋体" w:cs="Times New Roman"/>
                <w:snapToGrid/>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根据上面计算得出2.5t/h的生物质锅炉的烟气量产生系数为7.20723Nm</w:t>
            </w:r>
            <w:r>
              <w:rPr>
                <w:rFonts w:hint="default" w:ascii="Times New Roman" w:hAnsi="Times New Roman" w:eastAsia="宋体" w:cs="Times New Roman"/>
                <w:snapToGrid/>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/kg－燃料。则2.5t/h的锅炉废气产生量为3243253.5Nm</w:t>
            </w:r>
            <w:r>
              <w:rPr>
                <w:rFonts w:hint="default" w:ascii="Times New Roman" w:hAnsi="Times New Roman" w:eastAsia="宋体" w:cs="Times New Roman"/>
                <w:snapToGrid/>
                <w:color w:val="000000" w:themeColor="text1"/>
                <w:sz w:val="24"/>
                <w:szCs w:val="24"/>
                <w:highlight w:val="none"/>
                <w:vertAlign w:val="superscript"/>
                <w:lang w:eastAsia="zh-CN" w:bidi="ar"/>
                <w14:textFill>
                  <w14:solidFill>
                    <w14:schemeClr w14:val="tx1"/>
                  </w14:solidFill>
                </w14:textFill>
              </w:rPr>
              <w:t>3</w:t>
            </w:r>
            <w:r>
              <w:rPr>
                <w:rFonts w:hint="default" w:ascii="Times New Roman" w:hAnsi="Times New Roman" w:eastAsia="宋体" w:cs="Times New Roman"/>
                <w:snapToGrid/>
                <w:color w:val="000000" w:themeColor="text1"/>
                <w:sz w:val="24"/>
                <w:szCs w:val="24"/>
                <w:highlight w:val="none"/>
                <w:lang w:eastAsia="zh-CN" w:bidi="ar"/>
                <w14:textFill>
                  <w14:solidFill>
                    <w14:schemeClr w14:val="tx1"/>
                  </w14:solidFill>
                </w14:textFill>
              </w:rPr>
              <w:t>。</w:t>
            </w:r>
          </w:p>
          <w:p w14:paraId="2EEC46F4">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颗粒物排放量：</w:t>
            </w:r>
          </w:p>
          <w:p w14:paraId="65058DB6">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参考《排放源统计调查产排污核算方法和系数手册》中4430工业锅炉（热力供应）行业系数手册，生物质锅炉颗粒物产污系数为</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37.6</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千克/吨-原料，则本项目锅炉颗粒物产生量为</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16.92</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t/a，采用</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水幕预除尘+</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耐高温布袋除尘器，</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水幕预除尘效率按87%计，</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除尘效率按 99.7% 计，则本项目颗粒物排放量为</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0.0066</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t/a</w:t>
            </w: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单台锅炉颗粒物排放浓度为2.03mg/Nm</w:t>
            </w:r>
            <w:r>
              <w:rPr>
                <w:rFonts w:hint="eastAsia" w:ascii="Times New Roman" w:hAnsi="Times New Roman" w:eastAsia="宋体" w:cs="Times New Roman"/>
                <w:snapToGrid/>
                <w:color w:val="000000" w:themeColor="text1"/>
                <w:kern w:val="2"/>
                <w:sz w:val="24"/>
                <w:szCs w:val="24"/>
                <w:highlight w:val="none"/>
                <w:vertAlign w:val="superscript"/>
                <w:lang w:val="en-US" w:eastAsia="zh-CN"/>
                <w14:textFill>
                  <w14:solidFill>
                    <w14:schemeClr w14:val="tx1"/>
                  </w14:solidFill>
                </w14:textFill>
              </w:rPr>
              <w:t>3</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p>
          <w:p w14:paraId="73C570AC">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二氧化硫排放量：</w:t>
            </w:r>
          </w:p>
          <w:p w14:paraId="394F1309">
            <w:pPr>
              <w:widowControl w:val="0"/>
              <w:kinsoku/>
              <w:autoSpaceDE/>
              <w:autoSpaceDN/>
              <w:spacing w:line="360" w:lineRule="auto"/>
              <w:ind w:firstLine="480" w:firstLineChars="200"/>
              <w:jc w:val="both"/>
              <w:textAlignment w:val="auto"/>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参考《排放源统计调查产排污核算方法和系数手册》中4430工业锅炉（热力供应）行业系数手册，生物质锅炉二氧化硫产污系数为17S</w:t>
            </w:r>
            <w:r>
              <w:rPr>
                <w:rFonts w:ascii="Cambria Math" w:hAnsi="Cambria Math" w:eastAsia="宋体" w:cs="Cambria Math"/>
                <w:snapToGrid/>
                <w:color w:val="000000" w:themeColor="text1"/>
                <w:kern w:val="2"/>
                <w:sz w:val="24"/>
                <w:szCs w:val="24"/>
                <w:highlight w:val="none"/>
                <w:vertAlign w:val="superscript"/>
                <w:lang w:eastAsia="zh-CN"/>
                <w14:textFill>
                  <w14:solidFill>
                    <w14:schemeClr w14:val="tx1"/>
                  </w14:solidFill>
                </w14:textFill>
              </w:rPr>
              <w:t>①</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千克/吨-原料（根据组分报告本项目取0.022），则本项目锅炉二氧化硫产生量为0.</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169</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t/a，</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参考燃煤锅炉使用湿法除尘对二氧化硫的去除效率为15%，本项目使用水幕除尘器对颗粒物进行除尘，则本项目二氧化硫的排放量为0.143</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t/a</w:t>
            </w:r>
            <w:r>
              <w:rPr>
                <w:rFonts w:hint="eastAsia"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单台锅炉</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二氧化硫</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排放浓度为44.1mg/Nm</w:t>
            </w:r>
            <w:r>
              <w:rPr>
                <w:rFonts w:hint="eastAsia" w:ascii="Times New Roman" w:hAnsi="Times New Roman" w:eastAsia="宋体" w:cs="Times New Roman"/>
                <w:snapToGrid/>
                <w:color w:val="000000" w:themeColor="text1"/>
                <w:kern w:val="2"/>
                <w:sz w:val="24"/>
                <w:szCs w:val="24"/>
                <w:highlight w:val="none"/>
                <w:vertAlign w:val="superscript"/>
                <w:lang w:val="en-US" w:eastAsia="zh-CN"/>
                <w14:textFill>
                  <w14:solidFill>
                    <w14:schemeClr w14:val="tx1"/>
                  </w14:solidFill>
                </w14:textFill>
              </w:rPr>
              <w:t>3</w:t>
            </w:r>
            <w:r>
              <w:rPr>
                <w:rFonts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p>
          <w:p w14:paraId="2997092A">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氮氧化物的排放量：</w:t>
            </w:r>
          </w:p>
          <w:p w14:paraId="3F2E5D24">
            <w:pPr>
              <w:pStyle w:val="20"/>
              <w:widowControl w:val="0"/>
              <w:spacing w:line="360" w:lineRule="auto"/>
              <w:jc w:val="both"/>
              <w:rPr>
                <w:rFonts w:hint="default"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参考《排放源统计调查产排污核算方法和系数手册》中4430工业锅炉（热力供应）行业系数手册，生物质锅炉NOx产污系数为1.02kg/t-原料，则本项目锅炉氮氧化物锅炉氮氧化物产生量为0.459t/a，本项目锅炉采用低氮燃烧技术（风配优化、分级燃烧），通过一次风控制炉排燃烧温度，二次风作为还原性风源进入，在炉膛内形成分段空气供应。这一工艺能有效降低燃烧中心温度，抑制“热力型”NOx的生成，同时在还原性气氛中抑制燃料氮向“燃料型”NOx 的转化</w:t>
            </w:r>
            <w:r>
              <w:rPr>
                <w:rFonts w:hint="eastAsia"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氮氧化物减排幅度按照30%计，则本项目的氮氧化物排放量为0.3213t</w:t>
            </w:r>
            <w:r>
              <w:rPr>
                <w:rFonts w:hint="default"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/a，</w:t>
            </w: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氮氧化物排放浓度为99.06mg/Nm</w:t>
            </w:r>
            <w:r>
              <w:rPr>
                <w:rFonts w:hint="default" w:ascii="Times New Roman" w:hAnsi="Times New Roman" w:eastAsia="宋体" w:cs="Times New Roman"/>
                <w:snapToGrid/>
                <w:color w:val="000000" w:themeColor="text1"/>
                <w:kern w:val="2"/>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snapToGrid/>
                <w:color w:val="000000" w:themeColor="text1"/>
                <w:kern w:val="2"/>
                <w:sz w:val="24"/>
                <w:szCs w:val="24"/>
                <w:highlight w:val="none"/>
                <w:lang w:eastAsia="zh-CN"/>
                <w14:textFill>
                  <w14:solidFill>
                    <w14:schemeClr w14:val="tx1"/>
                  </w14:solidFill>
                </w14:textFill>
              </w:rPr>
              <w:t>。</w:t>
            </w:r>
          </w:p>
          <w:p w14:paraId="78E86165">
            <w:pPr>
              <w:widowControl/>
              <w:kinsoku/>
              <w:autoSpaceDE/>
              <w:autoSpaceDN/>
              <w:spacing w:line="360" w:lineRule="auto"/>
              <w:ind w:firstLine="482" w:firstLineChars="200"/>
              <w:jc w:val="both"/>
              <w:textAlignment w:val="auto"/>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非正常工况排放说明</w:t>
            </w:r>
            <w:r>
              <w:rPr>
                <w:rFonts w:hint="eastAsia" w:ascii="Times New Roman" w:hAnsi="Times New Roman" w:eastAsia="宋体" w:cs="Times New Roman"/>
                <w:b/>
                <w:bCs/>
                <w:snapToGrid/>
                <w:color w:val="000000" w:themeColor="text1"/>
                <w:sz w:val="24"/>
                <w:szCs w:val="24"/>
                <w:highlight w:val="none"/>
                <w:lang w:eastAsia="zh-CN" w:bidi="ar"/>
                <w14:textFill>
                  <w14:solidFill>
                    <w14:schemeClr w14:val="tx1"/>
                  </w14:solidFill>
                </w14:textFill>
              </w:rPr>
              <w:t>：</w:t>
            </w:r>
          </w:p>
          <w:p w14:paraId="188D965D">
            <w:pPr>
              <w:pStyle w:val="20"/>
              <w:widowControl w:val="0"/>
              <w:spacing w:line="360" w:lineRule="auto"/>
              <w:jc w:val="both"/>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工况特征：在锅炉启动（点火）和停炉阶段，因燃烧不稳定且治污设施未达到最佳温度，颗粒物及不完全燃烧产生的挥发物浓度会短时波动。</w:t>
            </w:r>
          </w:p>
          <w:p w14:paraId="547786CA">
            <w:pPr>
              <w:pStyle w:val="20"/>
              <w:widowControl w:val="0"/>
              <w:spacing w:line="360" w:lineRule="auto"/>
              <w:jc w:val="both"/>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2"/>
                <w:sz w:val="24"/>
                <w:szCs w:val="24"/>
                <w:highlight w:val="none"/>
                <w:lang w:val="en-US" w:eastAsia="zh-CN"/>
                <w14:textFill>
                  <w14:solidFill>
                    <w14:schemeClr w14:val="tx1"/>
                  </w14:solidFill>
                </w14:textFill>
              </w:rPr>
              <w:t>管理要求：应先开启除尘系统再进行点火作业；治污设施故障时（如布袋破损、水泵故障），必须立即停止供料并进行紧急停炉，严禁废气直排。</w:t>
            </w:r>
          </w:p>
          <w:p w14:paraId="039A5168">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本项目新建生物质锅炉拟设置1根30m高排气筒</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，在采取上述措施后</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并通过30m高排气筒排放后</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锅炉</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废气中的颗粒物、二氧化硫以及氮氧化物</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排放浓度可满足《锅炉大气污染物排放标准》（GB13271-2014）中表</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3燃气</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锅炉排放限值</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，依据</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关于促进生物质能供热发展的指导意见</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，本项目达到了生物质供热项目向燃气锅炉排放水平</w:t>
            </w:r>
            <w:r>
              <w:rPr>
                <w:rFonts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看齐的环保目标，对区域大气环境影响较小。</w:t>
            </w:r>
          </w:p>
          <w:p w14:paraId="126B8FFC">
            <w:pPr>
              <w:widowControl w:val="0"/>
              <w:numPr>
                <w:ilvl w:val="0"/>
                <w:numId w:val="6"/>
              </w:numPr>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油基岩屑暂存过程无组织非甲烷总烃影响分析 </w:t>
            </w:r>
          </w:p>
          <w:p w14:paraId="7D7D3616">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本项目二开阶段使用油基钻井液，产生的油基岩屑中含有一定量的基础油（如柴油、白油等）。在井场临时暂存过程中，基础油的微量挥发会产生无组织的挥发性有机物（以非甲烷总烃计）。 针对该污染源，本工程严格落实危险废物管理要求，油基岩屑经固控设备分离后，直接落入密闭防渗的专用岩屑方罐内暂存，严禁露天散堆，并实施“日产日清”或高频次及时转运策略。由于基础油本身常温下挥发性相对较弱，且暂存容器处于密闭状态，切断了废气大面积逸散的途径；加之项目所在区域地形开阔、大气扩散条件良好，油基岩屑暂存产生的非甲烷总烃无组织排放量极小。井场周界外非甲烷总烃浓度能够稳定满足《陆上石油天然气开采工业大气污染物排放标准》（GB39728-2020）中规定的无组织排放限值（4.0mg/m³）要求，对周边大气环境影响轻微。</w:t>
            </w:r>
          </w:p>
          <w:p w14:paraId="1BD7EEFD">
            <w:pPr>
              <w:widowControl w:val="0"/>
              <w:numPr>
                <w:ilvl w:val="0"/>
                <w:numId w:val="6"/>
              </w:numPr>
              <w:kinsoku/>
              <w:spacing w:line="360" w:lineRule="auto"/>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大气污染物估算模型预测及对100m外耕地影响分析 </w:t>
            </w:r>
          </w:p>
          <w:p w14:paraId="5B4FAEEB">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根据《环境影响评价技术导则 大气环境》（HJ2.2-2018），本次评价采用导则推荐的AERSCREEN估算模型，针对本项目主要无组织排放源（施工扬尘）及有组织排放源（试油期伴生气燃烧），量化预测其对周边100m处环境保护目标（耕地）的浓度贡献值，以验证其环境影响是否可接受。</w:t>
            </w:r>
          </w:p>
          <w:p w14:paraId="6A7F7AC7">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① 预测参数及源强设定：</w:t>
            </w:r>
          </w:p>
          <w:p w14:paraId="56EEEB89">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施工扬尘（无组织面源）：按最不利工况，设定整个井场及临时占地为无组织面源（面积约18020m²），排放有效高度取2m。在严格落实洒水、遮盖等抑尘措施后，颗粒物（以TSP计）最大无组织排放源强按 0.15 kg/h 进行估算。</w:t>
            </w:r>
          </w:p>
          <w:p w14:paraId="76D8B7CC">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伴生气燃烧（有组织点源）：试油放喷伴生气通过排气管线点火燃烧。设定排气筒（放喷管线点火点）有效高度10m，烟气温度按1000K计。根据前文源强核算，放喷（15min）产生NOx为0.014kg、颗粒物为0.0018kg，折算最大小时排放速率分别为：NOx 0.056 kg/h，颗粒物 0.0072 kg/h。</w:t>
            </w:r>
          </w:p>
          <w:p w14:paraId="54B15BCF">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② 模型预测结果与达标分析：以井场为中心，重点考察距井场边界约 100m 处的保护目标（耕地）的大气污染物落地浓度。预测结果见表4-</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2</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w:t>
            </w:r>
          </w:p>
          <w:p w14:paraId="0D81171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baseline"/>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表4-</w:t>
            </w:r>
            <w:r>
              <w:rPr>
                <w:rFonts w:hint="eastAsia"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lang w:eastAsia="zh-CN"/>
                <w14:textFill>
                  <w14:solidFill>
                    <w14:schemeClr w14:val="tx1"/>
                  </w14:solidFill>
                </w14:textFill>
              </w:rPr>
              <w:t xml:space="preserve"> 估算模型预测结果及对100m外耕地贡献值一览表</w:t>
            </w:r>
          </w:p>
          <w:tbl>
            <w:tblPr>
              <w:tblStyle w:val="17"/>
              <w:tblW w:w="8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46"/>
              <w:gridCol w:w="2290"/>
              <w:gridCol w:w="2657"/>
              <w:gridCol w:w="949"/>
            </w:tblGrid>
            <w:tr w14:paraId="2FF3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63" w:type="pct"/>
                  <w:vAlign w:val="center"/>
                </w:tcPr>
                <w:p w14:paraId="226CA0EA">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污染源</w:t>
                  </w:r>
                </w:p>
              </w:tc>
              <w:tc>
                <w:tcPr>
                  <w:tcW w:w="384" w:type="pct"/>
                  <w:vAlign w:val="center"/>
                </w:tcPr>
                <w:p w14:paraId="13B49E71">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污染物</w:t>
                  </w:r>
                </w:p>
              </w:tc>
              <w:tc>
                <w:tcPr>
                  <w:tcW w:w="1417" w:type="pct"/>
                  <w:vAlign w:val="center"/>
                </w:tcPr>
                <w:p w14:paraId="45B41718">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下风向100m处（耕地）最大浓度贡献值 (μg/m³)</w:t>
                  </w:r>
                </w:p>
              </w:tc>
              <w:tc>
                <w:tcPr>
                  <w:tcW w:w="1643" w:type="pct"/>
                  <w:vAlign w:val="center"/>
                </w:tcPr>
                <w:p w14:paraId="5D7D75FA">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《环境空气质量标准》(GB3095-2012) 二级标准限值</w:t>
                  </w:r>
                </w:p>
              </w:tc>
              <w:tc>
                <w:tcPr>
                  <w:tcW w:w="589" w:type="pct"/>
                  <w:vAlign w:val="center"/>
                </w:tcPr>
                <w:p w14:paraId="73BEE840">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占标率 (Pᵢ)</w:t>
                  </w:r>
                </w:p>
              </w:tc>
            </w:tr>
            <w:tr w14:paraId="636A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963" w:type="pct"/>
                  <w:vAlign w:val="center"/>
                </w:tcPr>
                <w:p w14:paraId="1D400AF9">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施工场地（无组织面源）</w:t>
                  </w:r>
                </w:p>
              </w:tc>
              <w:tc>
                <w:tcPr>
                  <w:tcW w:w="384" w:type="pct"/>
                  <w:vAlign w:val="center"/>
                </w:tcPr>
                <w:p w14:paraId="58E68C03">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TSP</w:t>
                  </w:r>
                </w:p>
              </w:tc>
              <w:tc>
                <w:tcPr>
                  <w:tcW w:w="1417" w:type="pct"/>
                  <w:vAlign w:val="center"/>
                </w:tcPr>
                <w:p w14:paraId="1075FE43">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24.5</w:t>
                  </w:r>
                </w:p>
              </w:tc>
              <w:tc>
                <w:tcPr>
                  <w:tcW w:w="1643" w:type="pct"/>
                  <w:vAlign w:val="center"/>
                </w:tcPr>
                <w:p w14:paraId="045D4193">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300μg/m³</w:t>
                  </w:r>
                </w:p>
              </w:tc>
              <w:tc>
                <w:tcPr>
                  <w:tcW w:w="589" w:type="pct"/>
                  <w:vAlign w:val="center"/>
                </w:tcPr>
                <w:p w14:paraId="72135927">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8.16%</w:t>
                  </w:r>
                </w:p>
              </w:tc>
            </w:tr>
            <w:tr w14:paraId="1C82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963" w:type="pct"/>
                  <w:vAlign w:val="center"/>
                </w:tcPr>
                <w:p w14:paraId="0C711346">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伴生气放空（点火点源）</w:t>
                  </w:r>
                </w:p>
              </w:tc>
              <w:tc>
                <w:tcPr>
                  <w:tcW w:w="384" w:type="pct"/>
                  <w:vAlign w:val="center"/>
                </w:tcPr>
                <w:p w14:paraId="502C9AD5">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NO₂</w:t>
                  </w:r>
                </w:p>
              </w:tc>
              <w:tc>
                <w:tcPr>
                  <w:tcW w:w="1417" w:type="pct"/>
                  <w:vAlign w:val="center"/>
                </w:tcPr>
                <w:p w14:paraId="5BD5B728">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1.82</w:t>
                  </w:r>
                </w:p>
              </w:tc>
              <w:tc>
                <w:tcPr>
                  <w:tcW w:w="1643" w:type="pct"/>
                  <w:vAlign w:val="center"/>
                </w:tcPr>
                <w:p w14:paraId="3D3D2A00">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200μg/m³</w:t>
                  </w:r>
                </w:p>
              </w:tc>
              <w:tc>
                <w:tcPr>
                  <w:tcW w:w="589" w:type="pct"/>
                  <w:vAlign w:val="center"/>
                </w:tcPr>
                <w:p w14:paraId="348B56E4">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0.91%</w:t>
                  </w:r>
                </w:p>
              </w:tc>
            </w:tr>
            <w:tr w14:paraId="3732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963" w:type="pct"/>
                  <w:vAlign w:val="center"/>
                </w:tcPr>
                <w:p w14:paraId="7F34AF95">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伴生气放空（点火点源）</w:t>
                  </w:r>
                </w:p>
              </w:tc>
              <w:tc>
                <w:tcPr>
                  <w:tcW w:w="384" w:type="pct"/>
                  <w:vAlign w:val="center"/>
                </w:tcPr>
                <w:p w14:paraId="2967D6EB">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PM₁₀</w:t>
                  </w:r>
                </w:p>
              </w:tc>
              <w:tc>
                <w:tcPr>
                  <w:tcW w:w="1417" w:type="pct"/>
                  <w:vAlign w:val="center"/>
                </w:tcPr>
                <w:p w14:paraId="484BDAEA">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0.25</w:t>
                  </w:r>
                </w:p>
              </w:tc>
              <w:tc>
                <w:tcPr>
                  <w:tcW w:w="1643" w:type="pct"/>
                  <w:vAlign w:val="center"/>
                </w:tcPr>
                <w:p w14:paraId="034D49A3">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1</w:t>
                  </w:r>
                  <w:r>
                    <w:rPr>
                      <w:rFonts w:hint="eastAsia"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20</w:t>
                  </w: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μg/m³</w:t>
                  </w:r>
                </w:p>
              </w:tc>
              <w:tc>
                <w:tcPr>
                  <w:tcW w:w="589" w:type="pct"/>
                  <w:vAlign w:val="center"/>
                </w:tcPr>
                <w:p w14:paraId="01AA813B">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val="en-US" w:eastAsia="zh-CN" w:bidi="ar"/>
                      <w14:textFill>
                        <w14:solidFill>
                          <w14:schemeClr w14:val="tx1"/>
                        </w14:solidFill>
                      </w14:textFill>
                    </w:rPr>
                    <w:t>0.17%</w:t>
                  </w:r>
                </w:p>
              </w:tc>
            </w:tr>
          </w:tbl>
          <w:p w14:paraId="6BA47381">
            <w:pPr>
              <w:pStyle w:val="20"/>
              <w:widowControl w:val="0"/>
              <w:spacing w:line="360" w:lineRule="auto"/>
              <w:jc w:val="both"/>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由HJ2.2-2018推荐的AERSCREEN估算模型预测结果可知：在最不利气象条件下，施工期场地扬尘及试油期伴生气燃烧废气经过大气扩散后，在下风向100m处的耕地所在位置，TSP、NO₂、PM₁₀ 的最大落地浓度贡献值均极小（分别为24.50 μg/m³、1.82 μg/m³、0.25 μg/m³），各项污染物的最大占标率仅为8.16%，远低于10%。</w:t>
            </w:r>
            <w:r>
              <w:rPr>
                <w:rFonts w:ascii="宋体" w:hAnsi="宋体" w:eastAsia="宋体" w:cs="宋体"/>
                <w:color w:val="000000" w:themeColor="text1"/>
                <w:sz w:val="24"/>
                <w:szCs w:val="24"/>
                <w14:textFill>
                  <w14:solidFill>
                    <w14:schemeClr w14:val="tx1"/>
                  </w14:solidFill>
                </w14:textFill>
              </w:rPr>
              <w:t>项目施工及试油放喷产生的大气污染物不会对周边100m外农作物的正常生长及耕地生态环境造成污染影响。</w:t>
            </w:r>
          </w:p>
          <w:p w14:paraId="239316E4">
            <w:pPr>
              <w:keepNext w:val="0"/>
              <w:keepLines w:val="0"/>
              <w:pageBreakBefore w:val="0"/>
              <w:widowControl w:val="0"/>
              <w:kinsoku/>
              <w:wordWrap/>
              <w:overflowPunct/>
              <w:topLinePunct w:val="0"/>
              <w:bidi w:val="0"/>
              <w:adjustRightInd w:val="0"/>
              <w:snapToGrid w:val="0"/>
              <w:spacing w:line="360" w:lineRule="auto"/>
              <w:ind w:left="0" w:right="0" w:firstLine="480"/>
              <w:jc w:val="both"/>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综上所述，施工期间产生的废气对大气环境影响不大。</w:t>
            </w:r>
          </w:p>
          <w:bookmarkEnd w:id="19"/>
          <w:p w14:paraId="75F7B351">
            <w:pPr>
              <w:pStyle w:val="22"/>
              <w:keepNext w:val="0"/>
              <w:keepLines w:val="0"/>
              <w:pageBreakBefore w:val="0"/>
              <w:widowControl w:val="0"/>
              <w:kinsoku/>
              <w:wordWrap/>
              <w:overflowPunct/>
              <w:topLinePunct w:val="0"/>
              <w:bidi w:val="0"/>
              <w:adjustRightInd w:val="0"/>
              <w:snapToGrid w:val="0"/>
              <w:spacing w:line="360" w:lineRule="auto"/>
              <w:ind w:left="0" w:right="0"/>
              <w:jc w:val="both"/>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5"/>
                <w:sz w:val="24"/>
                <w:szCs w:val="24"/>
                <w:highlight w:val="none"/>
                <w:lang w:eastAsia="zh-CN"/>
                <w14:textFill>
                  <w14:solidFill>
                    <w14:schemeClr w14:val="tx1"/>
                  </w14:solidFill>
                </w14:textFill>
              </w:rPr>
              <w:t>4</w:t>
            </w:r>
            <w:r>
              <w:rPr>
                <w:rFonts w:ascii="Times New Roman" w:hAnsi="Times New Roman" w:cs="Times New Roman"/>
                <w:b/>
                <w:bCs/>
                <w:color w:val="000000" w:themeColor="text1"/>
                <w:sz w:val="24"/>
                <w:szCs w:val="24"/>
                <w:highlight w:val="none"/>
                <w:lang w:eastAsia="zh-CN"/>
                <w14:textFill>
                  <w14:solidFill>
                    <w14:schemeClr w14:val="tx1"/>
                  </w14:solidFill>
                </w14:textFill>
              </w:rPr>
              <w:t>.施工期水环境影响分析</w:t>
            </w:r>
          </w:p>
          <w:p w14:paraId="3AA7295B">
            <w:pPr>
              <w:pStyle w:val="22"/>
              <w:keepNext w:val="0"/>
              <w:keepLines w:val="0"/>
              <w:pageBreakBefore w:val="0"/>
              <w:widowControl w:val="0"/>
              <w:kinsoku/>
              <w:wordWrap/>
              <w:overflowPunct/>
              <w:topLinePunct w:val="0"/>
              <w:bidi w:val="0"/>
              <w:adjustRightInd w:val="0"/>
              <w:snapToGrid w:val="0"/>
              <w:spacing w:line="360" w:lineRule="auto"/>
              <w:ind w:left="0" w:right="0"/>
              <w:jc w:val="both"/>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4.1井下作业废水（洗井废水）和压裂返排液</w:t>
            </w:r>
          </w:p>
          <w:p w14:paraId="39EA5682">
            <w:pPr>
              <w:pStyle w:val="22"/>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cs="Times New Roman"/>
                <w:color w:val="000000" w:themeColor="text1"/>
                <w:sz w:val="24"/>
                <w:szCs w:val="24"/>
                <w:highlight w:val="none"/>
                <w:lang w:eastAsia="zh-CN" w:bidi="ar"/>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试油废水主要包括井下作</w:t>
            </w:r>
            <w:r>
              <w:rPr>
                <w:rFonts w:ascii="Times New Roman" w:hAnsi="Times New Roman" w:cs="Times New Roman"/>
                <w:color w:val="000000" w:themeColor="text1"/>
                <w:spacing w:val="-2"/>
                <w:sz w:val="24"/>
                <w:szCs w:val="24"/>
                <w:highlight w:val="none"/>
                <w:lang w:eastAsia="zh-CN"/>
                <w14:textFill>
                  <w14:solidFill>
                    <w14:schemeClr w14:val="tx1"/>
                  </w14:solidFill>
                </w14:textFill>
              </w:rPr>
              <w:t>业废水和压裂返排液，根据项目水平衡章节可知，</w:t>
            </w:r>
            <w:r>
              <w:rPr>
                <w:rFonts w:ascii="Times New Roman" w:hAnsi="Times New Roman" w:cs="Times New Roman"/>
                <w:color w:val="000000" w:themeColor="text1"/>
                <w:spacing w:val="-3"/>
                <w:sz w:val="24"/>
                <w:szCs w:val="24"/>
                <w:highlight w:val="none"/>
                <w:lang w:eastAsia="zh-CN"/>
                <w14:textFill>
                  <w14:solidFill>
                    <w14:schemeClr w14:val="tx1"/>
                  </w14:solidFill>
                </w14:textFill>
              </w:rPr>
              <w:t>废压裂液产生量为36000m</w:t>
            </w:r>
            <w:r>
              <w:rPr>
                <w:rFonts w:ascii="Times New Roman" w:hAnsi="Times New Roman" w:cs="Times New Roman"/>
                <w:color w:val="000000" w:themeColor="text1"/>
                <w:spacing w:val="-3"/>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3"/>
                <w:sz w:val="24"/>
                <w:szCs w:val="24"/>
                <w:highlight w:val="none"/>
                <w:lang w:eastAsia="zh-CN"/>
                <w14:textFill>
                  <w14:solidFill>
                    <w14:schemeClr w14:val="tx1"/>
                  </w14:solidFill>
                </w14:textFill>
              </w:rPr>
              <w:t>，洗井废</w:t>
            </w:r>
            <w:r>
              <w:rPr>
                <w:rFonts w:ascii="Times New Roman" w:hAnsi="Times New Roman" w:cs="Times New Roman"/>
                <w:color w:val="000000" w:themeColor="text1"/>
                <w:spacing w:val="-1"/>
                <w:sz w:val="24"/>
                <w:szCs w:val="24"/>
                <w:highlight w:val="none"/>
                <w:lang w:eastAsia="zh-CN"/>
                <w14:textFill>
                  <w14:solidFill>
                    <w14:schemeClr w14:val="tx1"/>
                  </w14:solidFill>
                </w14:textFill>
              </w:rPr>
              <w:t>水产生量为</w:t>
            </w:r>
            <w:r>
              <w:rPr>
                <w:rFonts w:ascii="Times New Roman" w:hAnsi="Times New Roman" w:cs="Times New Roman"/>
                <w:color w:val="000000" w:themeColor="text1"/>
                <w:sz w:val="24"/>
                <w:szCs w:val="24"/>
                <w:highlight w:val="none"/>
                <w:lang w:eastAsia="zh-CN" w:bidi="ar"/>
                <w14:textFill>
                  <w14:solidFill>
                    <w14:schemeClr w14:val="tx1"/>
                  </w14:solidFill>
                </w14:textFill>
              </w:rPr>
              <w:t>150</w:t>
            </w:r>
            <w:r>
              <w:rPr>
                <w:rFonts w:ascii="Times New Roman" w:hAnsi="Times New Roman" w:cs="Times New Roman"/>
                <w:color w:val="000000" w:themeColor="text1"/>
                <w:spacing w:val="-3"/>
                <w:sz w:val="24"/>
                <w:szCs w:val="24"/>
                <w:highlight w:val="none"/>
                <w:lang w:eastAsia="zh-CN"/>
                <w14:textFill>
                  <w14:solidFill>
                    <w14:schemeClr w14:val="tx1"/>
                  </w14:solidFill>
                </w14:textFill>
              </w:rPr>
              <w:t>m</w:t>
            </w:r>
            <w:r>
              <w:rPr>
                <w:rFonts w:ascii="Times New Roman" w:hAnsi="Times New Roman" w:cs="Times New Roman"/>
                <w:color w:val="000000" w:themeColor="text1"/>
                <w:spacing w:val="-3"/>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1"/>
                <w:sz w:val="24"/>
                <w:szCs w:val="24"/>
                <w:highlight w:val="none"/>
                <w:lang w:eastAsia="zh-CN"/>
                <w14:textFill>
                  <w14:solidFill>
                    <w14:schemeClr w14:val="tx1"/>
                  </w14:solidFill>
                </w14:textFill>
              </w:rPr>
              <w:t>，主要污染物为悬浮物和石油类；洗井废水和压裂返排液均</w:t>
            </w:r>
            <w:r>
              <w:rPr>
                <w:rFonts w:hint="eastAsia" w:ascii="Times New Roman" w:hAnsi="Times New Roman" w:cs="Times New Roman"/>
                <w:color w:val="000000" w:themeColor="text1"/>
                <w:spacing w:val="-1"/>
                <w:sz w:val="24"/>
                <w:szCs w:val="24"/>
                <w:highlight w:val="none"/>
                <w:lang w:eastAsia="zh-CN"/>
                <w14:textFill>
                  <w14:solidFill>
                    <w14:schemeClr w14:val="tx1"/>
                  </w14:solidFill>
                </w14:textFill>
              </w:rPr>
              <w:t>拉运至吉康脱水站</w:t>
            </w:r>
            <w:r>
              <w:rPr>
                <w:rFonts w:ascii="Times New Roman" w:hAnsi="Times New Roman" w:cs="Times New Roman"/>
                <w:color w:val="000000" w:themeColor="text1"/>
                <w:spacing w:val="-1"/>
                <w:sz w:val="24"/>
                <w:szCs w:val="24"/>
                <w:highlight w:val="none"/>
                <w:lang w:eastAsia="zh-CN"/>
                <w14:textFill>
                  <w14:solidFill>
                    <w14:schemeClr w14:val="tx1"/>
                  </w14:solidFill>
                </w14:textFill>
              </w:rPr>
              <w:t>并处理达标后，全部回注油藏</w:t>
            </w:r>
            <w:r>
              <w:rPr>
                <w:rFonts w:ascii="Times New Roman" w:hAnsi="Times New Roman" w:cs="Times New Roman"/>
                <w:color w:val="000000" w:themeColor="text1"/>
                <w:spacing w:val="-3"/>
                <w:sz w:val="24"/>
                <w:szCs w:val="24"/>
                <w:highlight w:val="none"/>
                <w:lang w:eastAsia="zh-CN"/>
                <w14:textFill>
                  <w14:solidFill>
                    <w14:schemeClr w14:val="tx1"/>
                  </w14:solidFill>
                </w14:textFill>
              </w:rPr>
              <w:t>，不外排，</w:t>
            </w:r>
            <w:r>
              <w:rPr>
                <w:rFonts w:ascii="Times New Roman" w:hAnsi="Times New Roman" w:cs="Times New Roman"/>
                <w:color w:val="000000" w:themeColor="text1"/>
                <w:sz w:val="24"/>
                <w:szCs w:val="24"/>
                <w:highlight w:val="none"/>
                <w:lang w:eastAsia="zh-CN" w:bidi="ar"/>
                <w14:textFill>
                  <w14:solidFill>
                    <w14:schemeClr w14:val="tx1"/>
                  </w14:solidFill>
                </w14:textFill>
              </w:rPr>
              <w:t>底泥依托</w:t>
            </w:r>
            <w:r>
              <w:rPr>
                <w:rFonts w:hint="eastAsia" w:ascii="Times New Roman" w:hAnsi="Times New Roman" w:cs="Times New Roman"/>
                <w:color w:val="000000" w:themeColor="text1"/>
                <w:sz w:val="24"/>
                <w:szCs w:val="24"/>
                <w:highlight w:val="none"/>
                <w:lang w:eastAsia="zh-CN" w:bidi="ar"/>
                <w14:textFill>
                  <w14:solidFill>
                    <w14:schemeClr w14:val="tx1"/>
                  </w14:solidFill>
                </w14:textFill>
              </w:rPr>
              <w:t>吉康</w:t>
            </w:r>
            <w:r>
              <w:rPr>
                <w:rFonts w:ascii="Times New Roman" w:hAnsi="Times New Roman" w:cs="Times New Roman"/>
                <w:color w:val="000000" w:themeColor="text1"/>
                <w:sz w:val="24"/>
                <w:szCs w:val="24"/>
                <w:highlight w:val="none"/>
                <w:lang w:eastAsia="zh-CN" w:bidi="ar"/>
                <w14:textFill>
                  <w14:solidFill>
                    <w14:schemeClr w14:val="tx1"/>
                  </w14:solidFill>
                </w14:textFill>
              </w:rPr>
              <w:t>脱水站危废暂存间暂存，委托有危废处置资质的单位进行处置。</w:t>
            </w:r>
          </w:p>
          <w:p w14:paraId="6E0599E2">
            <w:pPr>
              <w:pStyle w:val="22"/>
              <w:keepNext w:val="0"/>
              <w:keepLines w:val="0"/>
              <w:pageBreakBefore w:val="0"/>
              <w:widowControl w:val="0"/>
              <w:kinsoku/>
              <w:wordWrap/>
              <w:overflowPunct/>
              <w:topLinePunct w:val="0"/>
              <w:bidi w:val="0"/>
              <w:adjustRightInd w:val="0"/>
              <w:snapToGrid w:val="0"/>
              <w:spacing w:line="360" w:lineRule="auto"/>
              <w:ind w:left="0" w:right="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3"/>
                <w:sz w:val="24"/>
                <w:szCs w:val="24"/>
                <w:highlight w:val="none"/>
                <w:lang w:eastAsia="zh-CN"/>
                <w14:textFill>
                  <w14:solidFill>
                    <w14:schemeClr w14:val="tx1"/>
                  </w14:solidFill>
                </w14:textFill>
              </w:rPr>
              <w:t>4.2生活污水</w:t>
            </w:r>
          </w:p>
          <w:p w14:paraId="67ED5914">
            <w:pPr>
              <w:pStyle w:val="22"/>
              <w:keepNext w:val="0"/>
              <w:keepLines w:val="0"/>
              <w:pageBreakBefore w:val="0"/>
              <w:widowControl w:val="0"/>
              <w:kinsoku/>
              <w:wordWrap/>
              <w:overflowPunct/>
              <w:topLinePunct w:val="0"/>
              <w:bidi w:val="0"/>
              <w:adjustRightInd w:val="0"/>
              <w:snapToGrid w:val="0"/>
              <w:spacing w:line="360" w:lineRule="auto"/>
              <w:ind w:left="0" w:right="0" w:firstLine="477"/>
              <w:jc w:val="both"/>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本项目生活污水产生量约为</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307.2</w:t>
            </w:r>
            <w:r>
              <w:rPr>
                <w:rFonts w:ascii="Times New Roman" w:hAnsi="Times New Roman" w:cs="Times New Roman"/>
                <w:color w:val="000000" w:themeColor="text1"/>
                <w:spacing w:val="-2"/>
                <w:sz w:val="24"/>
                <w:szCs w:val="24"/>
                <w:highlight w:val="none"/>
                <w:lang w:eastAsia="zh-CN"/>
                <w14:textFill>
                  <w14:solidFill>
                    <w14:schemeClr w14:val="tx1"/>
                  </w14:solidFill>
                </w14:textFill>
              </w:rPr>
              <w:t>m</w:t>
            </w:r>
            <w:r>
              <w:rPr>
                <w:rFonts w:ascii="Times New Roman" w:hAnsi="Times New Roman" w:cs="Times New Roman"/>
                <w:color w:val="000000" w:themeColor="text1"/>
                <w:spacing w:val="-2"/>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2"/>
                <w:sz w:val="24"/>
                <w:szCs w:val="24"/>
                <w:highlight w:val="none"/>
                <w:lang w:eastAsia="zh-CN"/>
                <w14:textFill>
                  <w14:solidFill>
                    <w14:schemeClr w14:val="tx1"/>
                  </w14:solidFill>
                </w14:textFill>
              </w:rPr>
              <w:t>，主要污染物浓度分别为化学需氧量（COD）350mg/L、氨氮（NH</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3</w:t>
            </w:r>
            <w:r>
              <w:rPr>
                <w:rFonts w:ascii="Times New Roman" w:hAnsi="Times New Roman" w:cs="Times New Roman"/>
                <w:color w:val="000000" w:themeColor="text1"/>
                <w:spacing w:val="-2"/>
                <w:sz w:val="24"/>
                <w:szCs w:val="24"/>
                <w:highlight w:val="none"/>
                <w:lang w:eastAsia="zh-CN"/>
                <w14:textFill>
                  <w14:solidFill>
                    <w14:schemeClr w14:val="tx1"/>
                  </w14:solidFill>
                </w14:textFill>
              </w:rPr>
              <w:t>-N）30mg/L、悬浮物（SS）200mg/L，则污染物产生量COD：</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0.108</w:t>
            </w:r>
            <w:r>
              <w:rPr>
                <w:rFonts w:ascii="Times New Roman" w:hAnsi="Times New Roman" w:cs="Times New Roman"/>
                <w:color w:val="000000" w:themeColor="text1"/>
                <w:spacing w:val="-2"/>
                <w:sz w:val="24"/>
                <w:szCs w:val="24"/>
                <w:highlight w:val="none"/>
                <w:lang w:eastAsia="zh-CN"/>
                <w14:textFill>
                  <w14:solidFill>
                    <w14:schemeClr w14:val="tx1"/>
                  </w14:solidFill>
                </w14:textFill>
              </w:rPr>
              <w:t>t、NH</w:t>
            </w:r>
            <w:r>
              <w:rPr>
                <w:rFonts w:ascii="Times New Roman" w:hAnsi="Times New Roman" w:cs="Times New Roman"/>
                <w:color w:val="000000" w:themeColor="text1"/>
                <w:spacing w:val="-2"/>
                <w:sz w:val="24"/>
                <w:szCs w:val="24"/>
                <w:highlight w:val="none"/>
                <w:vertAlign w:val="subscript"/>
                <w:lang w:eastAsia="zh-CN"/>
                <w14:textFill>
                  <w14:solidFill>
                    <w14:schemeClr w14:val="tx1"/>
                  </w14:solidFill>
                </w14:textFill>
              </w:rPr>
              <w:t>3</w:t>
            </w:r>
            <w:r>
              <w:rPr>
                <w:rFonts w:ascii="Times New Roman" w:hAnsi="Times New Roman" w:cs="Times New Roman"/>
                <w:color w:val="000000" w:themeColor="text1"/>
                <w:spacing w:val="-2"/>
                <w:sz w:val="24"/>
                <w:szCs w:val="24"/>
                <w:highlight w:val="none"/>
                <w:lang w:eastAsia="zh-CN"/>
                <w14:textFill>
                  <w14:solidFill>
                    <w14:schemeClr w14:val="tx1"/>
                  </w14:solidFill>
                </w14:textFill>
              </w:rPr>
              <w:t>-N：</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0.009</w:t>
            </w:r>
            <w:r>
              <w:rPr>
                <w:rFonts w:ascii="Times New Roman" w:hAnsi="Times New Roman" w:cs="Times New Roman"/>
                <w:color w:val="000000" w:themeColor="text1"/>
                <w:spacing w:val="-2"/>
                <w:sz w:val="24"/>
                <w:szCs w:val="24"/>
                <w:highlight w:val="none"/>
                <w:lang w:eastAsia="zh-CN"/>
                <w14:textFill>
                  <w14:solidFill>
                    <w14:schemeClr w14:val="tx1"/>
                  </w14:solidFill>
                </w14:textFill>
              </w:rPr>
              <w:t>t、SS：</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0.061</w:t>
            </w:r>
            <w:r>
              <w:rPr>
                <w:rFonts w:ascii="Times New Roman" w:hAnsi="Times New Roman" w:cs="Times New Roman"/>
                <w:color w:val="000000" w:themeColor="text1"/>
                <w:spacing w:val="-2"/>
                <w:sz w:val="24"/>
                <w:szCs w:val="24"/>
                <w:highlight w:val="none"/>
                <w:lang w:eastAsia="zh-CN"/>
                <w14:textFill>
                  <w14:solidFill>
                    <w14:schemeClr w14:val="tx1"/>
                  </w14:solidFill>
                </w14:textFill>
              </w:rPr>
              <w:t>t。</w:t>
            </w:r>
          </w:p>
          <w:p w14:paraId="177F3659">
            <w:pPr>
              <w:pStyle w:val="22"/>
              <w:keepNext w:val="0"/>
              <w:keepLines w:val="0"/>
              <w:pageBreakBefore w:val="0"/>
              <w:widowControl w:val="0"/>
              <w:kinsoku/>
              <w:wordWrap/>
              <w:overflowPunct/>
              <w:topLinePunct w:val="0"/>
              <w:bidi w:val="0"/>
              <w:adjustRightInd w:val="0"/>
              <w:snapToGrid w:val="0"/>
              <w:spacing w:line="360" w:lineRule="auto"/>
              <w:ind w:left="0" w:right="0" w:firstLine="472" w:firstLineChars="200"/>
              <w:jc w:val="both"/>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生活污水排至已做防渗措施的生活污水坑，定期由吸污车抽出并拉运至吉木萨尔县城污水处理厂处理</w:t>
            </w:r>
            <w:r>
              <w:rPr>
                <w:rFonts w:ascii="Times New Roman" w:hAnsi="Times New Roman" w:cs="Times New Roman"/>
                <w:color w:val="000000" w:themeColor="text1"/>
                <w:spacing w:val="-2"/>
                <w:sz w:val="24"/>
                <w:szCs w:val="24"/>
                <w:highlight w:val="none"/>
                <w:lang w:eastAsia="zh-CN"/>
                <w14:textFill>
                  <w14:solidFill>
                    <w14:schemeClr w14:val="tx1"/>
                  </w14:solidFill>
                </w14:textFill>
              </w:rPr>
              <w:t>。</w:t>
            </w:r>
          </w:p>
          <w:p w14:paraId="0654C542">
            <w:pPr>
              <w:pStyle w:val="22"/>
              <w:keepNext w:val="0"/>
              <w:keepLines w:val="0"/>
              <w:pageBreakBefore w:val="0"/>
              <w:widowControl w:val="0"/>
              <w:kinsoku/>
              <w:wordWrap/>
              <w:overflowPunct/>
              <w:topLinePunct w:val="0"/>
              <w:bidi w:val="0"/>
              <w:adjustRightInd w:val="0"/>
              <w:snapToGrid w:val="0"/>
              <w:spacing w:line="360" w:lineRule="auto"/>
              <w:ind w:left="0" w:right="0"/>
              <w:jc w:val="both"/>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4.3对地下水影响分析</w:t>
            </w:r>
          </w:p>
          <w:p w14:paraId="55E44A9B">
            <w:pPr>
              <w:pStyle w:val="22"/>
              <w:widowControl w:val="0"/>
              <w:kinsoku/>
              <w:spacing w:before="36" w:line="360" w:lineRule="auto"/>
              <w:ind w:left="6"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正常工况下的影响分析： 本项目对地下水的保护采取了“井下隔离+地面防渗”的双重屏障。</w:t>
            </w:r>
          </w:p>
          <w:p w14:paraId="70A8263A">
            <w:pPr>
              <w:pStyle w:val="22"/>
              <w:widowControl w:val="0"/>
              <w:kinsoku/>
              <w:spacing w:before="36" w:line="360" w:lineRule="auto"/>
              <w:ind w:left="6"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井下部分：本项目一开表层套管下入深度达700m，远深于区域地下水主要含水层埋深（50~150m），且实施严格的注水泥全封固井工艺，水泥返至地面，从垂向上彻底隔断了井筒与浅层潜水含水层的水力联系，杜绝了钻井液及油气上窜污染地下水；</w:t>
            </w:r>
          </w:p>
          <w:p w14:paraId="3657D0A2">
            <w:pPr>
              <w:pStyle w:val="22"/>
              <w:widowControl w:val="0"/>
              <w:kinsoku/>
              <w:spacing w:before="36" w:line="360" w:lineRule="auto"/>
              <w:ind w:left="6"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地面部分：井场实施严格的分区防渗，针对泥浆不落地系统、危废暂存间、油罐区及废水罐区等涉油、涉水区域，全部划定为重点防渗区，严格铺设2mm厚HDPE防渗膜（等效黏土层Mb≥6.0m，K≤1.0×10⁻⁷cm/s）。在防渗设施完好的正常工况下，污染物无法渗入包气带，对地下水环境无影响。</w:t>
            </w:r>
          </w:p>
          <w:p w14:paraId="17ABC96D">
            <w:pPr>
              <w:pStyle w:val="22"/>
              <w:widowControl w:val="0"/>
              <w:kinsoku/>
              <w:spacing w:before="36" w:line="360" w:lineRule="auto"/>
              <w:ind w:left="6" w:firstLine="472" w:firstLineChars="200"/>
              <w:jc w:val="both"/>
              <w:rPr>
                <w:rFonts w:hint="default" w:ascii="Times New Roman" w:hAnsi="Times New Roman" w:eastAsia="宋体" w:cs="Times New Roman"/>
                <w:color w:val="000000" w:themeColor="text1"/>
                <w:spacing w:val="-2"/>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正常工况下的影响分析：在发生储罐破损、管线连接处跑冒滴漏等意外泄漏事件时，泄漏的液态污染物（原油或废水）将被限制在重点防渗区四周设置的防渗围堰或导流槽内，不会发生大面积漫流；依靠底部2mm厚HDPE膜的有效阻隔，泄漏物在被及时发现并抽吸清理的应急响应时间内（通常小于24小时），无法穿透防渗层进入地下水。因此，在严格落实分区防渗和应急预案的前提下，非正常工况下的地下水环境风险总体可控。</w:t>
            </w:r>
          </w:p>
          <w:p w14:paraId="56B9B06E">
            <w:pPr>
              <w:pStyle w:val="22"/>
              <w:widowControl w:val="0"/>
              <w:kinsoku/>
              <w:spacing w:before="36" w:line="360" w:lineRule="auto"/>
              <w:ind w:left="6" w:firstLine="472" w:firstLineChars="20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综上所述，项目的实施对所在区域的水环境质量影响不大</w:t>
            </w:r>
            <w:r>
              <w:rPr>
                <w:rFonts w:ascii="Times New Roman" w:hAnsi="Times New Roman" w:cs="Times New Roman"/>
                <w:color w:val="000000" w:themeColor="text1"/>
                <w:spacing w:val="-1"/>
                <w:sz w:val="24"/>
                <w:szCs w:val="24"/>
                <w:highlight w:val="none"/>
                <w:lang w:eastAsia="zh-CN"/>
                <w14:textFill>
                  <w14:solidFill>
                    <w14:schemeClr w14:val="tx1"/>
                  </w14:solidFill>
                </w14:textFill>
              </w:rPr>
              <w:t>。</w:t>
            </w:r>
          </w:p>
          <w:p w14:paraId="2CB25A7B">
            <w:pPr>
              <w:pStyle w:val="22"/>
              <w:keepNext w:val="0"/>
              <w:keepLines w:val="0"/>
              <w:pageBreakBefore w:val="0"/>
              <w:widowControl w:val="0"/>
              <w:kinsoku/>
              <w:wordWrap/>
              <w:overflowPunct/>
              <w:topLinePunct w:val="0"/>
              <w:bidi w:val="0"/>
              <w:adjustRightInd w:val="0"/>
              <w:snapToGrid w:val="0"/>
              <w:spacing w:line="360" w:lineRule="auto"/>
              <w:ind w:left="0" w:right="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4.4事故状态下水环境影响分析</w:t>
            </w:r>
          </w:p>
          <w:p w14:paraId="5145F773">
            <w:pPr>
              <w:pStyle w:val="22"/>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（1）井漏事故的泥浆对地下水的影响</w:t>
            </w:r>
          </w:p>
          <w:p w14:paraId="0432DDA8">
            <w:pPr>
              <w:pStyle w:val="22"/>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井漏事故对地下水的污染是钻井泥浆漏失于地下水含水层中，由于其含Ca、Na等离子，且盐分较多，易造成地下含水层水质污染。</w:t>
            </w:r>
          </w:p>
          <w:p w14:paraId="2E6E3892">
            <w:pPr>
              <w:pStyle w:val="22"/>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本项目采用下套管注水泥的方式进行固井，可对潜水和承压水所在的地层进行固封。在固井合格的前提下，可以有效隔离含水层与井内泥浆的交换，有效保护地下水层。</w:t>
            </w:r>
          </w:p>
          <w:p w14:paraId="557CF7E7">
            <w:pPr>
              <w:pStyle w:val="22"/>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因此，推广使用清洁无害的泥浆，严格要求套管下入深度，可以有效控制钻井液在含水层中的漏失，减轻对地下水环境的影响。</w:t>
            </w:r>
          </w:p>
          <w:p w14:paraId="363F41F8">
            <w:pPr>
              <w:pStyle w:val="22"/>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（2）油水窜层对地下水的污染影响</w:t>
            </w:r>
          </w:p>
          <w:p w14:paraId="33D293E5">
            <w:pPr>
              <w:pStyle w:val="22"/>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钻井完井后试油过程中原油窜层污染的主要原因是：①下入的表层套管未封住含水层；②固井质量差；③工艺措施不合理或未实施。因此，为预防污染的发生和污染源的形成，表层套管必须严格封闭含水层，固井质量应符合环保要求。</w:t>
            </w:r>
          </w:p>
          <w:p w14:paraId="30809900">
            <w:pPr>
              <w:pStyle w:val="22"/>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（3）井喷事故对地下水的污染影响</w:t>
            </w:r>
          </w:p>
          <w:p w14:paraId="507A628D">
            <w:pPr>
              <w:pStyle w:val="22"/>
              <w:keepNext w:val="0"/>
              <w:keepLines w:val="0"/>
              <w:pageBreakBefore w:val="0"/>
              <w:widowControl w:val="0"/>
              <w:kinsoku/>
              <w:wordWrap/>
              <w:overflowPunct/>
              <w:topLinePunct w:val="0"/>
              <w:bidi w:val="0"/>
              <w:adjustRightInd w:val="0"/>
              <w:snapToGrid w:val="0"/>
              <w:spacing w:line="360" w:lineRule="auto"/>
              <w:ind w:left="0" w:right="0" w:firstLine="480" w:firstLineChars="20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井喷事故一旦发生，大量的油气喷出井口，散落于井场周围，除造成重大经济损失外，还会造成严重的环境污染。根据测算，井喷发生后，一般需要1</w:t>
            </w:r>
            <w:r>
              <w:rPr>
                <w:rFonts w:hint="eastAsia" w:ascii="Times New Roman" w:hAnsi="Times New Roman" w:cs="Times New Roman"/>
                <w:color w:val="000000" w:themeColor="text1"/>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lang w:eastAsia="zh-CN"/>
                <w14:textFill>
                  <w14:solidFill>
                    <w14:schemeClr w14:val="tx1"/>
                  </w14:solidFill>
                </w14:textFill>
              </w:rPr>
              <w:t>2d才能得以控制。</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w:t>
            </w:r>
            <w:r>
              <w:rPr>
                <w:rFonts w:ascii="Times New Roman" w:hAnsi="Times New Roman" w:cs="Times New Roman"/>
                <w:color w:val="000000" w:themeColor="text1"/>
                <w:sz w:val="24"/>
                <w:szCs w:val="24"/>
                <w:highlight w:val="none"/>
                <w:lang w:eastAsia="zh-CN"/>
                <w14:textFill>
                  <w14:solidFill>
                    <w14:schemeClr w14:val="tx1"/>
                  </w14:solidFill>
                </w14:textFill>
              </w:rPr>
              <w:t>类比资料，井喷污染范围在半径300m左右时，井喷持续时间2d，井喷范围内土壤表层可见有蜡状的原油喷散物，井喷的影响范围及影响程度较大。但从事故井区土壤剖面分析，井喷事故后石油类污染物主要聚集在土壤剖面1m以内，石油类污染物很难下渗到2m以下，井喷事故对环境的影响主要表现为对其周围土壤的影响，对地下水体有一定的影响，若及时采取有效措施治理污染，井喷对地下水的影响极小。</w:t>
            </w:r>
          </w:p>
          <w:p w14:paraId="022394FE">
            <w:pPr>
              <w:keepNext w:val="0"/>
              <w:keepLines w:val="0"/>
              <w:pageBreakBefore w:val="0"/>
              <w:widowControl/>
              <w:kinsoku/>
              <w:wordWrap/>
              <w:overflowPunct/>
              <w:topLinePunct w:val="0"/>
              <w:bidi w:val="0"/>
              <w:adjustRightInd w:val="0"/>
              <w:snapToGrid w:val="0"/>
              <w:spacing w:line="360" w:lineRule="auto"/>
              <w:ind w:left="0" w:right="0"/>
              <w:jc w:val="both"/>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t>5.施工期声环境影响分析</w:t>
            </w:r>
          </w:p>
          <w:p w14:paraId="2A17789E">
            <w:pPr>
              <w:pStyle w:val="7"/>
              <w:keepNext w:val="0"/>
              <w:keepLines w:val="0"/>
              <w:pageBreakBefore w:val="0"/>
              <w:widowControl w:val="0"/>
              <w:kinsoku/>
              <w:wordWrap/>
              <w:overflowPunct/>
              <w:topLinePunct w:val="0"/>
              <w:bidi w:val="0"/>
              <w:adjustRightInd w:val="0"/>
              <w:snapToGrid w:val="0"/>
              <w:spacing w:line="360" w:lineRule="auto"/>
              <w:ind w:left="0" w:right="0" w:firstLine="480"/>
              <w:jc w:val="both"/>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施工期噪声来源于井场、生活营地建设等钻前作业、钻井作业及试油作业等施工活动。噪声源主要包括柴油发电机、柴油机等以及各类施工机械，如挖土机、推土机、轮式装载车等，贯穿于整个施工过程，待施工结束后噪声影响消失。根据现场调查，井场周边50m范围内无声环境敏感目标，不会对周围声环境产生明显影响。本环评要求建设单位选用低噪声设备，</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对高噪声设备采取隔声措施，</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加强设备维护和保养，</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保证机械设备的正常运转，以降低设备正常运转的噪声。</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在设施底部进行基础减振处理。加强施工场地管理，合理疏导进入施工区的车辆，符合《建筑施工噪声排放标准》（GB12523-2025）要求。</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进一步落实以上措施后，施工期噪声对周边环境及施工人员的影响将进一步减少，施工期产生噪声对周边环境影响不大。</w:t>
            </w:r>
          </w:p>
          <w:p w14:paraId="617AFC8C">
            <w:pPr>
              <w:pStyle w:val="22"/>
              <w:keepNext w:val="0"/>
              <w:keepLines w:val="0"/>
              <w:pageBreakBefore w:val="0"/>
              <w:widowControl w:val="0"/>
              <w:kinsoku/>
              <w:wordWrap/>
              <w:overflowPunct/>
              <w:topLinePunct w:val="0"/>
              <w:bidi w:val="0"/>
              <w:adjustRightInd w:val="0"/>
              <w:snapToGrid w:val="0"/>
              <w:spacing w:line="360" w:lineRule="auto"/>
              <w:ind w:left="0" w:right="0"/>
              <w:jc w:val="both"/>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6.施工期固体废物影响分析</w:t>
            </w:r>
          </w:p>
          <w:p w14:paraId="46376BB6">
            <w:pPr>
              <w:pStyle w:val="22"/>
              <w:keepNext w:val="0"/>
              <w:keepLines w:val="0"/>
              <w:pageBreakBefore w:val="0"/>
              <w:widowControl w:val="0"/>
              <w:kinsoku/>
              <w:wordWrap/>
              <w:overflowPunct/>
              <w:topLinePunct w:val="0"/>
              <w:bidi w:val="0"/>
              <w:adjustRightInd w:val="0"/>
              <w:snapToGrid w:val="0"/>
              <w:spacing w:line="360" w:lineRule="auto"/>
              <w:ind w:left="0" w:right="0" w:firstLine="481"/>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固体废物主要为钻井泥浆、钻井岩屑、落地油、机械设备废油和废润滑油桶以及废防渗材料、生活垃圾，均得到有效处置，对环境影响较小。</w:t>
            </w:r>
          </w:p>
          <w:p w14:paraId="572C11B0">
            <w:pPr>
              <w:pStyle w:val="22"/>
              <w:keepNext w:val="0"/>
              <w:keepLines w:val="0"/>
              <w:pageBreakBefore w:val="0"/>
              <w:widowControl w:val="0"/>
              <w:kinsoku/>
              <w:wordWrap/>
              <w:overflowPunct/>
              <w:topLinePunct w:val="0"/>
              <w:bidi w:val="0"/>
              <w:adjustRightInd w:val="0"/>
              <w:snapToGrid w:val="0"/>
              <w:spacing w:line="360" w:lineRule="auto"/>
              <w:ind w:left="0" w:right="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eastAsia="Times New Roman" w:cs="Times New Roman"/>
                <w:b/>
                <w:bCs/>
                <w:color w:val="000000" w:themeColor="text1"/>
                <w:spacing w:val="-3"/>
                <w:sz w:val="24"/>
                <w:szCs w:val="24"/>
                <w:highlight w:val="none"/>
                <w:lang w:eastAsia="zh-CN"/>
                <w14:textFill>
                  <w14:solidFill>
                    <w14:schemeClr w14:val="tx1"/>
                  </w14:solidFill>
                </w14:textFill>
              </w:rPr>
              <w:t>6.1</w:t>
            </w:r>
            <w:r>
              <w:rPr>
                <w:rFonts w:ascii="Times New Roman" w:hAnsi="Times New Roman" w:cs="Times New Roman"/>
                <w:b/>
                <w:bCs/>
                <w:color w:val="000000" w:themeColor="text1"/>
                <w:spacing w:val="-3"/>
                <w:sz w:val="24"/>
                <w:szCs w:val="24"/>
                <w:highlight w:val="none"/>
                <w:lang w:eastAsia="zh-CN"/>
                <w14:textFill>
                  <w14:solidFill>
                    <w14:schemeClr w14:val="tx1"/>
                  </w14:solidFill>
                </w14:textFill>
              </w:rPr>
              <w:t>钻井泥浆</w:t>
            </w:r>
          </w:p>
          <w:p w14:paraId="1FA131B0">
            <w:pPr>
              <w:pStyle w:val="4"/>
              <w:keepNext w:val="0"/>
              <w:keepLines w:val="0"/>
              <w:pageBreakBefore w:val="0"/>
              <w:widowControl w:val="0"/>
              <w:kinsoku/>
              <w:wordWrap/>
              <w:overflowPunct/>
              <w:topLinePunct w:val="0"/>
              <w:bidi w:val="0"/>
              <w:adjustRightInd w:val="0"/>
              <w:snapToGrid w:val="0"/>
              <w:spacing w:beforeLines="0" w:line="360" w:lineRule="auto"/>
              <w:ind w:left="0" w:right="0" w:firstLine="472"/>
              <w:jc w:val="both"/>
              <w:rPr>
                <w:rFonts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共计</w:t>
            </w:r>
            <w:r>
              <w:rPr>
                <w:rFonts w:hint="default" w:ascii="Times New Roman" w:hAnsi="Times New Roman" w:eastAsia="宋体" w:cs="Times New Roman"/>
                <w:color w:val="000000" w:themeColor="text1"/>
                <w:sz w:val="24"/>
                <w:szCs w:val="24"/>
                <w:highlight w:val="none"/>
                <w14:textFill>
                  <w14:solidFill>
                    <w14:schemeClr w14:val="tx1"/>
                  </w14:solidFill>
                </w14:textFill>
              </w:rPr>
              <w:t>钻井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口，钻井总进尺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9228</w:t>
            </w:r>
            <w:r>
              <w:rPr>
                <w:rFonts w:hint="default" w:ascii="Times New Roman" w:hAnsi="Times New Roman" w:eastAsia="宋体" w:cs="Times New Roman"/>
                <w:color w:val="000000" w:themeColor="text1"/>
                <w:sz w:val="24"/>
                <w:szCs w:val="24"/>
                <w:highlight w:val="none"/>
                <w14:textFill>
                  <w14:solidFill>
                    <w14:schemeClr w14:val="tx1"/>
                  </w14:solidFill>
                </w14:textFill>
              </w:rPr>
              <w:t>m，参照《排放源统计调查产排污核算方法和系数手册》1120石油和天然气开采专业及辅助性活动行业系数手册，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≥3.5千米普通油井的钻井液产生系数为29.73吨/百米，</w:t>
            </w:r>
            <w:r>
              <w:rPr>
                <w:rFonts w:hint="default" w:ascii="Times New Roman" w:hAnsi="Times New Roman" w:eastAsia="宋体" w:cs="Times New Roman"/>
                <w:color w:val="000000" w:themeColor="text1"/>
                <w:sz w:val="24"/>
                <w:szCs w:val="24"/>
                <w:highlight w:val="none"/>
                <w14:textFill>
                  <w14:solidFill>
                    <w14:schemeClr w14:val="tx1"/>
                  </w14:solidFill>
                </w14:textFill>
              </w:rPr>
              <w:t>则钻井液产生量为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2743.48</w:t>
            </w:r>
            <w:r>
              <w:rPr>
                <w:rFonts w:hint="default" w:ascii="Times New Roman" w:hAnsi="Times New Roman" w:eastAsia="宋体" w:cs="Times New Roman"/>
                <w:color w:val="000000" w:themeColor="text1"/>
                <w:sz w:val="24"/>
                <w:szCs w:val="24"/>
                <w:highlight w:val="none"/>
                <w14:textFill>
                  <w14:solidFill>
                    <w14:schemeClr w14:val="tx1"/>
                  </w14:solidFill>
                </w14:textFill>
              </w:rPr>
              <w:t>t。按照“95%回用，剩余5%作为废弃泥浆处置”的原则，废弃泥浆产生量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137.17t</w:t>
            </w:r>
            <w:r>
              <w:rPr>
                <w:rFonts w:hint="default" w:ascii="Times New Roman" w:hAnsi="Times New Roman" w:eastAsia="宋体" w:cs="Times New Roman"/>
                <w:color w:val="000000" w:themeColor="text1"/>
                <w:sz w:val="24"/>
                <w:szCs w:val="24"/>
                <w:highlight w:val="none"/>
                <w14:textFill>
                  <w14:solidFill>
                    <w14:schemeClr w14:val="tx1"/>
                  </w14:solidFill>
                </w14:textFill>
              </w:rPr>
              <w:t>，其中油基废弃泥浆约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21.7</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水基废弃泥浆约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115.47</w:t>
            </w:r>
            <w:r>
              <w:rPr>
                <w:rFonts w:hint="default" w:ascii="Times New Roman" w:hAnsi="Times New Roman" w:eastAsia="宋体" w:cs="Times New Roman"/>
                <w:color w:val="000000" w:themeColor="text1"/>
                <w:sz w:val="24"/>
                <w:szCs w:val="24"/>
                <w:highlight w:val="none"/>
                <w14:textFill>
                  <w14:solidFill>
                    <w14:schemeClr w14:val="tx1"/>
                  </w14:solidFill>
                </w14:textFill>
              </w:rPr>
              <w:t>t。</w:t>
            </w:r>
          </w:p>
          <w:p w14:paraId="734D90D5">
            <w:pPr>
              <w:pStyle w:val="26"/>
              <w:keepNext w:val="0"/>
              <w:keepLines w:val="0"/>
              <w:pageBreakBefore w:val="0"/>
              <w:widowControl w:val="0"/>
              <w:kinsoku/>
              <w:wordWrap/>
              <w:overflowPunct/>
              <w:topLinePunct w:val="0"/>
              <w:autoSpaceDE w:val="0"/>
              <w:autoSpaceDN w:val="0"/>
              <w:bidi w:val="0"/>
              <w:adjustRightInd w:val="0"/>
              <w:snapToGrid w:val="0"/>
              <w:spacing w:before="0" w:beforeLines="0" w:line="360" w:lineRule="auto"/>
              <w:ind w:firstLine="460"/>
              <w:jc w:val="both"/>
              <w:textAlignment w:val="baseline"/>
              <w:rPr>
                <w:rFonts w:ascii="Times New Roman" w:hAnsi="Times New Roman" w:cs="Times New Roman"/>
                <w:color w:val="000000" w:themeColor="text1"/>
                <w:spacing w:val="-1"/>
                <w:sz w:val="24"/>
                <w:szCs w:val="24"/>
                <w:highlight w:val="none"/>
                <w:lang w:eastAsia="zh-CN"/>
                <w14:textFill>
                  <w14:solidFill>
                    <w14:schemeClr w14:val="tx1"/>
                  </w14:solidFill>
                </w14:textFill>
              </w:rPr>
            </w:pPr>
            <w:r>
              <w:rPr>
                <w:rFonts w:hint="eastAsia" w:eastAsia="宋体" w:cs="宋体"/>
                <w:color w:val="000000" w:themeColor="text1"/>
                <w:spacing w:val="-14"/>
                <w:sz w:val="24"/>
                <w:szCs w:val="24"/>
                <w:highlight w:val="none"/>
                <w:lang w:eastAsia="zh-CN"/>
                <w14:textFill>
                  <w14:solidFill>
                    <w14:schemeClr w14:val="tx1"/>
                  </w14:solidFill>
                </w14:textFill>
              </w:rPr>
              <w:t>项目采用泥浆不落地</w:t>
            </w:r>
            <w:r>
              <w:rPr>
                <w:rFonts w:hint="eastAsia" w:eastAsia="宋体" w:cs="宋体"/>
                <w:color w:val="000000" w:themeColor="text1"/>
                <w:spacing w:val="-14"/>
                <w:sz w:val="24"/>
                <w:szCs w:val="24"/>
                <w:highlight w:val="none"/>
                <w:lang w:val="en-US" w:eastAsia="zh-CN"/>
                <w14:textFill>
                  <w14:solidFill>
                    <w14:schemeClr w14:val="tx1"/>
                  </w14:solidFill>
                </w14:textFill>
              </w:rPr>
              <w:t>设备</w:t>
            </w:r>
            <w:r>
              <w:rPr>
                <w:rFonts w:hint="eastAsia" w:eastAsia="宋体" w:cs="宋体"/>
                <w:color w:val="000000" w:themeColor="text1"/>
                <w:spacing w:val="-14"/>
                <w:sz w:val="24"/>
                <w:szCs w:val="24"/>
                <w:highlight w:val="none"/>
                <w:lang w:eastAsia="zh-CN"/>
                <w14:textFill>
                  <w14:solidFill>
                    <w14:schemeClr w14:val="tx1"/>
                  </w14:solidFill>
                </w14:textFill>
              </w:rPr>
              <w:t>，液相循环使用，</w:t>
            </w:r>
            <w:r>
              <w:rPr>
                <w:rFonts w:hint="eastAsia" w:eastAsia="宋体" w:cs="宋体"/>
                <w:color w:val="000000" w:themeColor="text1"/>
                <w:sz w:val="24"/>
                <w:szCs w:val="24"/>
                <w:highlight w:val="none"/>
                <w:lang w:eastAsia="zh-CN"/>
                <w14:textFill>
                  <w14:solidFill>
                    <w14:schemeClr w14:val="tx1"/>
                  </w14:solidFill>
                </w14:textFill>
              </w:rPr>
              <w:t>无法综合利用的由具备资质的单位及时转运处理，处置过程符合《油气田钻井固体废弃物综合利用污染物控制要求》（</w:t>
            </w:r>
            <w:r>
              <w:rPr>
                <w:rFonts w:ascii="Times New Roman" w:hAnsi="Times New Roman" w:cs="Times New Roman"/>
                <w:color w:val="000000" w:themeColor="text1"/>
                <w:sz w:val="24"/>
                <w:szCs w:val="24"/>
                <w:highlight w:val="none"/>
                <w:lang w:eastAsia="zh-CN"/>
                <w14:textFill>
                  <w14:solidFill>
                    <w14:schemeClr w14:val="tx1"/>
                  </w14:solidFill>
                </w14:textFill>
              </w:rPr>
              <w:t>DB65/T</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 xml:space="preserve"> </w:t>
            </w:r>
            <w:r>
              <w:rPr>
                <w:rFonts w:ascii="Times New Roman" w:hAnsi="Times New Roman" w:cs="Times New Roman"/>
                <w:color w:val="000000" w:themeColor="text1"/>
                <w:sz w:val="24"/>
                <w:szCs w:val="24"/>
                <w:highlight w:val="none"/>
                <w:lang w:eastAsia="zh-CN"/>
                <w14:textFill>
                  <w14:solidFill>
                    <w14:schemeClr w14:val="tx1"/>
                  </w14:solidFill>
                </w14:textFill>
              </w:rPr>
              <w:t>3997—2017</w:t>
            </w:r>
            <w:r>
              <w:rPr>
                <w:rFonts w:hint="eastAsia" w:eastAsia="宋体" w:cs="宋体"/>
                <w:color w:val="000000" w:themeColor="text1"/>
                <w:sz w:val="24"/>
                <w:szCs w:val="24"/>
                <w:highlight w:val="none"/>
                <w:lang w:eastAsia="zh-CN"/>
                <w14:textFill>
                  <w14:solidFill>
                    <w14:schemeClr w14:val="tx1"/>
                  </w14:solidFill>
                </w14:textFill>
              </w:rPr>
              <w:t>）相关要求，具备条件的可综合利用。</w:t>
            </w:r>
          </w:p>
          <w:p w14:paraId="01BA385D">
            <w:pPr>
              <w:pStyle w:val="22"/>
              <w:widowControl w:val="0"/>
              <w:kinsoku/>
              <w:spacing w:before="3" w:line="359" w:lineRule="auto"/>
              <w:ind w:right="4"/>
              <w:jc w:val="both"/>
              <w:rPr>
                <w:rFonts w:ascii="Times New Roman" w:hAnsi="Times New Roman" w:cs="Times New Roman"/>
                <w:b/>
                <w:bCs/>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z w:val="24"/>
                <w:szCs w:val="24"/>
                <w:highlight w:val="none"/>
                <w:lang w:eastAsia="zh-CN"/>
                <w14:textFill>
                  <w14:solidFill>
                    <w14:schemeClr w14:val="tx1"/>
                  </w14:solidFill>
                </w14:textFill>
              </w:rPr>
              <w:t>6.2钻井岩屑</w:t>
            </w:r>
          </w:p>
          <w:p w14:paraId="6010FA5C">
            <w:pPr>
              <w:pStyle w:val="22"/>
              <w:widowControl w:val="0"/>
              <w:kinsoku/>
              <w:spacing w:before="3" w:line="359" w:lineRule="auto"/>
              <w:ind w:left="2" w:right="4" w:firstLine="481"/>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钻井过程中，岩石经钻头和钻井液的研磨而破碎成岩屑，随钻井液排出井口，进入钻井液不落地系统处理后岩屑与钻井液分离，固体岩屑拉运处理。岩屑产生量与井身结构有关，可按下式计算：</w:t>
            </w:r>
          </w:p>
          <w:p w14:paraId="06618C92">
            <w:pPr>
              <w:widowControl w:val="0"/>
              <w:kinsoku/>
              <w:spacing w:line="322" w:lineRule="exact"/>
              <w:ind w:left="3254"/>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pacing w:val="-4"/>
                <w:position w:val="1"/>
                <w:sz w:val="24"/>
                <w:szCs w:val="24"/>
                <w:highlight w:val="none"/>
                <w:lang w:eastAsia="zh-CN"/>
                <w14:textFill>
                  <w14:solidFill>
                    <w14:schemeClr w14:val="tx1"/>
                  </w14:solidFill>
                </w14:textFill>
              </w:rPr>
              <w:t>W=1/4×</w:t>
            </w:r>
            <w:r>
              <w:rPr>
                <w:rFonts w:ascii="Times New Roman" w:hAnsi="Times New Roman" w:eastAsia="宋体" w:cs="Times New Roman"/>
                <w:color w:val="000000" w:themeColor="text1"/>
                <w:spacing w:val="-4"/>
                <w:position w:val="1"/>
                <w:sz w:val="24"/>
                <w:szCs w:val="24"/>
                <w:highlight w:val="none"/>
                <w14:textFill>
                  <w14:solidFill>
                    <w14:schemeClr w14:val="tx1"/>
                  </w14:solidFill>
                </w14:textFill>
              </w:rPr>
              <w:t>π</w:t>
            </w:r>
            <w:r>
              <w:rPr>
                <w:rFonts w:ascii="Times New Roman" w:hAnsi="Times New Roman" w:eastAsia="宋体" w:cs="Times New Roman"/>
                <w:color w:val="000000" w:themeColor="text1"/>
                <w:spacing w:val="-4"/>
                <w:position w:val="1"/>
                <w:sz w:val="24"/>
                <w:szCs w:val="24"/>
                <w:highlight w:val="none"/>
                <w:lang w:eastAsia="zh-CN"/>
                <w14:textFill>
                  <w14:solidFill>
                    <w14:schemeClr w14:val="tx1"/>
                  </w14:solidFill>
                </w14:textFill>
              </w:rPr>
              <w:t>×D</w:t>
            </w:r>
            <w:r>
              <w:rPr>
                <w:rFonts w:ascii="Times New Roman" w:hAnsi="Times New Roman" w:eastAsia="宋体" w:cs="Times New Roman"/>
                <w:color w:val="000000" w:themeColor="text1"/>
                <w:spacing w:val="-4"/>
                <w:position w:val="8"/>
                <w:sz w:val="15"/>
                <w:szCs w:val="15"/>
                <w:highlight w:val="none"/>
                <w:lang w:eastAsia="zh-CN"/>
                <w14:textFill>
                  <w14:solidFill>
                    <w14:schemeClr w14:val="tx1"/>
                  </w14:solidFill>
                </w14:textFill>
              </w:rPr>
              <w:t>2</w:t>
            </w:r>
            <w:r>
              <w:rPr>
                <w:rFonts w:ascii="Times New Roman" w:hAnsi="Times New Roman" w:eastAsia="宋体" w:cs="Times New Roman"/>
                <w:color w:val="000000" w:themeColor="text1"/>
                <w:spacing w:val="-4"/>
                <w:position w:val="1"/>
                <w:sz w:val="24"/>
                <w:szCs w:val="24"/>
                <w:highlight w:val="none"/>
                <w:lang w:eastAsia="zh-CN"/>
                <w14:textFill>
                  <w14:solidFill>
                    <w14:schemeClr w14:val="tx1"/>
                  </w14:solidFill>
                </w14:textFill>
              </w:rPr>
              <w:t>×h×P×</w:t>
            </w:r>
            <w:r>
              <w:rPr>
                <w:rFonts w:hint="eastAsia" w:ascii="Times New Roman" w:hAnsi="Times New Roman" w:eastAsia="宋体" w:cs="Times New Roman"/>
                <w:color w:val="000000" w:themeColor="text1"/>
                <w:spacing w:val="-4"/>
                <w:position w:val="1"/>
                <w:sz w:val="24"/>
                <w:szCs w:val="24"/>
                <w:highlight w:val="none"/>
                <w:lang w:val="en-US" w:eastAsia="zh-CN"/>
                <w14:textFill>
                  <w14:solidFill>
                    <w14:schemeClr w14:val="tx1"/>
                  </w14:solidFill>
                </w14:textFill>
              </w:rPr>
              <w:t>1.2</w:t>
            </w:r>
          </w:p>
          <w:p w14:paraId="675A6BCB">
            <w:pPr>
              <w:pStyle w:val="22"/>
              <w:widowControl w:val="0"/>
              <w:kinsoku/>
              <w:spacing w:before="153" w:line="219" w:lineRule="auto"/>
              <w:ind w:left="488"/>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式中：W——产生的岩屑量，m</w:t>
            </w:r>
            <w:r>
              <w:rPr>
                <w:rFonts w:ascii="Times New Roman" w:hAnsi="Times New Roman" w:cs="Times New Roman"/>
                <w:color w:val="000000" w:themeColor="text1"/>
                <w:spacing w:val="-1"/>
                <w:position w:val="8"/>
                <w:sz w:val="15"/>
                <w:szCs w:val="15"/>
                <w:highlight w:val="none"/>
                <w:lang w:eastAsia="zh-CN"/>
                <w14:textFill>
                  <w14:solidFill>
                    <w14:schemeClr w14:val="tx1"/>
                  </w14:solidFill>
                </w14:textFill>
              </w:rPr>
              <w:t>3</w:t>
            </w:r>
            <w:r>
              <w:rPr>
                <w:rFonts w:ascii="Times New Roman" w:hAnsi="Times New Roman" w:cs="Times New Roman"/>
                <w:color w:val="000000" w:themeColor="text1"/>
                <w:spacing w:val="-1"/>
                <w:sz w:val="24"/>
                <w:szCs w:val="24"/>
                <w:highlight w:val="none"/>
                <w:lang w:eastAsia="zh-CN"/>
                <w14:textFill>
                  <w14:solidFill>
                    <w14:schemeClr w14:val="tx1"/>
                  </w14:solidFill>
                </w14:textFill>
              </w:rPr>
              <w:t>；</w:t>
            </w:r>
          </w:p>
          <w:p w14:paraId="12E631C7">
            <w:pPr>
              <w:pStyle w:val="22"/>
              <w:widowControl w:val="0"/>
              <w:kinsoku/>
              <w:spacing w:before="183" w:line="219" w:lineRule="auto"/>
              <w:ind w:left="1198"/>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D——井眼平均井径，m；</w:t>
            </w:r>
          </w:p>
          <w:p w14:paraId="24104968">
            <w:pPr>
              <w:pStyle w:val="22"/>
              <w:widowControl w:val="0"/>
              <w:kinsoku/>
              <w:spacing w:before="180" w:line="360" w:lineRule="auto"/>
              <w:ind w:left="1195"/>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h——裸眼长度，m；</w:t>
            </w:r>
          </w:p>
          <w:p w14:paraId="1FDCD168">
            <w:pPr>
              <w:pStyle w:val="22"/>
              <w:widowControl w:val="0"/>
              <w:kinsoku/>
              <w:spacing w:before="3" w:line="360" w:lineRule="auto"/>
              <w:ind w:right="4" w:firstLine="1200" w:firstLineChars="500"/>
              <w:jc w:val="both"/>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P——膨胀系数，使用水基钻井液体系时取P=</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2.2</w:t>
            </w:r>
            <w:r>
              <w:rPr>
                <w:rFonts w:ascii="Times New Roman" w:hAnsi="Times New Roman" w:cs="Times New Roman"/>
                <w:color w:val="000000" w:themeColor="text1"/>
                <w:sz w:val="24"/>
                <w:szCs w:val="24"/>
                <w:highlight w:val="none"/>
                <w:lang w:eastAsia="zh-CN"/>
                <w14:textFill>
                  <w14:solidFill>
                    <w14:schemeClr w14:val="tx1"/>
                  </w14:solidFill>
                </w14:textFill>
              </w:rPr>
              <w:t>，油基钻井液体系取P=</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2.5</w:t>
            </w:r>
            <w:r>
              <w:rPr>
                <w:rFonts w:ascii="Times New Roman" w:hAnsi="Times New Roman" w:cs="Times New Roman"/>
                <w:color w:val="000000" w:themeColor="text1"/>
                <w:sz w:val="24"/>
                <w:szCs w:val="24"/>
                <w:highlight w:val="none"/>
                <w:lang w:eastAsia="zh-CN"/>
                <w14:textFill>
                  <w14:solidFill>
                    <w14:schemeClr w14:val="tx1"/>
                  </w14:solidFill>
                </w14:textFill>
              </w:rPr>
              <w:t>。</w:t>
            </w:r>
          </w:p>
          <w:p w14:paraId="755A4637">
            <w:pPr>
              <w:pStyle w:val="4"/>
              <w:widowControl w:val="0"/>
              <w:kinsoku/>
              <w:ind w:firstLine="472"/>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岩屑产生量详见下表</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4-2。</w:t>
            </w:r>
          </w:p>
          <w:p w14:paraId="2344981B">
            <w:pPr>
              <w:pStyle w:val="28"/>
              <w:widowControl w:val="0"/>
              <w:kinsoku/>
              <w:spacing w:line="240" w:lineRule="auto"/>
              <w:ind w:firstLine="0" w:firstLineChars="0"/>
              <w:rPr>
                <w:rFonts w:ascii="Times New Roman" w:hAnsi="Times New Roman" w:eastAsia="宋体" w:cs="Times New Roman"/>
                <w:b/>
                <w:bCs/>
                <w:color w:val="000000" w:themeColor="text1"/>
                <w:highlight w:val="none"/>
                <w:lang w:eastAsia="zh-CN"/>
                <w14:textFill>
                  <w14:solidFill>
                    <w14:schemeClr w14:val="tx1"/>
                  </w14:solidFill>
                </w14:textFill>
              </w:rPr>
            </w:pPr>
            <w:r>
              <w:rPr>
                <w:rFonts w:ascii="Times New Roman" w:hAnsi="Times New Roman" w:eastAsia="宋体" w:cs="Times New Roman"/>
                <w:b/>
                <w:bCs/>
                <w:color w:val="000000" w:themeColor="text1"/>
                <w:highlight w:val="none"/>
                <w:lang w:eastAsia="zh-CN"/>
                <w14:textFill>
                  <w14:solidFill>
                    <w14:schemeClr w14:val="tx1"/>
                  </w14:solidFill>
                </w14:textFill>
              </w:rPr>
              <w:t>表4-</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2</w:t>
            </w:r>
            <w:r>
              <w:rPr>
                <w:rFonts w:ascii="Times New Roman" w:hAnsi="Times New Roman" w:eastAsia="宋体" w:cs="Times New Roman"/>
                <w:b/>
                <w:bCs/>
                <w:color w:val="000000" w:themeColor="text1"/>
                <w:highlight w:val="none"/>
                <w:lang w:eastAsia="zh-CN"/>
                <w14:textFill>
                  <w14:solidFill>
                    <w14:schemeClr w14:val="tx1"/>
                  </w14:solidFill>
                </w14:textFill>
              </w:rPr>
              <w:t xml:space="preserve">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ascii="Times New Roman" w:hAnsi="Times New Roman" w:eastAsia="宋体" w:cs="Times New Roman"/>
                <w:b/>
                <w:bCs/>
                <w:color w:val="000000" w:themeColor="text1"/>
                <w:highlight w:val="none"/>
                <w:lang w:eastAsia="zh-CN"/>
                <w14:textFill>
                  <w14:solidFill>
                    <w14:schemeClr w14:val="tx1"/>
                  </w14:solidFill>
                </w14:textFill>
              </w:rPr>
              <w:t>钻井岩屑产生量一览表</w:t>
            </w:r>
          </w:p>
          <w:tbl>
            <w:tblPr>
              <w:tblStyle w:val="16"/>
              <w:tblW w:w="4995"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933"/>
              <w:gridCol w:w="1509"/>
              <w:gridCol w:w="1103"/>
              <w:gridCol w:w="1328"/>
              <w:gridCol w:w="1610"/>
              <w:gridCol w:w="1611"/>
            </w:tblGrid>
            <w:tr w14:paraId="48C394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833" w:hRule="atLeast"/>
                <w:jc w:val="center"/>
              </w:trPr>
              <w:tc>
                <w:tcPr>
                  <w:tcW w:w="576" w:type="pct"/>
                  <w:tcBorders>
                    <w:tl2br w:val="nil"/>
                    <w:tr2bl w:val="nil"/>
                  </w:tcBorders>
                  <w:vAlign w:val="center"/>
                </w:tcPr>
                <w:p w14:paraId="1F619997">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井号</w:t>
                  </w:r>
                </w:p>
              </w:tc>
              <w:tc>
                <w:tcPr>
                  <w:tcW w:w="932" w:type="pct"/>
                  <w:tcBorders>
                    <w:tl2br w:val="nil"/>
                    <w:tr2bl w:val="nil"/>
                  </w:tcBorders>
                  <w:vAlign w:val="center"/>
                </w:tcPr>
                <w:p w14:paraId="1F0F639B">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开钻</w:t>
                  </w:r>
                </w:p>
                <w:p w14:paraId="018A475C">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次序</w:t>
                  </w:r>
                </w:p>
              </w:tc>
              <w:tc>
                <w:tcPr>
                  <w:tcW w:w="681" w:type="pct"/>
                  <w:tcBorders>
                    <w:tl2br w:val="nil"/>
                    <w:tr2bl w:val="nil"/>
                  </w:tcBorders>
                  <w:vAlign w:val="center"/>
                </w:tcPr>
                <w:p w14:paraId="585C8E06">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钻井液类型</w:t>
                  </w:r>
                </w:p>
              </w:tc>
              <w:tc>
                <w:tcPr>
                  <w:tcW w:w="820" w:type="pct"/>
                  <w:tcBorders>
                    <w:tl2br w:val="nil"/>
                    <w:tr2bl w:val="nil"/>
                  </w:tcBorders>
                  <w:vAlign w:val="center"/>
                </w:tcPr>
                <w:p w14:paraId="4713C546">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钻头尺寸</w:t>
                  </w:r>
                </w:p>
                <w:p w14:paraId="65E9BC1D">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(mm)</w:t>
                  </w:r>
                </w:p>
              </w:tc>
              <w:tc>
                <w:tcPr>
                  <w:tcW w:w="994" w:type="pct"/>
                  <w:tcBorders>
                    <w:tl2br w:val="nil"/>
                    <w:tr2bl w:val="nil"/>
                  </w:tcBorders>
                  <w:vAlign w:val="center"/>
                </w:tcPr>
                <w:p w14:paraId="77140E70">
                  <w:pPr>
                    <w:pStyle w:val="22"/>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4"/>
                      <w:sz w:val="21"/>
                      <w:szCs w:val="21"/>
                      <w:highlight w:val="none"/>
                      <w:lang w:eastAsia="zh-CN"/>
                      <w14:textFill>
                        <w14:solidFill>
                          <w14:schemeClr w14:val="tx1"/>
                        </w14:solidFill>
                      </w14:textFill>
                    </w:rPr>
                    <w:t>井段（m）</w:t>
                  </w:r>
                </w:p>
              </w:tc>
              <w:tc>
                <w:tcPr>
                  <w:tcW w:w="995" w:type="pct"/>
                  <w:tcBorders>
                    <w:tl2br w:val="nil"/>
                    <w:tr2bl w:val="nil"/>
                  </w:tcBorders>
                  <w:vAlign w:val="center"/>
                </w:tcPr>
                <w:p w14:paraId="31965E8F">
                  <w:pPr>
                    <w:pStyle w:val="22"/>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b/>
                      <w:bCs/>
                      <w:color w:val="000000" w:themeColor="text1"/>
                      <w:spacing w:val="4"/>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岩屑</w:t>
                  </w:r>
                  <w:r>
                    <w:rPr>
                      <w:rFonts w:hint="default" w:ascii="Times New Roman" w:hAnsi="Times New Roman" w:cs="Times New Roman"/>
                      <w:b/>
                      <w:bCs/>
                      <w:color w:val="000000" w:themeColor="text1"/>
                      <w:spacing w:val="7"/>
                      <w:sz w:val="21"/>
                      <w:szCs w:val="21"/>
                      <w:highlight w:val="none"/>
                      <w:lang w:val="en-US" w:eastAsia="zh-CN"/>
                      <w14:textFill>
                        <w14:solidFill>
                          <w14:schemeClr w14:val="tx1"/>
                        </w14:solidFill>
                      </w14:textFill>
                    </w:rPr>
                    <w:t>产生</w:t>
                  </w:r>
                  <w:r>
                    <w:rPr>
                      <w:rFonts w:hint="default" w:ascii="Times New Roman" w:hAnsi="Times New Roman" w:eastAsia="宋体" w:cs="Times New Roman"/>
                      <w:b/>
                      <w:bCs/>
                      <w:color w:val="000000" w:themeColor="text1"/>
                      <w:spacing w:val="7"/>
                      <w:sz w:val="21"/>
                      <w:szCs w:val="21"/>
                      <w:highlight w:val="none"/>
                      <w14:textFill>
                        <w14:solidFill>
                          <w14:schemeClr w14:val="tx1"/>
                        </w14:solidFill>
                      </w14:textFill>
                    </w:rPr>
                    <w:t>量</w:t>
                  </w:r>
                </w:p>
                <w:p w14:paraId="1F018CD6">
                  <w:pPr>
                    <w:pStyle w:val="22"/>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pacing w:val="4"/>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m</w:t>
                  </w:r>
                  <w:r>
                    <w:rPr>
                      <w:rFonts w:hint="default" w:ascii="Times New Roman" w:hAnsi="Times New Roman" w:eastAsia="宋体" w:cs="Times New Roman"/>
                      <w:color w:val="000000" w:themeColor="text1"/>
                      <w:spacing w:val="1"/>
                      <w:sz w:val="21"/>
                      <w:szCs w:val="21"/>
                      <w:highlight w:val="none"/>
                      <w:vertAlign w:val="superscript"/>
                      <w:lang w:val="en-US" w:eastAsia="zh-CN"/>
                      <w14:textFill>
                        <w14:solidFill>
                          <w14:schemeClr w14:val="tx1"/>
                        </w14:solidFill>
                      </w14:textFill>
                    </w:rPr>
                    <w:t>3</w:t>
                  </w:r>
                  <w:r>
                    <w:rPr>
                      <w:rFonts w:hint="eastAsia" w:ascii="Times New Roman" w:hAnsi="Times New Roman" w:cs="Times New Roman"/>
                      <w:color w:val="000000" w:themeColor="text1"/>
                      <w:spacing w:val="1"/>
                      <w:sz w:val="21"/>
                      <w:szCs w:val="21"/>
                      <w:highlight w:val="none"/>
                      <w:vertAlign w:val="superscript"/>
                      <w:lang w:val="en-US" w:eastAsia="zh-CN"/>
                      <w14:textFill>
                        <w14:solidFill>
                          <w14:schemeClr w14:val="tx1"/>
                        </w14:solidFill>
                      </w14:textFill>
                    </w:rPr>
                    <w:t>)</w:t>
                  </w:r>
                </w:p>
              </w:tc>
            </w:tr>
            <w:tr w14:paraId="560D87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73" w:hRule="atLeast"/>
                <w:jc w:val="center"/>
              </w:trPr>
              <w:tc>
                <w:tcPr>
                  <w:tcW w:w="576" w:type="pct"/>
                  <w:vMerge w:val="restart"/>
                  <w:tcBorders>
                    <w:tl2br w:val="nil"/>
                    <w:tr2bl w:val="nil"/>
                  </w:tcBorders>
                  <w:vAlign w:val="center"/>
                </w:tcPr>
                <w:p w14:paraId="16BA8211">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吉阜103H</w:t>
                  </w:r>
                </w:p>
              </w:tc>
              <w:tc>
                <w:tcPr>
                  <w:tcW w:w="932" w:type="pct"/>
                  <w:tcBorders>
                    <w:tl2br w:val="nil"/>
                    <w:tr2bl w:val="nil"/>
                  </w:tcBorders>
                  <w:vAlign w:val="center"/>
                </w:tcPr>
                <w:p w14:paraId="4DD3F88E">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导眼</w:t>
                  </w:r>
                </w:p>
              </w:tc>
              <w:tc>
                <w:tcPr>
                  <w:tcW w:w="681" w:type="pct"/>
                  <w:vMerge w:val="restart"/>
                  <w:tcBorders>
                    <w:tl2br w:val="nil"/>
                    <w:tr2bl w:val="nil"/>
                  </w:tcBorders>
                  <w:vAlign w:val="center"/>
                </w:tcPr>
                <w:p w14:paraId="1F6DB24A">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水基钻井液</w:t>
                  </w:r>
                </w:p>
              </w:tc>
              <w:tc>
                <w:tcPr>
                  <w:tcW w:w="820" w:type="pct"/>
                  <w:tcBorders>
                    <w:tl2br w:val="nil"/>
                    <w:tr2bl w:val="nil"/>
                  </w:tcBorders>
                  <w:vAlign w:val="center"/>
                </w:tcPr>
                <w:p w14:paraId="486121C0">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Φ660</w:t>
                  </w:r>
                </w:p>
              </w:tc>
              <w:tc>
                <w:tcPr>
                  <w:tcW w:w="994" w:type="pct"/>
                  <w:tcBorders>
                    <w:tl2br w:val="nil"/>
                    <w:tr2bl w:val="nil"/>
                  </w:tcBorders>
                  <w:shd w:val="clear" w:color="auto" w:fill="auto"/>
                  <w:vAlign w:val="center"/>
                </w:tcPr>
                <w:p w14:paraId="207388F0">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w:t>
                  </w:r>
                  <w:r>
                    <w:rPr>
                      <w:rFonts w:hint="eastAsia" w:eastAsia="宋体" w:cs="Times New Roman"/>
                      <w:b w:val="0"/>
                      <w:bCs w:val="0"/>
                      <w:color w:val="000000" w:themeColor="text1"/>
                      <w:sz w:val="21"/>
                      <w:szCs w:val="21"/>
                      <w:highlight w:val="none"/>
                      <w:lang w:val="en-US" w:eastAsia="zh-CN"/>
                      <w14:textFill>
                        <w14:solidFill>
                          <w14:schemeClr w14:val="tx1"/>
                        </w14:solidFill>
                      </w14:textFill>
                    </w:rPr>
                    <w:t>50</w:t>
                  </w:r>
                </w:p>
              </w:tc>
              <w:tc>
                <w:tcPr>
                  <w:tcW w:w="995" w:type="pct"/>
                  <w:tcBorders>
                    <w:tl2br w:val="nil"/>
                    <w:tr2bl w:val="nil"/>
                  </w:tcBorders>
                  <w:shd w:val="clear" w:color="auto" w:fill="auto"/>
                  <w:vAlign w:val="center"/>
                </w:tcPr>
                <w:p w14:paraId="2038279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45.13</w:t>
                  </w:r>
                </w:p>
              </w:tc>
            </w:tr>
            <w:tr w14:paraId="5CECBA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8" w:hRule="atLeast"/>
                <w:jc w:val="center"/>
              </w:trPr>
              <w:tc>
                <w:tcPr>
                  <w:tcW w:w="576" w:type="pct"/>
                  <w:vMerge w:val="continue"/>
                  <w:tcBorders>
                    <w:tl2br w:val="nil"/>
                    <w:tr2bl w:val="nil"/>
                  </w:tcBorders>
                  <w:vAlign w:val="center"/>
                </w:tcPr>
                <w:p w14:paraId="78EBA3C7">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2" w:type="pct"/>
                  <w:tcBorders>
                    <w:tl2br w:val="nil"/>
                    <w:tr2bl w:val="nil"/>
                  </w:tcBorders>
                  <w:vAlign w:val="center"/>
                </w:tcPr>
                <w:p w14:paraId="7199A9FF">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一开</w:t>
                  </w:r>
                </w:p>
              </w:tc>
              <w:tc>
                <w:tcPr>
                  <w:tcW w:w="681" w:type="pct"/>
                  <w:vMerge w:val="continue"/>
                  <w:tcBorders>
                    <w:tl2br w:val="nil"/>
                    <w:tr2bl w:val="nil"/>
                  </w:tcBorders>
                  <w:vAlign w:val="center"/>
                </w:tcPr>
                <w:p w14:paraId="52C30D21">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820" w:type="pct"/>
                  <w:tcBorders>
                    <w:tl2br w:val="nil"/>
                    <w:tr2bl w:val="nil"/>
                  </w:tcBorders>
                  <w:vAlign w:val="center"/>
                </w:tcPr>
                <w:p w14:paraId="44B537BB">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444.5</w:t>
                  </w:r>
                </w:p>
              </w:tc>
              <w:tc>
                <w:tcPr>
                  <w:tcW w:w="994" w:type="pct"/>
                  <w:tcBorders>
                    <w:tl2br w:val="nil"/>
                    <w:tr2bl w:val="nil"/>
                  </w:tcBorders>
                  <w:shd w:val="clear" w:color="auto" w:fill="auto"/>
                  <w:vAlign w:val="center"/>
                </w:tcPr>
                <w:p w14:paraId="38863F05">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w:t>
                  </w:r>
                </w:p>
              </w:tc>
              <w:tc>
                <w:tcPr>
                  <w:tcW w:w="995" w:type="pct"/>
                  <w:tcBorders>
                    <w:tl2br w:val="nil"/>
                    <w:tr2bl w:val="nil"/>
                  </w:tcBorders>
                  <w:shd w:val="clear" w:color="auto" w:fill="auto"/>
                  <w:vAlign w:val="center"/>
                </w:tcPr>
                <w:p w14:paraId="26D1F12F">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286.62</w:t>
                  </w:r>
                </w:p>
              </w:tc>
            </w:tr>
            <w:tr w14:paraId="6D31C6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10" w:hRule="atLeast"/>
                <w:jc w:val="center"/>
              </w:trPr>
              <w:tc>
                <w:tcPr>
                  <w:tcW w:w="576" w:type="pct"/>
                  <w:vMerge w:val="continue"/>
                  <w:tcBorders>
                    <w:tl2br w:val="nil"/>
                    <w:tr2bl w:val="nil"/>
                  </w:tcBorders>
                  <w:vAlign w:val="center"/>
                </w:tcPr>
                <w:p w14:paraId="34E84FC1">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32" w:type="pct"/>
                  <w:tcBorders>
                    <w:tl2br w:val="nil"/>
                    <w:tr2bl w:val="nil"/>
                  </w:tcBorders>
                  <w:vAlign w:val="center"/>
                </w:tcPr>
                <w:p w14:paraId="082BDEE6">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二开</w:t>
                  </w:r>
                </w:p>
              </w:tc>
              <w:tc>
                <w:tcPr>
                  <w:tcW w:w="681" w:type="pct"/>
                  <w:tcBorders>
                    <w:tl2br w:val="nil"/>
                    <w:tr2bl w:val="nil"/>
                  </w:tcBorders>
                  <w:vAlign w:val="center"/>
                </w:tcPr>
                <w:p w14:paraId="4B0E47A8">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油基钻井液</w:t>
                  </w:r>
                </w:p>
              </w:tc>
              <w:tc>
                <w:tcPr>
                  <w:tcW w:w="820" w:type="pct"/>
                  <w:tcBorders>
                    <w:tl2br w:val="nil"/>
                    <w:tr2bl w:val="nil"/>
                  </w:tcBorders>
                  <w:vAlign w:val="center"/>
                </w:tcPr>
                <w:p w14:paraId="437878D1">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311</w:t>
                  </w:r>
                </w:p>
              </w:tc>
              <w:tc>
                <w:tcPr>
                  <w:tcW w:w="994" w:type="pct"/>
                  <w:tcBorders>
                    <w:tl2br w:val="nil"/>
                    <w:tr2bl w:val="nil"/>
                  </w:tcBorders>
                  <w:shd w:val="clear" w:color="auto" w:fill="auto"/>
                  <w:vAlign w:val="center"/>
                </w:tcPr>
                <w:p w14:paraId="5BB104E5">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u w:val="none"/>
                      <w:lang w:val="zh-CN" w:eastAsia="en-US"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w:t>
                  </w:r>
                  <w:r>
                    <w:rPr>
                      <w:rFonts w:hint="eastAsia" w:eastAsia="宋体" w:cs="Times New Roman"/>
                      <w:b w:val="0"/>
                      <w:bCs w:val="0"/>
                      <w:color w:val="000000" w:themeColor="text1"/>
                      <w:sz w:val="21"/>
                      <w:szCs w:val="21"/>
                      <w:highlight w:val="none"/>
                      <w:lang w:val="en-US" w:eastAsia="zh-CN"/>
                      <w14:textFill>
                        <w14:solidFill>
                          <w14:schemeClr w14:val="tx1"/>
                        </w14:solidFill>
                      </w14:textFill>
                    </w:rPr>
                    <w:t>287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w:t>
                  </w:r>
                </w:p>
              </w:tc>
              <w:tc>
                <w:tcPr>
                  <w:tcW w:w="995" w:type="pct"/>
                  <w:tcBorders>
                    <w:tl2br w:val="nil"/>
                    <w:tr2bl w:val="nil"/>
                  </w:tcBorders>
                  <w:shd w:val="clear" w:color="auto" w:fill="auto"/>
                  <w:vAlign w:val="center"/>
                </w:tcPr>
                <w:p w14:paraId="0D259ADE">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482.89</w:t>
                  </w:r>
                </w:p>
              </w:tc>
            </w:tr>
            <w:tr w14:paraId="6E0293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0" w:hRule="atLeast"/>
                <w:jc w:val="center"/>
              </w:trPr>
              <w:tc>
                <w:tcPr>
                  <w:tcW w:w="576" w:type="pct"/>
                  <w:vMerge w:val="continue"/>
                  <w:tcBorders>
                    <w:tl2br w:val="nil"/>
                    <w:tr2bl w:val="nil"/>
                  </w:tcBorders>
                  <w:vAlign w:val="center"/>
                </w:tcPr>
                <w:p w14:paraId="4EE27FBD">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32" w:type="pct"/>
                  <w:tcBorders>
                    <w:tl2br w:val="nil"/>
                    <w:tr2bl w:val="nil"/>
                  </w:tcBorders>
                  <w:vAlign w:val="center"/>
                </w:tcPr>
                <w:p w14:paraId="2BC856AA">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三开</w:t>
                  </w:r>
                </w:p>
              </w:tc>
              <w:tc>
                <w:tcPr>
                  <w:tcW w:w="681" w:type="pct"/>
                  <w:tcBorders>
                    <w:tl2br w:val="nil"/>
                    <w:tr2bl w:val="nil"/>
                  </w:tcBorders>
                  <w:vAlign w:val="center"/>
                </w:tcPr>
                <w:p w14:paraId="1F603B74">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基钻井液</w:t>
                  </w:r>
                </w:p>
              </w:tc>
              <w:tc>
                <w:tcPr>
                  <w:tcW w:w="820" w:type="pct"/>
                  <w:tcBorders>
                    <w:tl2br w:val="nil"/>
                    <w:tr2bl w:val="nil"/>
                  </w:tcBorders>
                  <w:vAlign w:val="center"/>
                </w:tcPr>
                <w:p w14:paraId="74D57F7D">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216</w:t>
                  </w:r>
                </w:p>
              </w:tc>
              <w:tc>
                <w:tcPr>
                  <w:tcW w:w="994" w:type="pct"/>
                  <w:tcBorders>
                    <w:tl2br w:val="nil"/>
                    <w:tr2bl w:val="nil"/>
                  </w:tcBorders>
                  <w:shd w:val="clear" w:color="auto" w:fill="auto"/>
                  <w:vAlign w:val="center"/>
                </w:tcPr>
                <w:p w14:paraId="36A57680">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287</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3980</w:t>
                  </w:r>
                </w:p>
              </w:tc>
              <w:tc>
                <w:tcPr>
                  <w:tcW w:w="995" w:type="pct"/>
                  <w:tcBorders>
                    <w:tl2br w:val="nil"/>
                    <w:tr2bl w:val="nil"/>
                  </w:tcBorders>
                  <w:shd w:val="clear" w:color="auto" w:fill="auto"/>
                  <w:vAlign w:val="center"/>
                </w:tcPr>
                <w:p w14:paraId="57E234B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121.96</w:t>
                  </w:r>
                </w:p>
              </w:tc>
            </w:tr>
            <w:tr w14:paraId="68FB94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0" w:hRule="atLeast"/>
                <w:jc w:val="center"/>
              </w:trPr>
              <w:tc>
                <w:tcPr>
                  <w:tcW w:w="576" w:type="pct"/>
                  <w:vMerge w:val="restart"/>
                  <w:tcBorders>
                    <w:tl2br w:val="nil"/>
                    <w:tr2bl w:val="nil"/>
                  </w:tcBorders>
                  <w:vAlign w:val="center"/>
                </w:tcPr>
                <w:p w14:paraId="7A931385">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吉阜1001H</w:t>
                  </w:r>
                </w:p>
              </w:tc>
              <w:tc>
                <w:tcPr>
                  <w:tcW w:w="932" w:type="pct"/>
                  <w:tcBorders>
                    <w:tl2br w:val="nil"/>
                    <w:tr2bl w:val="nil"/>
                  </w:tcBorders>
                  <w:vAlign w:val="center"/>
                </w:tcPr>
                <w:p w14:paraId="3509CA04">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导眼</w:t>
                  </w:r>
                </w:p>
              </w:tc>
              <w:tc>
                <w:tcPr>
                  <w:tcW w:w="681" w:type="pct"/>
                  <w:vMerge w:val="restart"/>
                  <w:tcBorders>
                    <w:tl2br w:val="nil"/>
                    <w:tr2bl w:val="nil"/>
                  </w:tcBorders>
                  <w:vAlign w:val="center"/>
                </w:tcPr>
                <w:p w14:paraId="5070B6D6">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水基钻井液</w:t>
                  </w:r>
                </w:p>
              </w:tc>
              <w:tc>
                <w:tcPr>
                  <w:tcW w:w="820" w:type="pct"/>
                  <w:tcBorders>
                    <w:tl2br w:val="nil"/>
                    <w:tr2bl w:val="nil"/>
                  </w:tcBorders>
                  <w:shd w:val="clear" w:color="auto" w:fill="auto"/>
                  <w:vAlign w:val="center"/>
                </w:tcPr>
                <w:p w14:paraId="41B8AEDF">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snapToGrid w:val="0"/>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Φ660</w:t>
                  </w:r>
                </w:p>
              </w:tc>
              <w:tc>
                <w:tcPr>
                  <w:tcW w:w="1608" w:type="dxa"/>
                  <w:tcBorders>
                    <w:tl2br w:val="nil"/>
                    <w:tr2bl w:val="nil"/>
                  </w:tcBorders>
                  <w:shd w:val="clear" w:color="auto" w:fill="auto"/>
                  <w:vAlign w:val="center"/>
                </w:tcPr>
                <w:p w14:paraId="308E3ED3">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w:t>
                  </w:r>
                  <w:r>
                    <w:rPr>
                      <w:rFonts w:hint="eastAsia" w:eastAsia="宋体" w:cs="Times New Roman"/>
                      <w:b w:val="0"/>
                      <w:bCs w:val="0"/>
                      <w:color w:val="000000" w:themeColor="text1"/>
                      <w:sz w:val="21"/>
                      <w:szCs w:val="21"/>
                      <w:highlight w:val="none"/>
                      <w:lang w:val="en-US" w:eastAsia="zh-CN"/>
                      <w14:textFill>
                        <w14:solidFill>
                          <w14:schemeClr w14:val="tx1"/>
                        </w14:solidFill>
                      </w14:textFill>
                    </w:rPr>
                    <w:t>50</w:t>
                  </w:r>
                </w:p>
              </w:tc>
              <w:tc>
                <w:tcPr>
                  <w:tcW w:w="995" w:type="pct"/>
                  <w:tcBorders>
                    <w:tl2br w:val="nil"/>
                    <w:tr2bl w:val="nil"/>
                  </w:tcBorders>
                  <w:shd w:val="clear" w:color="auto" w:fill="auto"/>
                  <w:vAlign w:val="center"/>
                </w:tcPr>
                <w:p w14:paraId="2A4FFEE5">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45.13</w:t>
                  </w:r>
                </w:p>
              </w:tc>
            </w:tr>
            <w:tr w14:paraId="243C5A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0" w:hRule="atLeast"/>
                <w:jc w:val="center"/>
              </w:trPr>
              <w:tc>
                <w:tcPr>
                  <w:tcW w:w="576" w:type="pct"/>
                  <w:vMerge w:val="continue"/>
                  <w:tcBorders>
                    <w:tl2br w:val="nil"/>
                    <w:tr2bl w:val="nil"/>
                  </w:tcBorders>
                  <w:vAlign w:val="center"/>
                </w:tcPr>
                <w:p w14:paraId="6AD08AEC">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32" w:type="pct"/>
                  <w:tcBorders>
                    <w:tl2br w:val="nil"/>
                    <w:tr2bl w:val="nil"/>
                  </w:tcBorders>
                  <w:vAlign w:val="center"/>
                </w:tcPr>
                <w:p w14:paraId="2B8EC116">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一开</w:t>
                  </w:r>
                </w:p>
              </w:tc>
              <w:tc>
                <w:tcPr>
                  <w:tcW w:w="681" w:type="pct"/>
                  <w:vMerge w:val="continue"/>
                  <w:tcBorders>
                    <w:tl2br w:val="nil"/>
                    <w:tr2bl w:val="nil"/>
                  </w:tcBorders>
                  <w:vAlign w:val="center"/>
                </w:tcPr>
                <w:p w14:paraId="39732B1E">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820" w:type="pct"/>
                  <w:tcBorders>
                    <w:tl2br w:val="nil"/>
                    <w:tr2bl w:val="nil"/>
                  </w:tcBorders>
                  <w:shd w:val="clear" w:color="auto" w:fill="auto"/>
                  <w:vAlign w:val="center"/>
                </w:tcPr>
                <w:p w14:paraId="045BA2CC">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snapToGrid w:val="0"/>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eastAsia="宋体" w:cs="Times New Roman"/>
                      <w:b w:val="0"/>
                      <w:bCs w:val="0"/>
                      <w:color w:val="000000" w:themeColor="text1"/>
                      <w:sz w:val="21"/>
                      <w:szCs w:val="21"/>
                      <w:highlight w:val="none"/>
                      <w:lang w:val="en-US" w:eastAsia="zh-CN"/>
                      <w14:textFill>
                        <w14:solidFill>
                          <w14:schemeClr w14:val="tx1"/>
                        </w14:solidFill>
                      </w14:textFill>
                    </w:rPr>
                    <w:t>375</w:t>
                  </w:r>
                </w:p>
              </w:tc>
              <w:tc>
                <w:tcPr>
                  <w:tcW w:w="1608" w:type="dxa"/>
                  <w:tcBorders>
                    <w:tl2br w:val="nil"/>
                    <w:tr2bl w:val="nil"/>
                  </w:tcBorders>
                  <w:shd w:val="clear" w:color="auto" w:fill="auto"/>
                  <w:vAlign w:val="center"/>
                </w:tcPr>
                <w:p w14:paraId="48ADC4E8">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w:t>
                  </w:r>
                </w:p>
              </w:tc>
              <w:tc>
                <w:tcPr>
                  <w:tcW w:w="995" w:type="pct"/>
                  <w:tcBorders>
                    <w:tl2br w:val="nil"/>
                    <w:tr2bl w:val="nil"/>
                  </w:tcBorders>
                  <w:shd w:val="clear" w:color="auto" w:fill="auto"/>
                  <w:vAlign w:val="center"/>
                </w:tcPr>
                <w:p w14:paraId="6A5FB871">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204.00</w:t>
                  </w:r>
                </w:p>
              </w:tc>
            </w:tr>
            <w:tr w14:paraId="6C5E15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0" w:hRule="atLeast"/>
                <w:jc w:val="center"/>
              </w:trPr>
              <w:tc>
                <w:tcPr>
                  <w:tcW w:w="576" w:type="pct"/>
                  <w:vMerge w:val="continue"/>
                  <w:tcBorders>
                    <w:tl2br w:val="nil"/>
                    <w:tr2bl w:val="nil"/>
                  </w:tcBorders>
                  <w:vAlign w:val="center"/>
                </w:tcPr>
                <w:p w14:paraId="6D74103E">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32" w:type="pct"/>
                  <w:vMerge w:val="restart"/>
                  <w:tcBorders>
                    <w:tl2br w:val="nil"/>
                    <w:tr2bl w:val="nil"/>
                  </w:tcBorders>
                  <w:vAlign w:val="center"/>
                </w:tcPr>
                <w:p w14:paraId="10EE347C">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二开</w:t>
                  </w:r>
                </w:p>
              </w:tc>
              <w:tc>
                <w:tcPr>
                  <w:tcW w:w="681" w:type="pct"/>
                  <w:tcBorders>
                    <w:tl2br w:val="nil"/>
                    <w:tr2bl w:val="nil"/>
                  </w:tcBorders>
                  <w:vAlign w:val="center"/>
                </w:tcPr>
                <w:p w14:paraId="12CB4B70">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油基钻井液</w:t>
                  </w:r>
                </w:p>
              </w:tc>
              <w:tc>
                <w:tcPr>
                  <w:tcW w:w="820" w:type="pct"/>
                  <w:tcBorders>
                    <w:tl2br w:val="nil"/>
                    <w:tr2bl w:val="nil"/>
                  </w:tcBorders>
                  <w:shd w:val="clear" w:color="auto" w:fill="auto"/>
                  <w:vAlign w:val="center"/>
                </w:tcPr>
                <w:p w14:paraId="6D03A671">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snapToGrid w:val="0"/>
                      <w:color w:val="000000" w:themeColor="text1"/>
                      <w:kern w:val="0"/>
                      <w:sz w:val="21"/>
                      <w:szCs w:val="21"/>
                      <w:highlight w:val="none"/>
                      <w:lang w:val="en-US" w:eastAsia="zh-CN"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eastAsia="宋体" w:cs="Times New Roman"/>
                      <w:b w:val="0"/>
                      <w:bCs w:val="0"/>
                      <w:color w:val="000000" w:themeColor="text1"/>
                      <w:sz w:val="21"/>
                      <w:szCs w:val="21"/>
                      <w:highlight w:val="none"/>
                      <w:lang w:val="en-US" w:eastAsia="zh-CN"/>
                      <w14:textFill>
                        <w14:solidFill>
                          <w14:schemeClr w14:val="tx1"/>
                        </w14:solidFill>
                      </w14:textFill>
                    </w:rPr>
                    <w:t>24</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p>
              </w:tc>
              <w:tc>
                <w:tcPr>
                  <w:tcW w:w="1608" w:type="dxa"/>
                  <w:tcBorders>
                    <w:tl2br w:val="nil"/>
                    <w:tr2bl w:val="nil"/>
                  </w:tcBorders>
                  <w:shd w:val="clear" w:color="auto" w:fill="auto"/>
                  <w:vAlign w:val="center"/>
                </w:tcPr>
                <w:p w14:paraId="3B028AB1">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7</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0-</w:t>
                  </w:r>
                  <w:r>
                    <w:rPr>
                      <w:rFonts w:hint="eastAsia" w:eastAsia="宋体" w:cs="Times New Roman"/>
                      <w:b w:val="0"/>
                      <w:bCs w:val="0"/>
                      <w:color w:val="000000" w:themeColor="text1"/>
                      <w:sz w:val="21"/>
                      <w:szCs w:val="21"/>
                      <w:highlight w:val="none"/>
                      <w:lang w:val="en-US" w:eastAsia="zh-CN"/>
                      <w14:textFill>
                        <w14:solidFill>
                          <w14:schemeClr w14:val="tx1"/>
                        </w14:solidFill>
                      </w14:textFill>
                    </w:rPr>
                    <w:t>3443</w:t>
                  </w:r>
                </w:p>
              </w:tc>
              <w:tc>
                <w:tcPr>
                  <w:tcW w:w="995" w:type="pct"/>
                  <w:tcBorders>
                    <w:tl2br w:val="nil"/>
                    <w:tr2bl w:val="nil"/>
                  </w:tcBorders>
                  <w:shd w:val="clear" w:color="auto" w:fill="auto"/>
                  <w:vAlign w:val="center"/>
                </w:tcPr>
                <w:p w14:paraId="5B1F943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368.35</w:t>
                  </w:r>
                </w:p>
              </w:tc>
            </w:tr>
            <w:tr w14:paraId="5BF8E8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20" w:hRule="atLeast"/>
                <w:jc w:val="center"/>
              </w:trPr>
              <w:tc>
                <w:tcPr>
                  <w:tcW w:w="576" w:type="pct"/>
                  <w:vMerge w:val="continue"/>
                  <w:tcBorders>
                    <w:tl2br w:val="nil"/>
                    <w:tr2bl w:val="nil"/>
                  </w:tcBorders>
                  <w:vAlign w:val="center"/>
                </w:tcPr>
                <w:p w14:paraId="798B3499">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32" w:type="pct"/>
                  <w:vMerge w:val="continue"/>
                  <w:tcBorders>
                    <w:tl2br w:val="nil"/>
                    <w:tr2bl w:val="nil"/>
                  </w:tcBorders>
                  <w:vAlign w:val="center"/>
                </w:tcPr>
                <w:p w14:paraId="50B62F8D">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81" w:type="pct"/>
                  <w:tcBorders>
                    <w:tl2br w:val="nil"/>
                    <w:tr2bl w:val="nil"/>
                  </w:tcBorders>
                  <w:vAlign w:val="center"/>
                </w:tcPr>
                <w:p w14:paraId="51E173E0">
                  <w:pPr>
                    <w:pStyle w:val="25"/>
                    <w:keepNext w:val="0"/>
                    <w:keepLines w:val="0"/>
                    <w:pageBreakBefore w:val="0"/>
                    <w:widowControl/>
                    <w:kinsoku w:val="0"/>
                    <w:wordWrap/>
                    <w:overflowPunct/>
                    <w:topLinePunct w:val="0"/>
                    <w:autoSpaceDE w:val="0"/>
                    <w:autoSpaceDN w:val="0"/>
                    <w:bidi w:val="0"/>
                    <w:adjustRightInd w:val="0"/>
                    <w:snapToGrid w:val="0"/>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基钻井液</w:t>
                  </w:r>
                </w:p>
              </w:tc>
              <w:tc>
                <w:tcPr>
                  <w:tcW w:w="820" w:type="pct"/>
                  <w:tcBorders>
                    <w:tl2br w:val="nil"/>
                    <w:tr2bl w:val="nil"/>
                  </w:tcBorders>
                  <w:shd w:val="clear" w:color="auto" w:fill="auto"/>
                  <w:vAlign w:val="center"/>
                </w:tcPr>
                <w:p w14:paraId="1D31879D">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Φ</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216</w:t>
                  </w:r>
                </w:p>
              </w:tc>
              <w:tc>
                <w:tcPr>
                  <w:tcW w:w="1608" w:type="dxa"/>
                  <w:tcBorders>
                    <w:tl2br w:val="nil"/>
                    <w:tr2bl w:val="nil"/>
                  </w:tcBorders>
                  <w:shd w:val="clear" w:color="auto" w:fill="auto"/>
                  <w:vAlign w:val="center"/>
                </w:tcPr>
                <w:p w14:paraId="7EA187F8">
                  <w:pPr>
                    <w:pStyle w:val="25"/>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eastAsia="宋体" w:cs="Times New Roman"/>
                      <w:b w:val="0"/>
                      <w:bCs w:val="0"/>
                      <w:color w:val="000000" w:themeColor="text1"/>
                      <w:sz w:val="21"/>
                      <w:szCs w:val="21"/>
                      <w:highlight w:val="none"/>
                      <w:lang w:val="en-US" w:eastAsia="zh-CN"/>
                      <w14:textFill>
                        <w14:solidFill>
                          <w14:schemeClr w14:val="tx1"/>
                        </w14:solidFill>
                      </w14:textFill>
                    </w:rPr>
                    <w:t>3443-5248</w:t>
                  </w:r>
                </w:p>
              </w:tc>
              <w:tc>
                <w:tcPr>
                  <w:tcW w:w="995" w:type="pct"/>
                  <w:tcBorders>
                    <w:tl2br w:val="nil"/>
                    <w:tr2bl w:val="nil"/>
                  </w:tcBorders>
                  <w:shd w:val="clear" w:color="auto" w:fill="auto"/>
                  <w:vAlign w:val="center"/>
                </w:tcPr>
                <w:p w14:paraId="227CDAD3">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jc w:val="center"/>
                    <w:textAlignment w:val="cente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198.32</w:t>
                  </w:r>
                </w:p>
              </w:tc>
            </w:tr>
          </w:tbl>
          <w:p w14:paraId="28314225">
            <w:pPr>
              <w:pStyle w:val="22"/>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left="0" w:right="0" w:firstLine="460"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pacing w:val="-5"/>
                <w:sz w:val="24"/>
                <w:szCs w:val="24"/>
                <w:highlight w:val="none"/>
                <w14:textFill>
                  <w14:solidFill>
                    <w14:schemeClr w14:val="tx1"/>
                  </w14:solidFill>
                </w14:textFill>
              </w:rPr>
              <w:t>本项目钻井</w:t>
            </w:r>
            <w:r>
              <w:rPr>
                <w:rFonts w:hint="eastAsia" w:ascii="Times New Roman" w:hAnsi="Times New Roman" w:cs="Times New Roman"/>
                <w:color w:val="000000" w:themeColor="text1"/>
                <w:spacing w:val="-5"/>
                <w:sz w:val="24"/>
                <w:szCs w:val="24"/>
                <w:highlight w:val="none"/>
                <w:lang w:val="en-US" w:eastAsia="zh-CN"/>
                <w14:textFill>
                  <w14:solidFill>
                    <w14:schemeClr w14:val="tx1"/>
                  </w14:solidFill>
                </w14:textFill>
              </w:rPr>
              <w:t>岩屑</w:t>
            </w:r>
            <w:r>
              <w:rPr>
                <w:rFonts w:hint="default" w:ascii="Times New Roman" w:hAnsi="Times New Roman" w:eastAsia="宋体" w:cs="Times New Roman"/>
                <w:color w:val="000000" w:themeColor="text1"/>
                <w:spacing w:val="-5"/>
                <w:sz w:val="24"/>
                <w:szCs w:val="24"/>
                <w:highlight w:val="none"/>
                <w:lang w:val="en-US" w:eastAsia="zh-CN"/>
                <w14:textFill>
                  <w14:solidFill>
                    <w14:schemeClr w14:val="tx1"/>
                  </w14:solidFill>
                </w14:textFill>
              </w:rPr>
              <w:t>最大产生</w:t>
            </w:r>
            <w:r>
              <w:rPr>
                <w:rFonts w:hint="default" w:ascii="Times New Roman" w:hAnsi="Times New Roman" w:cs="Times New Roman"/>
                <w:color w:val="000000" w:themeColor="text1"/>
                <w:spacing w:val="-5"/>
                <w:sz w:val="24"/>
                <w:szCs w:val="24"/>
                <w:highlight w:val="none"/>
                <w14:textFill>
                  <w14:solidFill>
                    <w14:schemeClr w14:val="tx1"/>
                  </w14:solidFill>
                </w14:textFill>
              </w:rPr>
              <w:t>量为</w:t>
            </w:r>
            <w:r>
              <w:rPr>
                <w:rFonts w:hint="eastAsia" w:ascii="Times New Roman" w:hAnsi="Times New Roman" w:cs="Times New Roman"/>
                <w:color w:val="000000" w:themeColor="text1"/>
                <w:spacing w:val="-5"/>
                <w:sz w:val="24"/>
                <w:szCs w:val="24"/>
                <w:highlight w:val="none"/>
                <w:lang w:val="en-US" w:eastAsia="zh-CN"/>
                <w14:textFill>
                  <w14:solidFill>
                    <w14:schemeClr w14:val="tx1"/>
                  </w14:solidFill>
                </w14:textFill>
              </w:rPr>
              <w:t>1752.4</w:t>
            </w:r>
            <w:r>
              <w:rPr>
                <w:rFonts w:hint="default" w:ascii="Times New Roman" w:hAnsi="Times New Roman" w:eastAsia="Times New Roman" w:cs="Times New Roman"/>
                <w:color w:val="000000" w:themeColor="text1"/>
                <w:spacing w:val="-5"/>
                <w:sz w:val="24"/>
                <w:szCs w:val="24"/>
                <w:highlight w:val="none"/>
                <w14:textFill>
                  <w14:solidFill>
                    <w14:schemeClr w14:val="tx1"/>
                  </w14:solidFill>
                </w14:textFill>
              </w:rPr>
              <w:t>m</w:t>
            </w:r>
            <w:r>
              <w:rPr>
                <w:rFonts w:hint="default" w:ascii="Times New Roman" w:hAnsi="Times New Roman" w:eastAsia="Times New Roman" w:cs="Times New Roman"/>
                <w:color w:val="000000" w:themeColor="text1"/>
                <w:spacing w:val="-5"/>
                <w:position w:val="8"/>
                <w:sz w:val="15"/>
                <w:szCs w:val="15"/>
                <w:highlight w:val="none"/>
                <w14:textFill>
                  <w14:solidFill>
                    <w14:schemeClr w14:val="tx1"/>
                  </w14:solidFill>
                </w14:textFill>
              </w:rPr>
              <w:t>3</w:t>
            </w:r>
            <w:r>
              <w:rPr>
                <w:rFonts w:hint="default" w:ascii="Times New Roman" w:hAnsi="Times New Roman" w:cs="Times New Roman"/>
                <w:color w:val="000000" w:themeColor="text1"/>
                <w:spacing w:val="-5"/>
                <w:sz w:val="24"/>
                <w:szCs w:val="24"/>
                <w:highlight w:val="none"/>
                <w14:textFill>
                  <w14:solidFill>
                    <w14:schemeClr w14:val="tx1"/>
                  </w14:solidFill>
                </w14:textFill>
              </w:rPr>
              <w:t>（</w:t>
            </w:r>
            <w:r>
              <w:rPr>
                <w:rFonts w:hint="default" w:ascii="Times New Roman" w:hAnsi="Times New Roman" w:cs="Times New Roman"/>
                <w:color w:val="000000" w:themeColor="text1"/>
                <w:spacing w:val="-6"/>
                <w:sz w:val="24"/>
                <w:szCs w:val="24"/>
                <w:highlight w:val="none"/>
                <w14:textFill>
                  <w14:solidFill>
                    <w14:schemeClr w14:val="tx1"/>
                  </w14:solidFill>
                </w14:textFill>
              </w:rPr>
              <w:t>其中：水基</w:t>
            </w:r>
            <w:r>
              <w:rPr>
                <w:rFonts w:hint="eastAsia" w:ascii="Times New Roman" w:hAnsi="Times New Roman" w:cs="Times New Roman"/>
                <w:color w:val="000000" w:themeColor="text1"/>
                <w:spacing w:val="-6"/>
                <w:sz w:val="24"/>
                <w:szCs w:val="24"/>
                <w:highlight w:val="none"/>
                <w:lang w:val="en-US" w:eastAsia="zh-CN"/>
                <w14:textFill>
                  <w14:solidFill>
                    <w14:schemeClr w14:val="tx1"/>
                  </w14:solidFill>
                </w14:textFill>
              </w:rPr>
              <w:t>岩屑580.88</w:t>
            </w:r>
            <w:r>
              <w:rPr>
                <w:rFonts w:hint="default" w:ascii="Times New Roman" w:hAnsi="Times New Roman" w:eastAsia="Times New Roman"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pacing w:val="-2"/>
                <w:sz w:val="24"/>
                <w:szCs w:val="24"/>
                <w:highlight w:val="none"/>
                <w14:textFill>
                  <w14:solidFill>
                    <w14:schemeClr w14:val="tx1"/>
                  </w14:solidFill>
                </w14:textFill>
              </w:rPr>
              <w:t>油基</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岩屑1171.52</w:t>
            </w:r>
            <w:r>
              <w:rPr>
                <w:rFonts w:hint="default" w:ascii="Times New Roman" w:hAnsi="Times New Roman" w:eastAsia="Times New Roman" w:cs="Times New Roman"/>
                <w:color w:val="000000" w:themeColor="text1"/>
                <w:spacing w:val="-2"/>
                <w:sz w:val="24"/>
                <w:szCs w:val="24"/>
                <w:highlight w:val="none"/>
                <w14:textFill>
                  <w14:solidFill>
                    <w14:schemeClr w14:val="tx1"/>
                  </w14:solidFill>
                </w14:textFill>
              </w:rPr>
              <w:t>m</w:t>
            </w:r>
            <w:r>
              <w:rPr>
                <w:rFonts w:hint="default" w:ascii="Times New Roman" w:hAnsi="Times New Roman" w:eastAsia="Times New Roman" w:cs="Times New Roman"/>
                <w:color w:val="000000" w:themeColor="text1"/>
                <w:spacing w:val="-2"/>
                <w:position w:val="7"/>
                <w:sz w:val="15"/>
                <w:szCs w:val="15"/>
                <w:highlight w:val="none"/>
                <w14:textFill>
                  <w14:solidFill>
                    <w14:schemeClr w14:val="tx1"/>
                  </w14:solidFill>
                </w14:textFill>
              </w:rPr>
              <w:t>3</w:t>
            </w:r>
            <w:r>
              <w:rPr>
                <w:rFonts w:hint="default" w:ascii="Times New Roman" w:hAnsi="Times New Roman" w:cs="Times New Roman"/>
                <w:color w:val="000000" w:themeColor="text1"/>
                <w:spacing w:val="-14"/>
                <w:sz w:val="24"/>
                <w:szCs w:val="24"/>
                <w:highlight w:val="none"/>
                <w14:textFill>
                  <w14:solidFill>
                    <w14:schemeClr w14:val="tx1"/>
                  </w14:solidFill>
                </w14:textFill>
              </w:rPr>
              <w:t>）</w:t>
            </w:r>
            <w:r>
              <w:rPr>
                <w:rFonts w:hint="eastAsia" w:eastAsia="宋体" w:cs="宋体"/>
                <w:color w:val="000000" w:themeColor="text1"/>
                <w:spacing w:val="-14"/>
                <w:sz w:val="24"/>
                <w:szCs w:val="24"/>
                <w:highlight w:val="none"/>
                <w:lang w:eastAsia="zh-CN"/>
                <w14:textFill>
                  <w14:solidFill>
                    <w14:schemeClr w14:val="tx1"/>
                  </w14:solidFill>
                </w14:textFill>
              </w:rPr>
              <w:t>，</w:t>
            </w:r>
            <w:r>
              <w:rPr>
                <w:rFonts w:ascii="Times New Roman" w:hAnsi="Times New Roman" w:cs="Times New Roman"/>
                <w:color w:val="000000" w:themeColor="text1"/>
                <w:sz w:val="24"/>
                <w:szCs w:val="24"/>
                <w:highlight w:val="none"/>
                <w:lang w:eastAsia="zh-CN"/>
                <w14:textFill>
                  <w14:solidFill>
                    <w14:schemeClr w14:val="tx1"/>
                  </w14:solidFill>
                </w14:textFill>
              </w:rPr>
              <w:t>根据中国石油天然气股份有限公司吐哈油田分公司钻井工程相关要求，钻井过程中产生的水基岩屑</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由第三方承包商进行合规处置</w:t>
            </w:r>
            <w:r>
              <w:rPr>
                <w:rFonts w:ascii="Times New Roman" w:hAnsi="Times New Roman" w:cs="Times New Roman"/>
                <w:color w:val="000000" w:themeColor="text1"/>
                <w:sz w:val="24"/>
                <w:szCs w:val="24"/>
                <w:highlight w:val="none"/>
                <w:lang w:eastAsia="zh-CN"/>
                <w14:textFill>
                  <w14:solidFill>
                    <w14:schemeClr w14:val="tx1"/>
                  </w14:solidFill>
                </w14:textFill>
              </w:rPr>
              <w:t>，油基岩屑委托有资质的单位进行处置。</w:t>
            </w:r>
          </w:p>
          <w:p w14:paraId="04C350E6">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3"/>
                <w:sz w:val="24"/>
                <w:szCs w:val="24"/>
                <w:highlight w:val="none"/>
                <w:lang w:eastAsia="zh-CN"/>
                <w14:textFill>
                  <w14:solidFill>
                    <w14:schemeClr w14:val="tx1"/>
                  </w14:solidFill>
                </w14:textFill>
              </w:rPr>
              <w:t>6.3生活垃圾</w:t>
            </w:r>
          </w:p>
          <w:p w14:paraId="540337A8">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施工期生活垃圾产生量按0.8kg/人·d计算，则施工期间生活垃圾产生量约</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3.84</w:t>
            </w:r>
            <w:r>
              <w:rPr>
                <w:rFonts w:ascii="Times New Roman" w:hAnsi="Times New Roman" w:cs="Times New Roman"/>
                <w:color w:val="000000" w:themeColor="text1"/>
                <w:spacing w:val="-2"/>
                <w:sz w:val="24"/>
                <w:szCs w:val="24"/>
                <w:highlight w:val="none"/>
                <w:lang w:eastAsia="zh-CN"/>
                <w14:textFill>
                  <w14:solidFill>
                    <w14:schemeClr w14:val="tx1"/>
                  </w14:solidFill>
                </w14:textFill>
              </w:rPr>
              <w:t>t，生活垃圾集中收集后委托第三方拉运至</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吉木萨尔县</w:t>
            </w:r>
            <w:r>
              <w:rPr>
                <w:rFonts w:ascii="Times New Roman" w:hAnsi="Times New Roman" w:cs="Times New Roman"/>
                <w:color w:val="000000" w:themeColor="text1"/>
                <w:spacing w:val="-2"/>
                <w:sz w:val="24"/>
                <w:szCs w:val="24"/>
                <w:highlight w:val="none"/>
                <w:lang w:eastAsia="zh-CN"/>
                <w14:textFill>
                  <w14:solidFill>
                    <w14:schemeClr w14:val="tx1"/>
                  </w14:solidFill>
                </w14:textFill>
              </w:rPr>
              <w:t>垃圾场处理。</w:t>
            </w:r>
          </w:p>
          <w:p w14:paraId="71F92BB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sans-serif" w:hAnsi="sans-serif" w:eastAsia="sans-serif" w:cs="sans-serif"/>
                <w:color w:val="000000" w:themeColor="text1"/>
                <w14:textFill>
                  <w14:solidFill>
                    <w14:schemeClr w14:val="tx1"/>
                  </w14:solidFill>
                </w14:textFill>
              </w:rPr>
            </w:pPr>
            <w:r>
              <w:rPr>
                <w:rFonts w:ascii="Times New Roman" w:hAnsi="Times New Roman" w:cs="Times New Roman"/>
                <w:b/>
                <w:bCs/>
                <w:color w:val="000000" w:themeColor="text1"/>
                <w:spacing w:val="-3"/>
                <w:sz w:val="24"/>
                <w:szCs w:val="24"/>
                <w:highlight w:val="none"/>
                <w:lang w:eastAsia="zh-CN"/>
                <w14:textFill>
                  <w14:solidFill>
                    <w14:schemeClr w14:val="tx1"/>
                  </w14:solidFill>
                </w14:textFill>
              </w:rPr>
              <w:t>6.4</w:t>
            </w:r>
            <w:r>
              <w:rPr>
                <w:rFonts w:hint="default" w:ascii="Times New Roman" w:hAnsi="Times New Roman" w:eastAsia="宋体" w:cs="Times New Roman"/>
                <w:b/>
                <w:bCs/>
                <w:color w:val="000000" w:themeColor="text1"/>
                <w:spacing w:val="-2"/>
                <w:sz w:val="24"/>
                <w:szCs w:val="24"/>
                <w:lang w:eastAsia="zh-CN"/>
                <w14:textFill>
                  <w14:solidFill>
                    <w14:schemeClr w14:val="tx1"/>
                  </w14:solidFill>
                </w14:textFill>
              </w:rPr>
              <w:t>生物质锅炉灰渣及除尘灰</w:t>
            </w:r>
          </w:p>
          <w:p w14:paraId="3914F490">
            <w:pPr>
              <w:pStyle w:val="22"/>
              <w:keepNext w:val="0"/>
              <w:keepLines w:val="0"/>
              <w:pageBreakBefore w:val="0"/>
              <w:widowControl w:val="0"/>
              <w:kinsoku/>
              <w:wordWrap/>
              <w:overflowPunct/>
              <w:topLinePunct w:val="0"/>
              <w:autoSpaceDE w:val="0"/>
              <w:autoSpaceDN w:val="0"/>
              <w:bidi w:val="0"/>
              <w:adjustRightInd w:val="0"/>
              <w:snapToGrid w:val="0"/>
              <w:spacing w:before="38" w:line="360" w:lineRule="auto"/>
              <w:ind w:left="6" w:right="6" w:firstLine="482"/>
              <w:jc w:val="both"/>
              <w:textAlignment w:val="baseline"/>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产生量计算：</w:t>
            </w:r>
          </w:p>
          <w:p w14:paraId="4B3DA46E">
            <w:pPr>
              <w:pStyle w:val="22"/>
              <w:keepNext w:val="0"/>
              <w:keepLines w:val="0"/>
              <w:pageBreakBefore w:val="0"/>
              <w:widowControl w:val="0"/>
              <w:kinsoku/>
              <w:wordWrap/>
              <w:overflowPunct/>
              <w:topLinePunct w:val="0"/>
              <w:autoSpaceDE w:val="0"/>
              <w:autoSpaceDN w:val="0"/>
              <w:bidi w:val="0"/>
              <w:adjustRightInd w:val="0"/>
              <w:snapToGrid w:val="0"/>
              <w:spacing w:before="38" w:line="360" w:lineRule="auto"/>
              <w:ind w:left="6" w:right="6" w:firstLine="482"/>
              <w:jc w:val="both"/>
              <w:textAlignment w:val="baseline"/>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锅炉灰渣： 根据锅炉能效测试报告，该 WNS2.5-0.8-SCII 型锅炉在工况下产生的湿炉渣质量流量约为20.40kg/h（燃料消耗量约为449.18kg/h）。按全期消耗燃料 450t计算，产生的湿灰渣总量约为20.44t。灰渣中含有未燃尽的生物质（漏料），实测漏料量约为燃料量的1.76%，共计约7.9t。综上，锅炉灰渣总产生量约为 28.34t。</w:t>
            </w:r>
          </w:p>
          <w:p w14:paraId="57BED370">
            <w:pPr>
              <w:pStyle w:val="22"/>
              <w:keepNext w:val="0"/>
              <w:keepLines w:val="0"/>
              <w:pageBreakBefore w:val="0"/>
              <w:widowControl w:val="0"/>
              <w:kinsoku/>
              <w:wordWrap/>
              <w:overflowPunct/>
              <w:topLinePunct w:val="0"/>
              <w:autoSpaceDE w:val="0"/>
              <w:autoSpaceDN w:val="0"/>
              <w:bidi w:val="0"/>
              <w:adjustRightInd w:val="0"/>
              <w:snapToGrid w:val="0"/>
              <w:spacing w:before="38" w:line="360" w:lineRule="auto"/>
              <w:ind w:left="6" w:right="6" w:firstLine="482"/>
              <w:jc w:val="both"/>
              <w:textAlignment w:val="baseline"/>
              <w:rPr>
                <w:rFonts w:hint="default" w:ascii="Times New Roman" w:hAnsi="Times New Roman" w:cs="Times New Roman"/>
                <w:color w:val="000000" w:themeColor="text1"/>
                <w:spacing w:val="-2"/>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布袋除尘灰（飞灰）：参考《排放源统计调查产排污核算方法和系数手册》，生物质锅炉颗粒物产污系数为37.6kg/t燃料，总产生量为16.92t。项目采用“水幕预除尘 + 布袋除尘”工艺，其中水幕预除尘截留约87%，布袋除尘器截留效率约99.7%。最终由布袋除尘器收集的干除尘灰量约为2.19t，水幕除尘器收集的含尘污泥量约14.72t。</w:t>
            </w:r>
          </w:p>
          <w:p w14:paraId="1A7B1966">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3"/>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3"/>
                <w:sz w:val="24"/>
                <w:szCs w:val="24"/>
                <w:highlight w:val="none"/>
                <w:lang w:eastAsia="zh-CN"/>
                <w14:textFill>
                  <w14:solidFill>
                    <w14:schemeClr w14:val="tx1"/>
                  </w14:solidFill>
                </w14:textFill>
              </w:rPr>
              <w:t>6.</w:t>
            </w:r>
            <w:r>
              <w:rPr>
                <w:rFonts w:hint="eastAsia" w:ascii="Times New Roman" w:hAnsi="Times New Roman" w:cs="Times New Roman"/>
                <w:b/>
                <w:bCs/>
                <w:color w:val="000000" w:themeColor="text1"/>
                <w:spacing w:val="-3"/>
                <w:sz w:val="24"/>
                <w:szCs w:val="24"/>
                <w:highlight w:val="none"/>
                <w:lang w:val="en-US" w:eastAsia="zh-CN"/>
                <w14:textFill>
                  <w14:solidFill>
                    <w14:schemeClr w14:val="tx1"/>
                  </w14:solidFill>
                </w14:textFill>
              </w:rPr>
              <w:t>5</w:t>
            </w:r>
            <w:r>
              <w:rPr>
                <w:rFonts w:ascii="Times New Roman" w:hAnsi="Times New Roman" w:cs="Times New Roman"/>
                <w:b/>
                <w:bCs/>
                <w:color w:val="000000" w:themeColor="text1"/>
                <w:spacing w:val="-3"/>
                <w:sz w:val="24"/>
                <w:szCs w:val="24"/>
                <w:highlight w:val="none"/>
                <w:lang w:eastAsia="zh-CN"/>
                <w14:textFill>
                  <w14:solidFill>
                    <w14:schemeClr w14:val="tx1"/>
                  </w14:solidFill>
                </w14:textFill>
              </w:rPr>
              <w:t>废防渗材料</w:t>
            </w:r>
          </w:p>
          <w:p w14:paraId="7F8A3112">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72"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施工结束对场地进行清理时，会产生在防渗区域铺设的废防渗材料，拆除的未破损且未沾油的防渗材料由建设单位集中回收利用，类比其他钻井井场施工经</w:t>
            </w:r>
            <w:r>
              <w:rPr>
                <w:rFonts w:ascii="Times New Roman" w:hAnsi="Times New Roman" w:cs="Times New Roman"/>
                <w:color w:val="000000" w:themeColor="text1"/>
                <w:spacing w:val="-1"/>
                <w:sz w:val="24"/>
                <w:szCs w:val="24"/>
                <w:highlight w:val="none"/>
                <w:lang w:eastAsia="zh-CN"/>
                <w14:textFill>
                  <w14:solidFill>
                    <w14:schemeClr w14:val="tx1"/>
                  </w14:solidFill>
                </w14:textFill>
              </w:rPr>
              <w:t>验，沾油的废防渗材料产生量约0.02t/井，本项目共计2口勘探井，预计产生量约为0.04t。沾油的</w:t>
            </w:r>
            <w:r>
              <w:rPr>
                <w:rFonts w:ascii="Times New Roman" w:hAnsi="Times New Roman" w:cs="Times New Roman"/>
                <w:color w:val="000000" w:themeColor="text1"/>
                <w:sz w:val="24"/>
                <w:szCs w:val="24"/>
                <w:highlight w:val="none"/>
                <w:lang w:eastAsia="zh-CN"/>
                <w14:textFill>
                  <w14:solidFill>
                    <w14:schemeClr w14:val="tx1"/>
                  </w14:solidFill>
                </w14:textFill>
              </w:rPr>
              <w:t>废防渗材料属于《国家危险废物名录》（2025年版）中的</w:t>
            </w:r>
            <w:r>
              <w:rPr>
                <w:rFonts w:ascii="Times New Roman" w:hAnsi="Times New Roman" w:cs="Times New Roman"/>
                <w:color w:val="000000" w:themeColor="text1"/>
                <w:spacing w:val="-1"/>
                <w:sz w:val="24"/>
                <w:szCs w:val="24"/>
                <w:highlight w:val="none"/>
                <w:lang w:eastAsia="zh-CN"/>
                <w14:textFill>
                  <w14:solidFill>
                    <w14:schemeClr w14:val="tx1"/>
                  </w14:solidFill>
                </w14:textFill>
              </w:rPr>
              <w:t>HW08废矿物油与含矿物油类危险废物（废物代码为900-249-08，危险特</w:t>
            </w:r>
            <w:r>
              <w:rPr>
                <w:rFonts w:ascii="Times New Roman" w:hAnsi="Times New Roman" w:cs="Times New Roman"/>
                <w:color w:val="000000" w:themeColor="text1"/>
                <w:spacing w:val="-2"/>
                <w:sz w:val="24"/>
                <w:szCs w:val="24"/>
                <w:highlight w:val="none"/>
                <w:lang w:eastAsia="zh-CN"/>
                <w14:textFill>
                  <w14:solidFill>
                    <w14:schemeClr w14:val="tx1"/>
                  </w14:solidFill>
                </w14:textFill>
              </w:rPr>
              <w:t>性为毒性和易燃性</w:t>
            </w:r>
            <w:r>
              <w:rPr>
                <w:rFonts w:ascii="Times New Roman" w:hAnsi="Times New Roman" w:cs="Times New Roman"/>
                <w:color w:val="000000" w:themeColor="text1"/>
                <w:spacing w:val="4"/>
                <w:sz w:val="24"/>
                <w:szCs w:val="24"/>
                <w:highlight w:val="none"/>
                <w:lang w:eastAsia="zh-CN"/>
                <w14:textFill>
                  <w14:solidFill>
                    <w14:schemeClr w14:val="tx1"/>
                  </w14:solidFill>
                </w14:textFill>
              </w:rPr>
              <w:t>），</w:t>
            </w:r>
            <w:r>
              <w:rPr>
                <w:rFonts w:ascii="Times New Roman" w:hAnsi="Times New Roman" w:cs="Times New Roman"/>
                <w:color w:val="000000" w:themeColor="text1"/>
                <w:spacing w:val="-2"/>
                <w:sz w:val="24"/>
                <w:szCs w:val="24"/>
                <w:highlight w:val="none"/>
                <w:lang w:eastAsia="zh-CN"/>
                <w14:textFill>
                  <w14:solidFill>
                    <w14:schemeClr w14:val="tx1"/>
                  </w14:solidFill>
                </w14:textFill>
              </w:rPr>
              <w:t>施工结</w:t>
            </w:r>
            <w:r>
              <w:rPr>
                <w:rFonts w:ascii="Times New Roman" w:hAnsi="Times New Roman" w:cs="Times New Roman"/>
                <w:color w:val="000000" w:themeColor="text1"/>
                <w:spacing w:val="-1"/>
                <w:sz w:val="24"/>
                <w:szCs w:val="24"/>
                <w:highlight w:val="none"/>
                <w:lang w:eastAsia="zh-CN"/>
                <w14:textFill>
                  <w14:solidFill>
                    <w14:schemeClr w14:val="tx1"/>
                  </w14:solidFill>
                </w14:textFill>
              </w:rPr>
              <w:t>束后委托具有相应危险废物处置资质的单位进行处置。</w:t>
            </w:r>
          </w:p>
          <w:p w14:paraId="738989A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6.</w:t>
            </w: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6</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落地油</w:t>
            </w:r>
          </w:p>
          <w:p w14:paraId="7E71DCB2">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本工程钻井期和试油期间事故状态下可能产生少量落地原油和含油污泥，落地油要求100%回收。本工程试油期产生的液体首先进入试油产液缓冲罐后，采用槽车安装抽油泵的抽汲方式将试油产液吸入罐车，试油过程敷设防渗布。落地油产生量很小。根据相关资料，探井单井试油期产生的落地油产生量约在10</w:t>
            </w:r>
            <w:r>
              <w:rPr>
                <w:rFonts w:hint="eastAsia" w:ascii="Times New Roman" w:hAnsi="Times New Roman" w:cs="Times New Roman"/>
                <w:color w:val="000000" w:themeColor="text1"/>
                <w:spacing w:val="-2"/>
                <w:sz w:val="24"/>
                <w:szCs w:val="24"/>
                <w:highlight w:val="none"/>
                <w:lang w:eastAsia="zh-CN"/>
                <w14:textFill>
                  <w14:solidFill>
                    <w14:schemeClr w14:val="tx1"/>
                  </w14:solidFill>
                </w14:textFill>
              </w:rPr>
              <w:t>—</w:t>
            </w:r>
            <w:r>
              <w:rPr>
                <w:rFonts w:ascii="Times New Roman" w:hAnsi="Times New Roman" w:cs="Times New Roman"/>
                <w:color w:val="000000" w:themeColor="text1"/>
                <w:spacing w:val="-2"/>
                <w:sz w:val="24"/>
                <w:szCs w:val="24"/>
                <w:highlight w:val="none"/>
                <w:lang w:eastAsia="zh-CN"/>
                <w14:textFill>
                  <w14:solidFill>
                    <w14:schemeClr w14:val="tx1"/>
                  </w14:solidFill>
                </w14:textFill>
              </w:rPr>
              <w:t>50kg/口。由于探井存在不出油的可能性。只有在有油条件下可能产生落地油，不出油时则没有落地油产生。假设本项目钻井全部出油，则落地油泥产生量共计0.1t。根据《国家危险废物名录》（2025年版）、《危险废物环境管理指南 陆上石油天然气开采》（生态环境部公告2021年第74号），落地油属于《国家危险废物名录》（2025年版）中的HW08废矿物油与含矿物油类危险废物，废物代码为071-001-08，落地油100%回收。</w:t>
            </w:r>
          </w:p>
          <w:p w14:paraId="712C989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6.</w:t>
            </w:r>
            <w:r>
              <w:rPr>
                <w:rFonts w:hint="eastAsia" w:ascii="Times New Roman" w:hAnsi="Times New Roman" w:cs="Times New Roman"/>
                <w:b/>
                <w:bCs/>
                <w:color w:val="000000" w:themeColor="text1"/>
                <w:spacing w:val="-2"/>
                <w:sz w:val="24"/>
                <w:szCs w:val="24"/>
                <w:highlight w:val="none"/>
                <w:lang w:val="en-US" w:eastAsia="zh-CN"/>
                <w14:textFill>
                  <w14:solidFill>
                    <w14:schemeClr w14:val="tx1"/>
                  </w14:solidFill>
                </w14:textFill>
              </w:rPr>
              <w:t>7</w:t>
            </w:r>
            <w:r>
              <w:rPr>
                <w:rFonts w:ascii="Times New Roman" w:hAnsi="Times New Roman" w:cs="Times New Roman"/>
                <w:b/>
                <w:bCs/>
                <w:color w:val="000000" w:themeColor="text1"/>
                <w:spacing w:val="-2"/>
                <w:sz w:val="24"/>
                <w:szCs w:val="24"/>
                <w:highlight w:val="none"/>
                <w:lang w:eastAsia="zh-CN"/>
                <w14:textFill>
                  <w14:solidFill>
                    <w14:schemeClr w14:val="tx1"/>
                  </w14:solidFill>
                </w14:textFill>
              </w:rPr>
              <w:t>机械设备废油与废润滑油桶</w:t>
            </w:r>
          </w:p>
          <w:p w14:paraId="56E5CEE9">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钻井期间使用的机械设备运行过程中需进行维护、保养、维修等工作，以使其能正常运转，此过程中将产生少量的废油，如废润滑油、废机油等，与之相应会有废润滑油桶产生。类比调查一个钻井期机械设备产生的废油产生量不足0.</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1</w:t>
            </w:r>
            <w:r>
              <w:rPr>
                <w:rFonts w:ascii="Times New Roman" w:hAnsi="Times New Roman" w:cs="Times New Roman"/>
                <w:color w:val="000000" w:themeColor="text1"/>
                <w:spacing w:val="-2"/>
                <w:sz w:val="24"/>
                <w:szCs w:val="24"/>
                <w:highlight w:val="none"/>
                <w:lang w:eastAsia="zh-CN"/>
                <w14:textFill>
                  <w14:solidFill>
                    <w14:schemeClr w14:val="tx1"/>
                  </w14:solidFill>
                </w14:textFill>
              </w:rPr>
              <w:t>t，本工程2口评价井产生量约</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0.2</w:t>
            </w:r>
            <w:r>
              <w:rPr>
                <w:rFonts w:ascii="Times New Roman" w:hAnsi="Times New Roman" w:cs="Times New Roman"/>
                <w:color w:val="000000" w:themeColor="text1"/>
                <w:spacing w:val="-2"/>
                <w:sz w:val="24"/>
                <w:szCs w:val="24"/>
                <w:highlight w:val="none"/>
                <w:lang w:eastAsia="zh-CN"/>
                <w14:textFill>
                  <w14:solidFill>
                    <w14:schemeClr w14:val="tx1"/>
                  </w14:solidFill>
                </w14:textFill>
              </w:rPr>
              <w:t>t，废润滑油桶产生量为0.05t，钻井期间产生的废油与废润滑油桶暂存至危废贮存点，委托有资质单位进行处置。</w:t>
            </w:r>
          </w:p>
          <w:p w14:paraId="493FB19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根据《国家危险废物名录》（2025年版），设备检修与维护过程间歇产生的废矿物油划分为“HW08废矿物油与含矿物油废物类”，其危险废物编号为900-214-08，废润滑油桶危险废物编号为900-249-08，上述危险废物暂存至危废贮存点，委托有资质单位进行处置。</w:t>
            </w:r>
          </w:p>
          <w:p w14:paraId="2B8BB0E3">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jc w:val="both"/>
              <w:textAlignment w:val="baseline"/>
              <w:rPr>
                <w:rFonts w:ascii="Times New Roman" w:hAnsi="Times New Roman" w:cs="Times New Roman"/>
                <w:color w:val="000000" w:themeColor="text1"/>
                <w:spacing w:val="-2"/>
                <w:sz w:val="24"/>
                <w:szCs w:val="24"/>
                <w:highlight w:val="none"/>
                <w:lang w:eastAsia="zh-CN"/>
                <w14:textFill>
                  <w14:solidFill>
                    <w14:schemeClr w14:val="tx1"/>
                  </w14:solidFill>
                </w14:textFill>
              </w:rPr>
            </w:pPr>
            <w:r>
              <w:rPr>
                <w:rFonts w:ascii="Times New Roman" w:hAnsi="Times New Roman" w:cs="Times New Roman"/>
                <w:color w:val="000000" w:themeColor="text1"/>
                <w:spacing w:val="-2"/>
                <w:sz w:val="24"/>
                <w:szCs w:val="24"/>
                <w:highlight w:val="none"/>
                <w:lang w:eastAsia="zh-CN"/>
                <w14:textFill>
                  <w14:solidFill>
                    <w14:schemeClr w14:val="tx1"/>
                  </w14:solidFill>
                </w14:textFill>
              </w:rPr>
              <w:t>项目一般固废和危险废物清单见表4-</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3</w:t>
            </w:r>
            <w:r>
              <w:rPr>
                <w:rFonts w:ascii="Times New Roman" w:hAnsi="Times New Roman" w:cs="Times New Roman"/>
                <w:color w:val="000000" w:themeColor="text1"/>
                <w:spacing w:val="-2"/>
                <w:sz w:val="24"/>
                <w:szCs w:val="24"/>
                <w:highlight w:val="none"/>
                <w:lang w:eastAsia="zh-CN"/>
                <w14:textFill>
                  <w14:solidFill>
                    <w14:schemeClr w14:val="tx1"/>
                  </w14:solidFill>
                </w14:textFill>
              </w:rPr>
              <w:t>和表4-</w:t>
            </w:r>
            <w:r>
              <w:rPr>
                <w:rFonts w:hint="eastAsia" w:ascii="Times New Roman" w:hAnsi="Times New Roman" w:cs="Times New Roman"/>
                <w:color w:val="000000" w:themeColor="text1"/>
                <w:spacing w:val="-2"/>
                <w:sz w:val="24"/>
                <w:szCs w:val="24"/>
                <w:highlight w:val="none"/>
                <w:lang w:val="en-US" w:eastAsia="zh-CN"/>
                <w14:textFill>
                  <w14:solidFill>
                    <w14:schemeClr w14:val="tx1"/>
                  </w14:solidFill>
                </w14:textFill>
              </w:rPr>
              <w:t>4</w:t>
            </w:r>
            <w:r>
              <w:rPr>
                <w:rFonts w:ascii="Times New Roman" w:hAnsi="Times New Roman" w:cs="Times New Roman"/>
                <w:color w:val="000000" w:themeColor="text1"/>
                <w:spacing w:val="-2"/>
                <w:sz w:val="24"/>
                <w:szCs w:val="24"/>
                <w:highlight w:val="none"/>
                <w:lang w:eastAsia="zh-CN"/>
                <w14:textFill>
                  <w14:solidFill>
                    <w14:schemeClr w14:val="tx1"/>
                  </w14:solidFill>
                </w14:textFill>
              </w:rPr>
              <w:t>。</w:t>
            </w:r>
          </w:p>
          <w:p w14:paraId="290DCA8F">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b/>
                <w:bCs/>
                <w:color w:val="000000" w:themeColor="text1"/>
                <w:spacing w:val="5"/>
                <w:highlight w:val="none"/>
                <w14:textFill>
                  <w14:solidFill>
                    <w14:schemeClr w14:val="tx1"/>
                  </w14:solidFill>
                </w14:textFill>
              </w:rPr>
            </w:pPr>
            <w:r>
              <w:rPr>
                <w:rFonts w:ascii="Times New Roman" w:hAnsi="Times New Roman" w:eastAsia="宋体" w:cs="Times New Roman"/>
                <w:b/>
                <w:bCs/>
                <w:color w:val="000000" w:themeColor="text1"/>
                <w:spacing w:val="5"/>
                <w:highlight w:val="none"/>
                <w14:textFill>
                  <w14:solidFill>
                    <w14:schemeClr w14:val="tx1"/>
                  </w14:solidFill>
                </w14:textFill>
              </w:rPr>
              <w:t>表4-</w:t>
            </w:r>
            <w:r>
              <w:rPr>
                <w:rFonts w:hint="eastAsia" w:ascii="Times New Roman" w:hAnsi="Times New Roman" w:eastAsia="宋体" w:cs="Times New Roman"/>
                <w:b/>
                <w:bCs/>
                <w:color w:val="000000" w:themeColor="text1"/>
                <w:spacing w:val="5"/>
                <w:highlight w:val="none"/>
                <w:lang w:val="en-US" w:eastAsia="zh-CN"/>
                <w14:textFill>
                  <w14:solidFill>
                    <w14:schemeClr w14:val="tx1"/>
                  </w14:solidFill>
                </w14:textFill>
              </w:rPr>
              <w:t xml:space="preserve">3 </w:t>
            </w:r>
            <w:r>
              <w:rPr>
                <w:rFonts w:ascii="Times New Roman" w:hAnsi="Times New Roman" w:eastAsia="宋体" w:cs="Times New Roman"/>
                <w:b/>
                <w:bCs/>
                <w:color w:val="000000" w:themeColor="text1"/>
                <w:spacing w:val="5"/>
                <w:highlight w:val="none"/>
                <w:lang w:eastAsia="zh-CN"/>
                <w14:textFill>
                  <w14:solidFill>
                    <w14:schemeClr w14:val="tx1"/>
                  </w14:solidFill>
                </w14:textFill>
              </w:rPr>
              <w:t xml:space="preserve"> </w:t>
            </w:r>
            <w:r>
              <w:rPr>
                <w:rFonts w:ascii="Times New Roman" w:hAnsi="Times New Roman" w:eastAsia="宋体" w:cs="Times New Roman"/>
                <w:b/>
                <w:bCs/>
                <w:color w:val="000000" w:themeColor="text1"/>
                <w:spacing w:val="5"/>
                <w:highlight w:val="none"/>
                <w14:textFill>
                  <w14:solidFill>
                    <w14:schemeClr w14:val="tx1"/>
                  </w14:solidFill>
                </w14:textFill>
              </w:rPr>
              <w:t>本项目一般固废清单</w:t>
            </w:r>
          </w:p>
          <w:tbl>
            <w:tblPr>
              <w:tblStyle w:val="21"/>
              <w:tblW w:w="80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83"/>
              <w:gridCol w:w="968"/>
              <w:gridCol w:w="846"/>
              <w:gridCol w:w="1073"/>
              <w:gridCol w:w="1245"/>
              <w:gridCol w:w="3480"/>
            </w:tblGrid>
            <w:tr w14:paraId="64F2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jc w:val="center"/>
              </w:trPr>
              <w:tc>
                <w:tcPr>
                  <w:tcW w:w="483" w:type="dxa"/>
                  <w:vAlign w:val="center"/>
                </w:tcPr>
                <w:p w14:paraId="11209E7A">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6"/>
                      <w:sz w:val="21"/>
                      <w:szCs w:val="21"/>
                      <w:highlight w:val="none"/>
                      <w14:textFill>
                        <w14:solidFill>
                          <w14:schemeClr w14:val="tx1"/>
                        </w14:solidFill>
                      </w14:textFill>
                    </w:rPr>
                    <w:t>序号</w:t>
                  </w:r>
                </w:p>
              </w:tc>
              <w:tc>
                <w:tcPr>
                  <w:tcW w:w="968" w:type="dxa"/>
                  <w:vAlign w:val="center"/>
                </w:tcPr>
                <w:p w14:paraId="2B6C6F96">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1"/>
                      <w:sz w:val="21"/>
                      <w:szCs w:val="21"/>
                      <w:highlight w:val="none"/>
                      <w14:textFill>
                        <w14:solidFill>
                          <w14:schemeClr w14:val="tx1"/>
                        </w14:solidFill>
                      </w14:textFill>
                    </w:rPr>
                    <w:t>固废名称</w:t>
                  </w:r>
                </w:p>
              </w:tc>
              <w:tc>
                <w:tcPr>
                  <w:tcW w:w="846" w:type="dxa"/>
                  <w:vAlign w:val="center"/>
                </w:tcPr>
                <w:p w14:paraId="7A0188FB">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3"/>
                      <w:sz w:val="21"/>
                      <w:szCs w:val="21"/>
                      <w:highlight w:val="none"/>
                      <w14:textFill>
                        <w14:solidFill>
                          <w14:schemeClr w14:val="tx1"/>
                        </w14:solidFill>
                      </w14:textFill>
                    </w:rPr>
                    <w:t>属性</w:t>
                  </w:r>
                </w:p>
              </w:tc>
              <w:tc>
                <w:tcPr>
                  <w:tcW w:w="1073" w:type="dxa"/>
                  <w:vAlign w:val="center"/>
                </w:tcPr>
                <w:p w14:paraId="27F10DEE">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1"/>
                      <w:sz w:val="21"/>
                      <w:szCs w:val="21"/>
                      <w:highlight w:val="none"/>
                      <w14:textFill>
                        <w14:solidFill>
                          <w14:schemeClr w14:val="tx1"/>
                        </w14:solidFill>
                      </w14:textFill>
                    </w:rPr>
                    <w:t>固废代码</w:t>
                  </w:r>
                </w:p>
              </w:tc>
              <w:tc>
                <w:tcPr>
                  <w:tcW w:w="1245" w:type="dxa"/>
                  <w:vAlign w:val="center"/>
                </w:tcPr>
                <w:p w14:paraId="65B029F7">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6"/>
                      <w:sz w:val="21"/>
                      <w:szCs w:val="21"/>
                      <w:highlight w:val="none"/>
                      <w14:textFill>
                        <w14:solidFill>
                          <w14:schemeClr w14:val="tx1"/>
                        </w14:solidFill>
                      </w14:textFill>
                    </w:rPr>
                    <w:t>估算产生</w:t>
                  </w:r>
                  <w:r>
                    <w:rPr>
                      <w:rFonts w:ascii="Times New Roman" w:hAnsi="Times New Roman" w:cs="Times New Roman"/>
                      <w:b/>
                      <w:bCs/>
                      <w:color w:val="000000" w:themeColor="text1"/>
                      <w:spacing w:val="2"/>
                      <w:sz w:val="21"/>
                      <w:szCs w:val="21"/>
                      <w:highlight w:val="none"/>
                      <w14:textFill>
                        <w14:solidFill>
                          <w14:schemeClr w14:val="tx1"/>
                        </w14:solidFill>
                      </w14:textFill>
                    </w:rPr>
                    <w:t>量（施工期</w:t>
                  </w:r>
                  <w:r>
                    <w:rPr>
                      <w:rFonts w:hint="eastAsia" w:ascii="Times New Roman" w:hAnsi="Times New Roman" w:cs="Times New Roman"/>
                      <w:b/>
                      <w:bCs/>
                      <w:color w:val="000000" w:themeColor="text1"/>
                      <w:spacing w:val="2"/>
                      <w:sz w:val="21"/>
                      <w:szCs w:val="21"/>
                      <w:highlight w:val="none"/>
                      <w:lang w:eastAsia="zh-CN"/>
                      <w14:textFill>
                        <w14:solidFill>
                          <w14:schemeClr w14:val="tx1"/>
                        </w14:solidFill>
                      </w14:textFill>
                    </w:rPr>
                    <w:t>）</w:t>
                  </w:r>
                </w:p>
              </w:tc>
              <w:tc>
                <w:tcPr>
                  <w:tcW w:w="3480" w:type="dxa"/>
                  <w:tcBorders>
                    <w:right w:val="single" w:color="000000" w:sz="4" w:space="0"/>
                  </w:tcBorders>
                  <w:vAlign w:val="center"/>
                </w:tcPr>
                <w:p w14:paraId="3246E603">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b/>
                      <w:bCs/>
                      <w:color w:val="000000" w:themeColor="text1"/>
                      <w:spacing w:val="7"/>
                      <w:sz w:val="21"/>
                      <w:szCs w:val="21"/>
                      <w:highlight w:val="none"/>
                      <w14:textFill>
                        <w14:solidFill>
                          <w14:schemeClr w14:val="tx1"/>
                        </w14:solidFill>
                      </w14:textFill>
                    </w:rPr>
                    <w:t>采取的处理处置方式</w:t>
                  </w:r>
                </w:p>
              </w:tc>
            </w:tr>
            <w:tr w14:paraId="27A1A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1" w:hRule="atLeast"/>
                <w:jc w:val="center"/>
              </w:trPr>
              <w:tc>
                <w:tcPr>
                  <w:tcW w:w="483" w:type="dxa"/>
                  <w:vAlign w:val="center"/>
                </w:tcPr>
                <w:p w14:paraId="5210C1C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w:t>
                  </w:r>
                </w:p>
              </w:tc>
              <w:tc>
                <w:tcPr>
                  <w:tcW w:w="968" w:type="dxa"/>
                  <w:vAlign w:val="center"/>
                </w:tcPr>
                <w:p w14:paraId="67E7485C">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水基泥浆</w:t>
                  </w:r>
                </w:p>
              </w:tc>
              <w:tc>
                <w:tcPr>
                  <w:tcW w:w="846" w:type="dxa"/>
                  <w:vAlign w:val="center"/>
                </w:tcPr>
                <w:p w14:paraId="2ECFD36E">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一般工业</w:t>
                  </w:r>
                  <w:r>
                    <w:rPr>
                      <w:rFonts w:ascii="Times New Roman" w:hAnsi="Times New Roman" w:cs="Times New Roman"/>
                      <w:color w:val="000000" w:themeColor="text1"/>
                      <w:spacing w:val="-5"/>
                      <w:sz w:val="21"/>
                      <w:szCs w:val="21"/>
                      <w:highlight w:val="none"/>
                      <w14:textFill>
                        <w14:solidFill>
                          <w14:schemeClr w14:val="tx1"/>
                        </w14:solidFill>
                      </w14:textFill>
                    </w:rPr>
                    <w:t>固废</w:t>
                  </w:r>
                </w:p>
              </w:tc>
              <w:tc>
                <w:tcPr>
                  <w:tcW w:w="1073" w:type="dxa"/>
                  <w:vAlign w:val="center"/>
                </w:tcPr>
                <w:p w14:paraId="75EEECEA">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pacing w:val="3"/>
                      <w:sz w:val="21"/>
                      <w:szCs w:val="21"/>
                      <w:highlight w:val="none"/>
                      <w:lang w:eastAsia="zh-CN"/>
                      <w14:textFill>
                        <w14:solidFill>
                          <w14:schemeClr w14:val="tx1"/>
                        </w14:solidFill>
                      </w14:textFill>
                    </w:rPr>
                    <w:t>(</w:t>
                  </w:r>
                  <w:r>
                    <w:rPr>
                      <w:rFonts w:ascii="Times New Roman" w:hAnsi="Times New Roman" w:cs="Times New Roman"/>
                      <w:color w:val="000000" w:themeColor="text1"/>
                      <w:spacing w:val="3"/>
                      <w:sz w:val="21"/>
                      <w:szCs w:val="21"/>
                      <w:highlight w:val="none"/>
                      <w14:textFill>
                        <w14:solidFill>
                          <w14:schemeClr w14:val="tx1"/>
                        </w14:solidFill>
                      </w14:textFill>
                    </w:rPr>
                    <w:t>071-001-</w:t>
                  </w:r>
                </w:p>
                <w:p w14:paraId="6A03B18F">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S12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c>
                <w:tcPr>
                  <w:tcW w:w="1245" w:type="dxa"/>
                  <w:vAlign w:val="center"/>
                </w:tcPr>
                <w:p w14:paraId="2ABFB22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pacing w:val="4"/>
                      <w:highlight w:val="none"/>
                      <w:lang w:val="en-US" w:eastAsia="zh-CN"/>
                      <w14:textFill>
                        <w14:solidFill>
                          <w14:schemeClr w14:val="tx1"/>
                        </w14:solidFill>
                      </w14:textFill>
                    </w:rPr>
                    <w:t>774.86</w:t>
                  </w:r>
                  <w:r>
                    <w:rPr>
                      <w:rFonts w:ascii="Times New Roman" w:hAnsi="Times New Roman" w:eastAsia="宋体" w:cs="Times New Roman"/>
                      <w:color w:val="000000" w:themeColor="text1"/>
                      <w:spacing w:val="4"/>
                      <w:highlight w:val="none"/>
                      <w14:textFill>
                        <w14:solidFill>
                          <w14:schemeClr w14:val="tx1"/>
                        </w14:solidFill>
                      </w14:textFill>
                    </w:rPr>
                    <w:t>m</w:t>
                  </w:r>
                  <w:r>
                    <w:rPr>
                      <w:rFonts w:ascii="Times New Roman" w:hAnsi="Times New Roman" w:eastAsia="宋体" w:cs="Times New Roman"/>
                      <w:color w:val="000000" w:themeColor="text1"/>
                      <w:spacing w:val="4"/>
                      <w:highlight w:val="none"/>
                      <w:vertAlign w:val="superscript"/>
                      <w:lang w:eastAsia="zh-CN"/>
                      <w14:textFill>
                        <w14:solidFill>
                          <w14:schemeClr w14:val="tx1"/>
                        </w14:solidFill>
                      </w14:textFill>
                    </w:rPr>
                    <w:t>3</w:t>
                  </w:r>
                </w:p>
              </w:tc>
              <w:tc>
                <w:tcPr>
                  <w:tcW w:w="3480" w:type="dxa"/>
                  <w:vMerge w:val="restart"/>
                  <w:tcBorders>
                    <w:bottom w:val="nil"/>
                    <w:right w:val="single" w:color="000000" w:sz="4" w:space="0"/>
                  </w:tcBorders>
                  <w:vAlign w:val="center"/>
                </w:tcPr>
                <w:p w14:paraId="1722A85D">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8"/>
                      <w:sz w:val="21"/>
                      <w:szCs w:val="21"/>
                      <w:highlight w:val="none"/>
                      <w:lang w:eastAsia="zh-CN"/>
                      <w14:textFill>
                        <w14:solidFill>
                          <w14:schemeClr w14:val="tx1"/>
                        </w14:solidFill>
                      </w14:textFill>
                    </w:rPr>
                    <w:t>项目采用不落地系统，钻井泥浆、岩屑由具备资质的单位及时转运处理，处置过程符合《油气田钻井固体废弃物综合利用污染物控制要求》（DB65/T3997</w:t>
                  </w:r>
                  <w:r>
                    <w:rPr>
                      <w:rFonts w:hint="eastAsia" w:ascii="Times New Roman" w:hAnsi="Times New Roman" w:cs="Times New Roman"/>
                      <w:color w:val="000000" w:themeColor="text1"/>
                      <w:spacing w:val="8"/>
                      <w:sz w:val="21"/>
                      <w:szCs w:val="21"/>
                      <w:highlight w:val="none"/>
                      <w:lang w:val="en-US" w:eastAsia="zh-CN"/>
                      <w14:textFill>
                        <w14:solidFill>
                          <w14:schemeClr w14:val="tx1"/>
                        </w14:solidFill>
                      </w14:textFill>
                    </w:rPr>
                    <w:t>-</w:t>
                  </w:r>
                  <w:r>
                    <w:rPr>
                      <w:rFonts w:ascii="Times New Roman" w:hAnsi="Times New Roman" w:cs="Times New Roman"/>
                      <w:color w:val="000000" w:themeColor="text1"/>
                      <w:spacing w:val="8"/>
                      <w:sz w:val="21"/>
                      <w:szCs w:val="21"/>
                      <w:highlight w:val="none"/>
                      <w:lang w:eastAsia="zh-CN"/>
                      <w14:textFill>
                        <w14:solidFill>
                          <w14:schemeClr w14:val="tx1"/>
                        </w14:solidFill>
                      </w14:textFill>
                    </w:rPr>
                    <w:t>2017）相关要求，具备条件的可综合利用。</w:t>
                  </w:r>
                </w:p>
              </w:tc>
            </w:tr>
            <w:tr w14:paraId="4C699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jc w:val="center"/>
              </w:trPr>
              <w:tc>
                <w:tcPr>
                  <w:tcW w:w="483" w:type="dxa"/>
                  <w:vAlign w:val="center"/>
                </w:tcPr>
                <w:p w14:paraId="7F81C307">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w:t>
                  </w:r>
                </w:p>
              </w:tc>
              <w:tc>
                <w:tcPr>
                  <w:tcW w:w="968" w:type="dxa"/>
                  <w:vAlign w:val="center"/>
                </w:tcPr>
                <w:p w14:paraId="3023D642">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水基岩屑</w:t>
                  </w:r>
                </w:p>
              </w:tc>
              <w:tc>
                <w:tcPr>
                  <w:tcW w:w="846" w:type="dxa"/>
                  <w:vAlign w:val="center"/>
                </w:tcPr>
                <w:p w14:paraId="69DF7F69">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pacing w:val="3"/>
                      <w:sz w:val="21"/>
                      <w:szCs w:val="21"/>
                      <w:highlight w:val="none"/>
                      <w14:textFill>
                        <w14:solidFill>
                          <w14:schemeClr w14:val="tx1"/>
                        </w14:solidFill>
                      </w14:textFill>
                    </w:rPr>
                    <w:t>一般工业</w:t>
                  </w:r>
                  <w:r>
                    <w:rPr>
                      <w:rFonts w:ascii="Times New Roman" w:hAnsi="Times New Roman" w:cs="Times New Roman"/>
                      <w:color w:val="000000" w:themeColor="text1"/>
                      <w:spacing w:val="-5"/>
                      <w:sz w:val="21"/>
                      <w:szCs w:val="21"/>
                      <w:highlight w:val="none"/>
                      <w14:textFill>
                        <w14:solidFill>
                          <w14:schemeClr w14:val="tx1"/>
                        </w14:solidFill>
                      </w14:textFill>
                    </w:rPr>
                    <w:t>固废</w:t>
                  </w:r>
                </w:p>
              </w:tc>
              <w:tc>
                <w:tcPr>
                  <w:tcW w:w="1073" w:type="dxa"/>
                  <w:vAlign w:val="center"/>
                </w:tcPr>
                <w:p w14:paraId="3E27CC64">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pacing w:val="3"/>
                      <w:sz w:val="21"/>
                      <w:szCs w:val="21"/>
                      <w:highlight w:val="none"/>
                      <w:lang w:eastAsia="zh-CN"/>
                      <w14:textFill>
                        <w14:solidFill>
                          <w14:schemeClr w14:val="tx1"/>
                        </w14:solidFill>
                      </w14:textFill>
                    </w:rPr>
                    <w:t>(</w:t>
                  </w:r>
                  <w:r>
                    <w:rPr>
                      <w:rFonts w:ascii="Times New Roman" w:hAnsi="Times New Roman" w:cs="Times New Roman"/>
                      <w:color w:val="000000" w:themeColor="text1"/>
                      <w:spacing w:val="3"/>
                      <w:sz w:val="21"/>
                      <w:szCs w:val="21"/>
                      <w:highlight w:val="none"/>
                      <w14:textFill>
                        <w14:solidFill>
                          <w14:schemeClr w14:val="tx1"/>
                        </w14:solidFill>
                      </w14:textFill>
                    </w:rPr>
                    <w:t>071-001-</w:t>
                  </w:r>
                </w:p>
                <w:p w14:paraId="17D8EBBA">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S12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p>
              </w:tc>
              <w:tc>
                <w:tcPr>
                  <w:tcW w:w="1245" w:type="dxa"/>
                  <w:vAlign w:val="center"/>
                </w:tcPr>
                <w:p w14:paraId="77D7F869">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3"/>
                      <w:highlight w:val="none"/>
                      <w:lang w:val="en-US" w:eastAsia="zh-CN"/>
                      <w14:textFill>
                        <w14:solidFill>
                          <w14:schemeClr w14:val="tx1"/>
                        </w14:solidFill>
                      </w14:textFill>
                    </w:rPr>
                    <w:t>536.5</w:t>
                  </w:r>
                  <w:r>
                    <w:rPr>
                      <w:rFonts w:ascii="Times New Roman" w:hAnsi="Times New Roman" w:eastAsia="宋体" w:cs="Times New Roman"/>
                      <w:color w:val="000000" w:themeColor="text1"/>
                      <w:spacing w:val="4"/>
                      <w:highlight w:val="none"/>
                      <w14:textFill>
                        <w14:solidFill>
                          <w14:schemeClr w14:val="tx1"/>
                        </w14:solidFill>
                      </w14:textFill>
                    </w:rPr>
                    <w:t>m</w:t>
                  </w:r>
                  <w:r>
                    <w:rPr>
                      <w:rFonts w:ascii="Times New Roman" w:hAnsi="Times New Roman" w:eastAsia="宋体" w:cs="Times New Roman"/>
                      <w:color w:val="000000" w:themeColor="text1"/>
                      <w:spacing w:val="4"/>
                      <w:highlight w:val="none"/>
                      <w:vertAlign w:val="superscript"/>
                      <w:lang w:eastAsia="zh-CN"/>
                      <w14:textFill>
                        <w14:solidFill>
                          <w14:schemeClr w14:val="tx1"/>
                        </w14:solidFill>
                      </w14:textFill>
                    </w:rPr>
                    <w:t>3</w:t>
                  </w:r>
                </w:p>
              </w:tc>
              <w:tc>
                <w:tcPr>
                  <w:tcW w:w="3480" w:type="dxa"/>
                  <w:vMerge w:val="continue"/>
                  <w:tcBorders>
                    <w:top w:val="nil"/>
                    <w:right w:val="single" w:color="000000" w:sz="4" w:space="0"/>
                  </w:tcBorders>
                  <w:vAlign w:val="center"/>
                </w:tcPr>
                <w:p w14:paraId="3361DD0A">
                  <w:pPr>
                    <w:keepNext w:val="0"/>
                    <w:keepLines w:val="0"/>
                    <w:pageBreakBefore w:val="0"/>
                    <w:widowControl/>
                    <w:kinsoku/>
                    <w:wordWrap/>
                    <w:overflowPunct/>
                    <w:topLinePunct w:val="0"/>
                    <w:autoSpaceDE w:val="0"/>
                    <w:autoSpaceDN w:val="0"/>
                    <w:bidi w:val="0"/>
                    <w:adjustRightInd w:val="0"/>
                    <w:snapToGrid w:val="0"/>
                    <w:spacing w:line="240" w:lineRule="auto"/>
                    <w:ind w:left="0" w:right="0"/>
                    <w:jc w:val="both"/>
                    <w:textAlignment w:val="baseline"/>
                    <w:rPr>
                      <w:rFonts w:ascii="Times New Roman" w:hAnsi="Times New Roman" w:eastAsia="宋体" w:cs="Times New Roman"/>
                      <w:color w:val="000000" w:themeColor="text1"/>
                      <w:highlight w:val="none"/>
                      <w14:textFill>
                        <w14:solidFill>
                          <w14:schemeClr w14:val="tx1"/>
                        </w14:solidFill>
                      </w14:textFill>
                    </w:rPr>
                  </w:pPr>
                </w:p>
              </w:tc>
            </w:tr>
            <w:tr w14:paraId="38D53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483" w:type="dxa"/>
                  <w:vAlign w:val="center"/>
                </w:tcPr>
                <w:p w14:paraId="0ABBD6F2">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pacing w:val="6"/>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3</w:t>
                  </w:r>
                </w:p>
              </w:tc>
              <w:tc>
                <w:tcPr>
                  <w:tcW w:w="968" w:type="dxa"/>
                  <w:vAlign w:val="center"/>
                </w:tcPr>
                <w:p w14:paraId="6331AAC0">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pacing w:val="6"/>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生活垃圾</w:t>
                  </w:r>
                </w:p>
              </w:tc>
              <w:tc>
                <w:tcPr>
                  <w:tcW w:w="846" w:type="dxa"/>
                  <w:vAlign w:val="center"/>
                </w:tcPr>
                <w:p w14:paraId="0370615E">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pacing w:val="6"/>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一般固废</w:t>
                  </w:r>
                </w:p>
              </w:tc>
              <w:tc>
                <w:tcPr>
                  <w:tcW w:w="1073" w:type="dxa"/>
                  <w:vAlign w:val="center"/>
                </w:tcPr>
                <w:p w14:paraId="09540FEB">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pacing w:val="6"/>
                      <w:sz w:val="21"/>
                      <w:szCs w:val="21"/>
                      <w:highlight w:val="none"/>
                      <w14:textFill>
                        <w14:solidFill>
                          <w14:schemeClr w14:val="tx1"/>
                        </w14:solidFill>
                      </w14:textFill>
                    </w:rPr>
                  </w:pPr>
                  <w:r>
                    <w:rPr>
                      <w:rFonts w:ascii="Times New Roman" w:hAnsi="Times New Roman" w:cs="Times New Roman"/>
                      <w:color w:val="000000" w:themeColor="text1"/>
                      <w:spacing w:val="6"/>
                      <w:sz w:val="21"/>
                      <w:szCs w:val="21"/>
                      <w:highlight w:val="none"/>
                      <w14:textFill>
                        <w14:solidFill>
                          <w14:schemeClr w14:val="tx1"/>
                        </w14:solidFill>
                      </w14:textFill>
                    </w:rPr>
                    <w:t>/</w:t>
                  </w:r>
                </w:p>
              </w:tc>
              <w:tc>
                <w:tcPr>
                  <w:tcW w:w="1245" w:type="dxa"/>
                  <w:vAlign w:val="center"/>
                </w:tcPr>
                <w:p w14:paraId="78F369C2">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jc w:val="center"/>
                    <w:textAlignment w:val="baseline"/>
                    <w:rPr>
                      <w:rFonts w:ascii="Times New Roman" w:hAnsi="Times New Roman" w:cs="Times New Roman"/>
                      <w:color w:val="000000" w:themeColor="text1"/>
                      <w:spacing w:val="6"/>
                      <w:sz w:val="21"/>
                      <w:szCs w:val="21"/>
                      <w:highlight w:val="none"/>
                      <w14:textFill>
                        <w14:solidFill>
                          <w14:schemeClr w14:val="tx1"/>
                        </w14:solidFill>
                      </w14:textFill>
                    </w:rPr>
                  </w:pP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3.84</w:t>
                  </w:r>
                  <w:r>
                    <w:rPr>
                      <w:rFonts w:ascii="Times New Roman" w:hAnsi="Times New Roman" w:cs="Times New Roman"/>
                      <w:color w:val="000000" w:themeColor="text1"/>
                      <w:spacing w:val="6"/>
                      <w:sz w:val="21"/>
                      <w:szCs w:val="21"/>
                      <w:highlight w:val="none"/>
                      <w14:textFill>
                        <w14:solidFill>
                          <w14:schemeClr w14:val="tx1"/>
                        </w14:solidFill>
                      </w14:textFill>
                    </w:rPr>
                    <w:t>t</w:t>
                  </w:r>
                </w:p>
              </w:tc>
              <w:tc>
                <w:tcPr>
                  <w:tcW w:w="3480" w:type="dxa"/>
                  <w:tcBorders>
                    <w:right w:val="single" w:color="000000" w:sz="4" w:space="0"/>
                  </w:tcBorders>
                  <w:vAlign w:val="center"/>
                </w:tcPr>
                <w:p w14:paraId="2D2D2AF1">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hanging="74"/>
                    <w:jc w:val="both"/>
                    <w:textAlignment w:val="baseline"/>
                    <w:rPr>
                      <w:rFonts w:ascii="Times New Roman" w:hAnsi="Times New Roman" w:cs="Times New Roman"/>
                      <w:color w:val="000000" w:themeColor="text1"/>
                      <w:sz w:val="21"/>
                      <w:szCs w:val="21"/>
                      <w:highlight w:val="none"/>
                      <w:lang w:eastAsia="zh-CN"/>
                      <w14:textFill>
                        <w14:solidFill>
                          <w14:schemeClr w14:val="tx1"/>
                        </w14:solidFill>
                      </w14:textFill>
                    </w:rPr>
                  </w:pPr>
                  <w:r>
                    <w:rPr>
                      <w:rFonts w:ascii="Times New Roman" w:hAnsi="Times New Roman" w:cs="Times New Roman"/>
                      <w:color w:val="000000" w:themeColor="text1"/>
                      <w:spacing w:val="6"/>
                      <w:sz w:val="21"/>
                      <w:szCs w:val="21"/>
                      <w:highlight w:val="none"/>
                      <w:lang w:eastAsia="zh-CN"/>
                      <w14:textFill>
                        <w14:solidFill>
                          <w14:schemeClr w14:val="tx1"/>
                        </w14:solidFill>
                      </w14:textFill>
                    </w:rPr>
                    <w:t>生活垃圾集中收集后委托第三方拉运至</w:t>
                  </w: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吉木萨尔县</w:t>
                  </w:r>
                  <w:r>
                    <w:rPr>
                      <w:rFonts w:ascii="Times New Roman" w:hAnsi="Times New Roman" w:cs="Times New Roman"/>
                      <w:color w:val="000000" w:themeColor="text1"/>
                      <w:spacing w:val="6"/>
                      <w:sz w:val="21"/>
                      <w:szCs w:val="21"/>
                      <w:highlight w:val="none"/>
                      <w:lang w:eastAsia="zh-CN"/>
                      <w14:textFill>
                        <w14:solidFill>
                          <w14:schemeClr w14:val="tx1"/>
                        </w14:solidFill>
                      </w14:textFill>
                    </w:rPr>
                    <w:t>垃圾场处理</w:t>
                  </w:r>
                  <w:r>
                    <w:rPr>
                      <w:rFonts w:ascii="Times New Roman" w:hAnsi="Times New Roman" w:cs="Times New Roman"/>
                      <w:color w:val="000000" w:themeColor="text1"/>
                      <w:spacing w:val="8"/>
                      <w:sz w:val="21"/>
                      <w:szCs w:val="21"/>
                      <w:highlight w:val="none"/>
                      <w:lang w:eastAsia="zh-CN"/>
                      <w14:textFill>
                        <w14:solidFill>
                          <w14:schemeClr w14:val="tx1"/>
                        </w14:solidFill>
                      </w14:textFill>
                    </w:rPr>
                    <w:t>。</w:t>
                  </w:r>
                </w:p>
              </w:tc>
            </w:tr>
            <w:tr w14:paraId="22CE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483" w:type="dxa"/>
                  <w:vAlign w:val="center"/>
                </w:tcPr>
                <w:p w14:paraId="3F5160B5">
                  <w:pPr>
                    <w:pStyle w:val="22"/>
                    <w:kinsoku/>
                    <w:spacing w:before="65" w:line="228" w:lineRule="auto"/>
                    <w:jc w:val="center"/>
                    <w:rPr>
                      <w:rFonts w:ascii="Times New Roman" w:hAnsi="Times New Roman" w:cs="Times New Roman"/>
                      <w:color w:val="000000" w:themeColor="text1"/>
                      <w:spacing w:val="6"/>
                      <w:sz w:val="21"/>
                      <w:szCs w:val="21"/>
                      <w:highlight w:val="none"/>
                      <w14:textFill>
                        <w14:solidFill>
                          <w14:schemeClr w14:val="tx1"/>
                        </w14:solidFill>
                      </w14:textFill>
                    </w:rPr>
                  </w:pP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4</w:t>
                  </w:r>
                </w:p>
              </w:tc>
              <w:tc>
                <w:tcPr>
                  <w:tcW w:w="968" w:type="dxa"/>
                  <w:vAlign w:val="center"/>
                </w:tcPr>
                <w:p w14:paraId="6149A2AC">
                  <w:pPr>
                    <w:pStyle w:val="22"/>
                    <w:kinsoku/>
                    <w:spacing w:before="65" w:line="228" w:lineRule="auto"/>
                    <w:jc w:val="center"/>
                    <w:rPr>
                      <w:rFonts w:ascii="Times New Roman" w:hAnsi="Times New Roman"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锅炉灰渣</w:t>
                  </w:r>
                </w:p>
              </w:tc>
              <w:tc>
                <w:tcPr>
                  <w:tcW w:w="846" w:type="dxa"/>
                  <w:vAlign w:val="center"/>
                </w:tcPr>
                <w:p w14:paraId="3FF6AD6B">
                  <w:pPr>
                    <w:pStyle w:val="22"/>
                    <w:kinsoku/>
                    <w:spacing w:before="65" w:line="228" w:lineRule="auto"/>
                    <w:jc w:val="center"/>
                    <w:rPr>
                      <w:rFonts w:ascii="Times New Roman" w:hAnsi="Times New Roman"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一般固废</w:t>
                  </w:r>
                </w:p>
              </w:tc>
              <w:tc>
                <w:tcPr>
                  <w:tcW w:w="1073" w:type="dxa"/>
                  <w:vAlign w:val="center"/>
                </w:tcPr>
                <w:p w14:paraId="15421171">
                  <w:pPr>
                    <w:pStyle w:val="22"/>
                    <w:kinsoku/>
                    <w:spacing w:before="65" w:line="228" w:lineRule="auto"/>
                    <w:jc w:val="center"/>
                    <w:rPr>
                      <w:rFonts w:ascii="Times New Roman" w:hAnsi="Times New Roman"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w:t>
                  </w:r>
                </w:p>
              </w:tc>
              <w:tc>
                <w:tcPr>
                  <w:tcW w:w="1245" w:type="dxa"/>
                  <w:vAlign w:val="center"/>
                </w:tcPr>
                <w:p w14:paraId="41DA98BD">
                  <w:pPr>
                    <w:pStyle w:val="22"/>
                    <w:kinsoku/>
                    <w:spacing w:before="65" w:line="228" w:lineRule="auto"/>
                    <w:jc w:val="cente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28.34t</w:t>
                  </w:r>
                </w:p>
              </w:tc>
              <w:tc>
                <w:tcPr>
                  <w:tcW w:w="3480" w:type="dxa"/>
                  <w:vMerge w:val="restart"/>
                  <w:tcBorders>
                    <w:right w:val="single" w:color="000000" w:sz="4" w:space="0"/>
                  </w:tcBorders>
                  <w:vAlign w:val="center"/>
                </w:tcPr>
                <w:p w14:paraId="65E56D04">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firstLine="0"/>
                    <w:jc w:val="both"/>
                    <w:textAlignment w:val="baseline"/>
                    <w:rPr>
                      <w:rFonts w:ascii="Times New Roman" w:hAnsi="Times New Roman" w:cs="Times New Roman"/>
                      <w:color w:val="000000" w:themeColor="text1"/>
                      <w:spacing w:val="6"/>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优先委托当地农户拉运用于耕地肥田，无法利用的部分委托</w:t>
                  </w: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具有相应环保处理能力的第三方单位进行集中处置</w:t>
                  </w:r>
                  <w:r>
                    <w:rPr>
                      <w:rFonts w:hint="eastAsia"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w:t>
                  </w:r>
                </w:p>
              </w:tc>
            </w:tr>
            <w:tr w14:paraId="6B962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1" w:hRule="atLeast"/>
                <w:jc w:val="center"/>
              </w:trPr>
              <w:tc>
                <w:tcPr>
                  <w:tcW w:w="483" w:type="dxa"/>
                  <w:vAlign w:val="center"/>
                </w:tcPr>
                <w:p w14:paraId="3ACFE61A">
                  <w:pPr>
                    <w:pStyle w:val="22"/>
                    <w:kinsoku/>
                    <w:spacing w:before="65" w:line="228" w:lineRule="auto"/>
                    <w:jc w:val="center"/>
                    <w:rPr>
                      <w:rFonts w:ascii="Times New Roman" w:hAnsi="Times New Roman" w:cs="Times New Roman"/>
                      <w:color w:val="000000" w:themeColor="text1"/>
                      <w:spacing w:val="6"/>
                      <w:sz w:val="21"/>
                      <w:szCs w:val="21"/>
                      <w:highlight w:val="none"/>
                      <w14:textFill>
                        <w14:solidFill>
                          <w14:schemeClr w14:val="tx1"/>
                        </w14:solidFill>
                      </w14:textFill>
                    </w:rPr>
                  </w:pP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5</w:t>
                  </w:r>
                </w:p>
              </w:tc>
              <w:tc>
                <w:tcPr>
                  <w:tcW w:w="968" w:type="dxa"/>
                  <w:vAlign w:val="center"/>
                </w:tcPr>
                <w:p w14:paraId="73CDDE7F">
                  <w:pPr>
                    <w:pStyle w:val="22"/>
                    <w:kinsoku/>
                    <w:spacing w:before="65" w:line="228" w:lineRule="auto"/>
                    <w:jc w:val="center"/>
                    <w:rPr>
                      <w:rFonts w:ascii="Times New Roman" w:hAnsi="Times New Roman"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布袋除尘灰</w:t>
                  </w:r>
                </w:p>
              </w:tc>
              <w:tc>
                <w:tcPr>
                  <w:tcW w:w="846" w:type="dxa"/>
                  <w:vAlign w:val="center"/>
                </w:tcPr>
                <w:p w14:paraId="18E1458E">
                  <w:pPr>
                    <w:pStyle w:val="22"/>
                    <w:kinsoku/>
                    <w:spacing w:before="65" w:line="228" w:lineRule="auto"/>
                    <w:jc w:val="center"/>
                    <w:rPr>
                      <w:rFonts w:ascii="Times New Roman" w:hAnsi="Times New Roman"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一般固废</w:t>
                  </w:r>
                </w:p>
              </w:tc>
              <w:tc>
                <w:tcPr>
                  <w:tcW w:w="1073" w:type="dxa"/>
                  <w:vAlign w:val="center"/>
                </w:tcPr>
                <w:p w14:paraId="7A6C334A">
                  <w:pPr>
                    <w:pStyle w:val="22"/>
                    <w:kinsoku/>
                    <w:spacing w:before="65" w:line="228" w:lineRule="auto"/>
                    <w:jc w:val="center"/>
                    <w:rPr>
                      <w:rFonts w:ascii="Times New Roman" w:hAnsi="Times New Roman"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14:textFill>
                        <w14:solidFill>
                          <w14:schemeClr w14:val="tx1"/>
                        </w14:solidFill>
                      </w14:textFill>
                    </w:rPr>
                    <w:t>/</w:t>
                  </w:r>
                </w:p>
              </w:tc>
              <w:tc>
                <w:tcPr>
                  <w:tcW w:w="1245" w:type="dxa"/>
                  <w:vAlign w:val="center"/>
                </w:tcPr>
                <w:p w14:paraId="493F307D">
                  <w:pPr>
                    <w:pStyle w:val="22"/>
                    <w:kinsoku/>
                    <w:spacing w:before="65" w:line="228" w:lineRule="auto"/>
                    <w:jc w:val="cente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pacing w:val="6"/>
                      <w:sz w:val="21"/>
                      <w:szCs w:val="21"/>
                      <w:highlight w:val="none"/>
                      <w:lang w:val="en-US" w:eastAsia="zh-CN"/>
                      <w14:textFill>
                        <w14:solidFill>
                          <w14:schemeClr w14:val="tx1"/>
                        </w14:solidFill>
                      </w14:textFill>
                    </w:rPr>
                    <w:t>14.72t</w:t>
                  </w:r>
                </w:p>
              </w:tc>
              <w:tc>
                <w:tcPr>
                  <w:tcW w:w="3480" w:type="dxa"/>
                  <w:vMerge w:val="continue"/>
                  <w:tcBorders>
                    <w:right w:val="single" w:color="000000" w:sz="4" w:space="0"/>
                  </w:tcBorders>
                  <w:vAlign w:val="center"/>
                </w:tcPr>
                <w:p w14:paraId="539DE62F">
                  <w:pPr>
                    <w:pStyle w:val="22"/>
                    <w:keepNext w:val="0"/>
                    <w:keepLines w:val="0"/>
                    <w:pageBreakBefore w:val="0"/>
                    <w:widowControl/>
                    <w:kinsoku/>
                    <w:wordWrap/>
                    <w:overflowPunct/>
                    <w:topLinePunct w:val="0"/>
                    <w:autoSpaceDE w:val="0"/>
                    <w:autoSpaceDN w:val="0"/>
                    <w:bidi w:val="0"/>
                    <w:adjustRightInd w:val="0"/>
                    <w:snapToGrid w:val="0"/>
                    <w:spacing w:line="240" w:lineRule="auto"/>
                    <w:ind w:left="0" w:right="0" w:hanging="74"/>
                    <w:jc w:val="both"/>
                    <w:textAlignment w:val="baseline"/>
                    <w:rPr>
                      <w:rFonts w:ascii="Times New Roman" w:hAnsi="Times New Roman" w:cs="Times New Roman"/>
                      <w:color w:val="000000" w:themeColor="text1"/>
                      <w:spacing w:val="6"/>
                      <w:sz w:val="21"/>
                      <w:szCs w:val="21"/>
                      <w:highlight w:val="none"/>
                      <w:lang w:eastAsia="zh-CN"/>
                      <w14:textFill>
                        <w14:solidFill>
                          <w14:schemeClr w14:val="tx1"/>
                        </w14:solidFill>
                      </w14:textFill>
                    </w:rPr>
                  </w:pPr>
                </w:p>
              </w:tc>
            </w:tr>
          </w:tbl>
          <w:p w14:paraId="5592696B">
            <w:pPr>
              <w:keepNext w:val="0"/>
              <w:keepLines w:val="0"/>
              <w:pageBreakBefore w:val="0"/>
              <w:widowControl w:val="0"/>
              <w:kinsoku/>
              <w:wordWrap/>
              <w:overflowPunct/>
              <w:topLinePunct w:val="0"/>
              <w:autoSpaceDE w:val="0"/>
              <w:autoSpaceDN w:val="0"/>
              <w:bidi w:val="0"/>
              <w:adjustRightInd w:val="0"/>
              <w:snapToGrid w:val="0"/>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b/>
                <w:bCs/>
                <w:color w:val="000000" w:themeColor="text1"/>
                <w:spacing w:val="5"/>
                <w:highlight w:val="none"/>
                <w:lang w:eastAsia="zh-CN"/>
                <w14:textFill>
                  <w14:solidFill>
                    <w14:schemeClr w14:val="tx1"/>
                  </w14:solidFill>
                </w14:textFill>
              </w:rPr>
              <w:t>表4-</w:t>
            </w:r>
            <w:r>
              <w:rPr>
                <w:rFonts w:hint="eastAsia" w:ascii="Times New Roman" w:hAnsi="Times New Roman" w:eastAsia="宋体" w:cs="Times New Roman"/>
                <w:b/>
                <w:bCs/>
                <w:color w:val="000000" w:themeColor="text1"/>
                <w:spacing w:val="5"/>
                <w:highlight w:val="none"/>
                <w:lang w:val="en-US" w:eastAsia="zh-CN"/>
                <w14:textFill>
                  <w14:solidFill>
                    <w14:schemeClr w14:val="tx1"/>
                  </w14:solidFill>
                </w14:textFill>
              </w:rPr>
              <w:t xml:space="preserve">4 </w:t>
            </w:r>
            <w:r>
              <w:rPr>
                <w:rFonts w:ascii="Times New Roman" w:hAnsi="Times New Roman" w:eastAsia="宋体" w:cs="Times New Roman"/>
                <w:b/>
                <w:bCs/>
                <w:color w:val="000000" w:themeColor="text1"/>
                <w:spacing w:val="5"/>
                <w:highlight w:val="none"/>
                <w:lang w:eastAsia="zh-CN"/>
                <w14:textFill>
                  <w14:solidFill>
                    <w14:schemeClr w14:val="tx1"/>
                  </w14:solidFill>
                </w14:textFill>
              </w:rPr>
              <w:t xml:space="preserve"> 本项目危险废物清单</w:t>
            </w:r>
          </w:p>
          <w:tbl>
            <w:tblPr>
              <w:tblStyle w:val="21"/>
              <w:tblW w:w="803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60"/>
              <w:gridCol w:w="941"/>
              <w:gridCol w:w="502"/>
              <w:gridCol w:w="539"/>
              <w:gridCol w:w="702"/>
              <w:gridCol w:w="767"/>
              <w:gridCol w:w="1116"/>
              <w:gridCol w:w="3108"/>
            </w:tblGrid>
            <w:tr w14:paraId="1D51C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jc w:val="center"/>
              </w:trPr>
              <w:tc>
                <w:tcPr>
                  <w:tcW w:w="360" w:type="dxa"/>
                  <w:vAlign w:val="center"/>
                </w:tcPr>
                <w:p w14:paraId="6CE31139">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t>序号</w:t>
                  </w:r>
                </w:p>
              </w:tc>
              <w:tc>
                <w:tcPr>
                  <w:tcW w:w="941" w:type="dxa"/>
                  <w:vAlign w:val="center"/>
                </w:tcPr>
                <w:p w14:paraId="5E18B25D">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t>危废名称</w:t>
                  </w:r>
                </w:p>
              </w:tc>
              <w:tc>
                <w:tcPr>
                  <w:tcW w:w="502" w:type="dxa"/>
                  <w:vAlign w:val="center"/>
                </w:tcPr>
                <w:p w14:paraId="747F80F5">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t>属性</w:t>
                  </w:r>
                </w:p>
              </w:tc>
              <w:tc>
                <w:tcPr>
                  <w:tcW w:w="539" w:type="dxa"/>
                  <w:vAlign w:val="center"/>
                </w:tcPr>
                <w:p w14:paraId="5A833BC7">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t>危险特性</w:t>
                  </w:r>
                </w:p>
              </w:tc>
              <w:tc>
                <w:tcPr>
                  <w:tcW w:w="702" w:type="dxa"/>
                  <w:vAlign w:val="center"/>
                </w:tcPr>
                <w:p w14:paraId="77991609">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t>废物类别</w:t>
                  </w:r>
                </w:p>
              </w:tc>
              <w:tc>
                <w:tcPr>
                  <w:tcW w:w="767" w:type="dxa"/>
                  <w:vAlign w:val="center"/>
                </w:tcPr>
                <w:p w14:paraId="46EF41D1">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t>废物代码</w:t>
                  </w:r>
                </w:p>
              </w:tc>
              <w:tc>
                <w:tcPr>
                  <w:tcW w:w="1116" w:type="dxa"/>
                  <w:vAlign w:val="center"/>
                </w:tcPr>
                <w:p w14:paraId="63BCD427">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t>估算产生量（施工期）</w:t>
                  </w:r>
                </w:p>
              </w:tc>
              <w:tc>
                <w:tcPr>
                  <w:tcW w:w="3108" w:type="dxa"/>
                  <w:tcBorders>
                    <w:bottom w:val="single" w:color="auto" w:sz="4" w:space="0"/>
                    <w:right w:val="single" w:color="000000" w:sz="4" w:space="0"/>
                  </w:tcBorders>
                  <w:vAlign w:val="center"/>
                </w:tcPr>
                <w:p w14:paraId="5E23C537">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b/>
                      <w:bCs/>
                      <w:color w:val="000000" w:themeColor="text1"/>
                      <w:spacing w:val="6"/>
                      <w:sz w:val="21"/>
                      <w:szCs w:val="21"/>
                      <w:highlight w:val="none"/>
                      <w14:textFill>
                        <w14:solidFill>
                          <w14:schemeClr w14:val="tx1"/>
                        </w14:solidFill>
                      </w14:textFill>
                    </w:rPr>
                  </w:pPr>
                  <w:r>
                    <w:rPr>
                      <w:rFonts w:ascii="Times New Roman" w:hAnsi="Times New Roman" w:cs="Times New Roman" w:eastAsiaTheme="minorEastAsia"/>
                      <w:b/>
                      <w:bCs/>
                      <w:color w:val="000000" w:themeColor="text1"/>
                      <w:spacing w:val="6"/>
                      <w:sz w:val="21"/>
                      <w:szCs w:val="21"/>
                      <w:highlight w:val="none"/>
                      <w:lang w:eastAsia="zh-CN"/>
                      <w14:textFill>
                        <w14:solidFill>
                          <w14:schemeClr w14:val="tx1"/>
                        </w14:solidFill>
                      </w14:textFill>
                    </w:rPr>
                    <w:t>采取的处理处置方式</w:t>
                  </w:r>
                </w:p>
              </w:tc>
            </w:tr>
            <w:tr w14:paraId="73FA2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jc w:val="center"/>
              </w:trPr>
              <w:tc>
                <w:tcPr>
                  <w:tcW w:w="360" w:type="dxa"/>
                  <w:vAlign w:val="center"/>
                </w:tcPr>
                <w:p w14:paraId="6491E63F">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1</w:t>
                  </w:r>
                </w:p>
              </w:tc>
              <w:tc>
                <w:tcPr>
                  <w:tcW w:w="941" w:type="dxa"/>
                  <w:vAlign w:val="center"/>
                </w:tcPr>
                <w:p w14:paraId="4C3AF2CD">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14:textFill>
                        <w14:solidFill>
                          <w14:schemeClr w14:val="tx1"/>
                        </w14:solidFill>
                      </w14:textFill>
                    </w:rPr>
                  </w:pPr>
                  <w:r>
                    <w:rPr>
                      <w:rFonts w:ascii="Times New Roman" w:hAnsi="Times New Roman" w:cs="Times New Roman" w:eastAsiaTheme="minorEastAsia"/>
                      <w:color w:val="000000" w:themeColor="text1"/>
                      <w:highlight w:val="none"/>
                      <w14:textFill>
                        <w14:solidFill>
                          <w14:schemeClr w14:val="tx1"/>
                        </w14:solidFill>
                      </w14:textFill>
                    </w:rPr>
                    <w:t>落地油泥</w:t>
                  </w:r>
                </w:p>
              </w:tc>
              <w:tc>
                <w:tcPr>
                  <w:tcW w:w="502" w:type="dxa"/>
                  <w:vMerge w:val="restart"/>
                  <w:vAlign w:val="center"/>
                </w:tcPr>
                <w:p w14:paraId="0C817C3D">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14:textFill>
                        <w14:solidFill>
                          <w14:schemeClr w14:val="tx1"/>
                        </w14:solidFill>
                      </w14:textFill>
                    </w:rPr>
                  </w:pPr>
                  <w:r>
                    <w:rPr>
                      <w:rFonts w:ascii="Times New Roman" w:hAnsi="Times New Roman" w:cs="Times New Roman" w:eastAsiaTheme="minorEastAsia"/>
                      <w:color w:val="000000" w:themeColor="text1"/>
                      <w:highlight w:val="none"/>
                      <w14:textFill>
                        <w14:solidFill>
                          <w14:schemeClr w14:val="tx1"/>
                        </w14:solidFill>
                      </w14:textFill>
                    </w:rPr>
                    <w:t>危险废物</w:t>
                  </w:r>
                </w:p>
              </w:tc>
              <w:tc>
                <w:tcPr>
                  <w:tcW w:w="539" w:type="dxa"/>
                  <w:vAlign w:val="center"/>
                </w:tcPr>
                <w:p w14:paraId="5E87FADD">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14:textFill>
                        <w14:solidFill>
                          <w14:schemeClr w14:val="tx1"/>
                        </w14:solidFill>
                      </w14:textFill>
                    </w:rPr>
                  </w:pPr>
                  <w:r>
                    <w:rPr>
                      <w:rFonts w:ascii="Times New Roman" w:hAnsi="Times New Roman" w:cs="Times New Roman" w:eastAsiaTheme="minorEastAsia"/>
                      <w:color w:val="000000" w:themeColor="text1"/>
                      <w:highlight w:val="none"/>
                      <w14:textFill>
                        <w14:solidFill>
                          <w14:schemeClr w14:val="tx1"/>
                        </w14:solidFill>
                      </w14:textFill>
                    </w:rPr>
                    <w:t>毒性T</w:t>
                  </w:r>
                  <w:r>
                    <w:rPr>
                      <w:rFonts w:ascii="Times New Roman" w:hAnsi="Times New Roman" w:cs="Times New Roman" w:eastAsiaTheme="minorEastAsia"/>
                      <w:color w:val="000000" w:themeColor="text1"/>
                      <w:highlight w:val="none"/>
                      <w:lang w:eastAsia="zh-CN"/>
                      <w14:textFill>
                        <w14:solidFill>
                          <w14:schemeClr w14:val="tx1"/>
                        </w14:solidFill>
                      </w14:textFill>
                    </w:rPr>
                    <w:t>、</w:t>
                  </w:r>
                  <w:r>
                    <w:rPr>
                      <w:rFonts w:ascii="Times New Roman" w:hAnsi="Times New Roman" w:cs="Times New Roman" w:eastAsiaTheme="minorEastAsia"/>
                      <w:color w:val="000000" w:themeColor="text1"/>
                      <w:highlight w:val="none"/>
                      <w14:textFill>
                        <w14:solidFill>
                          <w14:schemeClr w14:val="tx1"/>
                        </w14:solidFill>
                      </w14:textFill>
                    </w:rPr>
                    <w:t>易燃性I</w:t>
                  </w:r>
                </w:p>
              </w:tc>
              <w:tc>
                <w:tcPr>
                  <w:tcW w:w="702" w:type="dxa"/>
                  <w:vAlign w:val="center"/>
                </w:tcPr>
                <w:p w14:paraId="21AFCDCC">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HW08</w:t>
                  </w:r>
                </w:p>
              </w:tc>
              <w:tc>
                <w:tcPr>
                  <w:tcW w:w="767" w:type="dxa"/>
                  <w:vAlign w:val="center"/>
                </w:tcPr>
                <w:p w14:paraId="7076D8F5">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071-001-08</w:t>
                  </w:r>
                </w:p>
              </w:tc>
              <w:tc>
                <w:tcPr>
                  <w:tcW w:w="1116" w:type="dxa"/>
                  <w:vAlign w:val="center"/>
                </w:tcPr>
                <w:p w14:paraId="1A6E24A5">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0.1</w:t>
                  </w: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t</w:t>
                  </w:r>
                </w:p>
              </w:tc>
              <w:tc>
                <w:tcPr>
                  <w:tcW w:w="3108" w:type="dxa"/>
                  <w:tcBorders>
                    <w:top w:val="single" w:color="auto" w:sz="4" w:space="0"/>
                    <w:bottom w:val="single" w:color="auto" w:sz="4" w:space="0"/>
                    <w:right w:val="single" w:color="000000" w:sz="4" w:space="0"/>
                  </w:tcBorders>
                  <w:vAlign w:val="center"/>
                </w:tcPr>
                <w:p w14:paraId="0E808850">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1"/>
                      <w:highlight w:val="none"/>
                      <w:lang w:eastAsia="zh-CN"/>
                      <w14:textFill>
                        <w14:solidFill>
                          <w14:schemeClr w14:val="tx1"/>
                        </w14:solidFill>
                      </w14:textFill>
                    </w:rPr>
                  </w:pPr>
                  <w:r>
                    <w:rPr>
                      <w:rFonts w:ascii="Times New Roman" w:hAnsi="Times New Roman" w:cs="Times New Roman" w:eastAsiaTheme="minorEastAsia"/>
                      <w:color w:val="000000" w:themeColor="text1"/>
                      <w:spacing w:val="1"/>
                      <w:highlight w:val="none"/>
                      <w:lang w:eastAsia="zh-CN"/>
                      <w14:textFill>
                        <w14:solidFill>
                          <w14:schemeClr w14:val="tx1"/>
                        </w14:solidFill>
                      </w14:textFill>
                    </w:rPr>
                    <w:t>落地油泥暂存于专用钢制桶内，最终交由有危险废物处置资质的单位处置。</w:t>
                  </w:r>
                </w:p>
              </w:tc>
            </w:tr>
            <w:tr w14:paraId="06DD7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60" w:type="dxa"/>
                  <w:vAlign w:val="center"/>
                </w:tcPr>
                <w:p w14:paraId="5F6936D3">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2</w:t>
                  </w:r>
                </w:p>
              </w:tc>
              <w:tc>
                <w:tcPr>
                  <w:tcW w:w="941" w:type="dxa"/>
                  <w:vAlign w:val="center"/>
                </w:tcPr>
                <w:p w14:paraId="62692D6B">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14:textFill>
                        <w14:solidFill>
                          <w14:schemeClr w14:val="tx1"/>
                        </w14:solidFill>
                      </w14:textFill>
                    </w:rPr>
                  </w:pPr>
                  <w:r>
                    <w:rPr>
                      <w:rFonts w:ascii="Times New Roman" w:hAnsi="Times New Roman" w:cs="Times New Roman" w:eastAsiaTheme="minorEastAsia"/>
                      <w:color w:val="000000" w:themeColor="text1"/>
                      <w:highlight w:val="none"/>
                      <w14:textFill>
                        <w14:solidFill>
                          <w14:schemeClr w14:val="tx1"/>
                        </w14:solidFill>
                      </w14:textFill>
                    </w:rPr>
                    <w:t>废防渗材料</w:t>
                  </w:r>
                </w:p>
              </w:tc>
              <w:tc>
                <w:tcPr>
                  <w:tcW w:w="502" w:type="dxa"/>
                  <w:vMerge w:val="continue"/>
                  <w:vAlign w:val="center"/>
                </w:tcPr>
                <w:p w14:paraId="780049DE">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14:textFill>
                        <w14:solidFill>
                          <w14:schemeClr w14:val="tx1"/>
                        </w14:solidFill>
                      </w14:textFill>
                    </w:rPr>
                  </w:pPr>
                </w:p>
              </w:tc>
              <w:tc>
                <w:tcPr>
                  <w:tcW w:w="539" w:type="dxa"/>
                  <w:vAlign w:val="center"/>
                </w:tcPr>
                <w:p w14:paraId="3E1ECE59">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14:textFill>
                        <w14:solidFill>
                          <w14:schemeClr w14:val="tx1"/>
                        </w14:solidFill>
                      </w14:textFill>
                    </w:rPr>
                  </w:pPr>
                  <w:r>
                    <w:rPr>
                      <w:rFonts w:ascii="Times New Roman" w:hAnsi="Times New Roman" w:cs="Times New Roman" w:eastAsiaTheme="minorEastAsia"/>
                      <w:color w:val="000000" w:themeColor="text1"/>
                      <w:highlight w:val="none"/>
                      <w14:textFill>
                        <w14:solidFill>
                          <w14:schemeClr w14:val="tx1"/>
                        </w14:solidFill>
                      </w14:textFill>
                    </w:rPr>
                    <w:t>毒性T</w:t>
                  </w:r>
                  <w:r>
                    <w:rPr>
                      <w:rFonts w:ascii="Times New Roman" w:hAnsi="Times New Roman" w:cs="Times New Roman" w:eastAsiaTheme="minorEastAsia"/>
                      <w:color w:val="000000" w:themeColor="text1"/>
                      <w:highlight w:val="none"/>
                      <w:lang w:eastAsia="zh-CN"/>
                      <w14:textFill>
                        <w14:solidFill>
                          <w14:schemeClr w14:val="tx1"/>
                        </w14:solidFill>
                      </w14:textFill>
                    </w:rPr>
                    <w:t>、</w:t>
                  </w:r>
                  <w:r>
                    <w:rPr>
                      <w:rFonts w:ascii="Times New Roman" w:hAnsi="Times New Roman" w:cs="Times New Roman" w:eastAsiaTheme="minorEastAsia"/>
                      <w:color w:val="000000" w:themeColor="text1"/>
                      <w:highlight w:val="none"/>
                      <w14:textFill>
                        <w14:solidFill>
                          <w14:schemeClr w14:val="tx1"/>
                        </w14:solidFill>
                      </w14:textFill>
                    </w:rPr>
                    <w:t>易燃性I</w:t>
                  </w:r>
                </w:p>
              </w:tc>
              <w:tc>
                <w:tcPr>
                  <w:tcW w:w="702" w:type="dxa"/>
                  <w:vAlign w:val="center"/>
                </w:tcPr>
                <w:p w14:paraId="3EDEFA2F">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HW08</w:t>
                  </w:r>
                </w:p>
              </w:tc>
              <w:tc>
                <w:tcPr>
                  <w:tcW w:w="767" w:type="dxa"/>
                  <w:vAlign w:val="center"/>
                </w:tcPr>
                <w:p w14:paraId="0B30AC5A">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900-249-08</w:t>
                  </w:r>
                </w:p>
              </w:tc>
              <w:tc>
                <w:tcPr>
                  <w:tcW w:w="1116" w:type="dxa"/>
                  <w:vAlign w:val="center"/>
                </w:tcPr>
                <w:p w14:paraId="6550B2EA">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0.</w:t>
                  </w:r>
                  <w:r>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04</w:t>
                  </w: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t</w:t>
                  </w:r>
                </w:p>
              </w:tc>
              <w:tc>
                <w:tcPr>
                  <w:tcW w:w="3108" w:type="dxa"/>
                  <w:tcBorders>
                    <w:top w:val="single" w:color="auto" w:sz="4" w:space="0"/>
                    <w:bottom w:val="single" w:color="auto" w:sz="4" w:space="0"/>
                    <w:right w:val="single" w:color="000000" w:sz="4" w:space="0"/>
                  </w:tcBorders>
                  <w:vAlign w:val="center"/>
                </w:tcPr>
                <w:p w14:paraId="63EC9A04">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施工结束后委托具有相应危险废物处置资质的单位进行处置。</w:t>
                  </w:r>
                </w:p>
              </w:tc>
            </w:tr>
            <w:tr w14:paraId="792C8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jc w:val="center"/>
              </w:trPr>
              <w:tc>
                <w:tcPr>
                  <w:tcW w:w="360" w:type="dxa"/>
                  <w:vAlign w:val="center"/>
                </w:tcPr>
                <w:p w14:paraId="785B2AB5">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3</w:t>
                  </w:r>
                </w:p>
              </w:tc>
              <w:tc>
                <w:tcPr>
                  <w:tcW w:w="941" w:type="dxa"/>
                  <w:vAlign w:val="center"/>
                </w:tcPr>
                <w:p w14:paraId="5C8249D4">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14:textFill>
                        <w14:solidFill>
                          <w14:schemeClr w14:val="tx1"/>
                        </w14:solidFill>
                      </w14:textFill>
                    </w:rPr>
                  </w:pPr>
                  <w:r>
                    <w:rPr>
                      <w:rFonts w:ascii="Times New Roman" w:hAnsi="Times New Roman" w:cs="Times New Roman" w:eastAsiaTheme="minorEastAsia"/>
                      <w:color w:val="000000" w:themeColor="text1"/>
                      <w:highlight w:val="none"/>
                      <w14:textFill>
                        <w14:solidFill>
                          <w14:schemeClr w14:val="tx1"/>
                        </w14:solidFill>
                      </w14:textFill>
                    </w:rPr>
                    <w:t>机械设备废油</w:t>
                  </w:r>
                </w:p>
              </w:tc>
              <w:tc>
                <w:tcPr>
                  <w:tcW w:w="502" w:type="dxa"/>
                  <w:vMerge w:val="continue"/>
                  <w:vAlign w:val="center"/>
                </w:tcPr>
                <w:p w14:paraId="0D572F66">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14:textFill>
                        <w14:solidFill>
                          <w14:schemeClr w14:val="tx1"/>
                        </w14:solidFill>
                      </w14:textFill>
                    </w:rPr>
                  </w:pPr>
                </w:p>
              </w:tc>
              <w:tc>
                <w:tcPr>
                  <w:tcW w:w="539" w:type="dxa"/>
                  <w:vAlign w:val="center"/>
                </w:tcPr>
                <w:p w14:paraId="64C20650">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14:textFill>
                        <w14:solidFill>
                          <w14:schemeClr w14:val="tx1"/>
                        </w14:solidFill>
                      </w14:textFill>
                    </w:rPr>
                  </w:pPr>
                  <w:r>
                    <w:rPr>
                      <w:rFonts w:ascii="Times New Roman" w:hAnsi="Times New Roman" w:cs="Times New Roman" w:eastAsiaTheme="minorEastAsia"/>
                      <w:color w:val="000000" w:themeColor="text1"/>
                      <w:highlight w:val="none"/>
                      <w14:textFill>
                        <w14:solidFill>
                          <w14:schemeClr w14:val="tx1"/>
                        </w14:solidFill>
                      </w14:textFill>
                    </w:rPr>
                    <w:t>毒性T</w:t>
                  </w:r>
                  <w:r>
                    <w:rPr>
                      <w:rFonts w:ascii="Times New Roman" w:hAnsi="Times New Roman" w:cs="Times New Roman" w:eastAsiaTheme="minorEastAsia"/>
                      <w:color w:val="000000" w:themeColor="text1"/>
                      <w:highlight w:val="none"/>
                      <w:lang w:eastAsia="zh-CN"/>
                      <w14:textFill>
                        <w14:solidFill>
                          <w14:schemeClr w14:val="tx1"/>
                        </w14:solidFill>
                      </w14:textFill>
                    </w:rPr>
                    <w:t>、</w:t>
                  </w:r>
                  <w:r>
                    <w:rPr>
                      <w:rFonts w:ascii="Times New Roman" w:hAnsi="Times New Roman" w:cs="Times New Roman" w:eastAsiaTheme="minorEastAsia"/>
                      <w:color w:val="000000" w:themeColor="text1"/>
                      <w:highlight w:val="none"/>
                      <w14:textFill>
                        <w14:solidFill>
                          <w14:schemeClr w14:val="tx1"/>
                        </w14:solidFill>
                      </w14:textFill>
                    </w:rPr>
                    <w:t>易燃性I</w:t>
                  </w:r>
                </w:p>
              </w:tc>
              <w:tc>
                <w:tcPr>
                  <w:tcW w:w="702" w:type="dxa"/>
                  <w:vAlign w:val="center"/>
                </w:tcPr>
                <w:p w14:paraId="027915FD">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HW08</w:t>
                  </w:r>
                </w:p>
              </w:tc>
              <w:tc>
                <w:tcPr>
                  <w:tcW w:w="767" w:type="dxa"/>
                  <w:vAlign w:val="center"/>
                </w:tcPr>
                <w:p w14:paraId="7A4D461A">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900-214-08</w:t>
                  </w:r>
                </w:p>
              </w:tc>
              <w:tc>
                <w:tcPr>
                  <w:tcW w:w="1116" w:type="dxa"/>
                  <w:vAlign w:val="center"/>
                </w:tcPr>
                <w:p w14:paraId="01874053">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14:textFill>
                        <w14:solidFill>
                          <w14:schemeClr w14:val="tx1"/>
                        </w14:solidFill>
                      </w14:textFill>
                    </w:rPr>
                  </w:pPr>
                  <w:r>
                    <w:rPr>
                      <w:rFonts w:hint="eastAsia" w:ascii="Times New Roman" w:hAnsi="Times New Roman" w:cs="Times New Roman" w:eastAsiaTheme="minorEastAsia"/>
                      <w:color w:val="000000" w:themeColor="text1"/>
                      <w:spacing w:val="6"/>
                      <w:sz w:val="21"/>
                      <w:szCs w:val="21"/>
                      <w:highlight w:val="none"/>
                      <w:lang w:val="en-US" w:eastAsia="zh-CN"/>
                      <w14:textFill>
                        <w14:solidFill>
                          <w14:schemeClr w14:val="tx1"/>
                        </w14:solidFill>
                      </w14:textFill>
                    </w:rPr>
                    <w:t>0.2</w:t>
                  </w:r>
                  <w:r>
                    <w:rPr>
                      <w:rFonts w:ascii="Times New Roman" w:hAnsi="Times New Roman" w:cs="Times New Roman" w:eastAsiaTheme="minorEastAsia"/>
                      <w:color w:val="000000" w:themeColor="text1"/>
                      <w:spacing w:val="6"/>
                      <w:sz w:val="21"/>
                      <w:szCs w:val="21"/>
                      <w:highlight w:val="none"/>
                      <w14:textFill>
                        <w14:solidFill>
                          <w14:schemeClr w14:val="tx1"/>
                        </w14:solidFill>
                      </w14:textFill>
                    </w:rPr>
                    <w:t>t</w:t>
                  </w:r>
                </w:p>
              </w:tc>
              <w:tc>
                <w:tcPr>
                  <w:tcW w:w="3108" w:type="dxa"/>
                  <w:vMerge w:val="restart"/>
                  <w:tcBorders>
                    <w:top w:val="single" w:color="auto" w:sz="4" w:space="0"/>
                    <w:bottom w:val="single" w:color="auto" w:sz="4" w:space="0"/>
                    <w:right w:val="single" w:color="000000" w:sz="4" w:space="0"/>
                  </w:tcBorders>
                  <w:vAlign w:val="center"/>
                </w:tcPr>
                <w:p w14:paraId="3CBB5159">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z w:val="2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pacing w:val="8"/>
                      <w:sz w:val="21"/>
                      <w:szCs w:val="21"/>
                      <w:highlight w:val="none"/>
                      <w:lang w:eastAsia="zh-CN"/>
                      <w14:textFill>
                        <w14:solidFill>
                          <w14:schemeClr w14:val="tx1"/>
                        </w14:solidFill>
                      </w14:textFill>
                    </w:rPr>
                    <w:t>暂存至危废贮存点，委托有资质单位进行处置。</w:t>
                  </w:r>
                </w:p>
              </w:tc>
            </w:tr>
            <w:tr w14:paraId="3D295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jc w:val="center"/>
              </w:trPr>
              <w:tc>
                <w:tcPr>
                  <w:tcW w:w="360" w:type="dxa"/>
                  <w:vAlign w:val="center"/>
                </w:tcPr>
                <w:p w14:paraId="3C85C16D">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4</w:t>
                  </w:r>
                </w:p>
              </w:tc>
              <w:tc>
                <w:tcPr>
                  <w:tcW w:w="941" w:type="dxa"/>
                  <w:vAlign w:val="center"/>
                </w:tcPr>
                <w:p w14:paraId="725A50A1">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废润滑油桶</w:t>
                  </w:r>
                </w:p>
              </w:tc>
              <w:tc>
                <w:tcPr>
                  <w:tcW w:w="502" w:type="dxa"/>
                  <w:vMerge w:val="continue"/>
                  <w:vAlign w:val="center"/>
                </w:tcPr>
                <w:p w14:paraId="0DD42F1F">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p>
              </w:tc>
              <w:tc>
                <w:tcPr>
                  <w:tcW w:w="539" w:type="dxa"/>
                  <w:vAlign w:val="center"/>
                </w:tcPr>
                <w:p w14:paraId="20206AD7">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毒性T</w:t>
                  </w:r>
                </w:p>
              </w:tc>
              <w:tc>
                <w:tcPr>
                  <w:tcW w:w="702" w:type="dxa"/>
                  <w:vAlign w:val="center"/>
                </w:tcPr>
                <w:p w14:paraId="16AF84E3">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HW08</w:t>
                  </w:r>
                </w:p>
              </w:tc>
              <w:tc>
                <w:tcPr>
                  <w:tcW w:w="767" w:type="dxa"/>
                  <w:vAlign w:val="center"/>
                </w:tcPr>
                <w:p w14:paraId="6689B694">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900-249-08</w:t>
                  </w:r>
                </w:p>
              </w:tc>
              <w:tc>
                <w:tcPr>
                  <w:tcW w:w="1116" w:type="dxa"/>
                  <w:vAlign w:val="center"/>
                </w:tcPr>
                <w:p w14:paraId="4C2E3BDC">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0.05t</w:t>
                  </w:r>
                </w:p>
              </w:tc>
              <w:tc>
                <w:tcPr>
                  <w:tcW w:w="3108" w:type="dxa"/>
                  <w:vMerge w:val="continue"/>
                  <w:tcBorders>
                    <w:top w:val="single" w:color="auto" w:sz="4" w:space="0"/>
                    <w:bottom w:val="single" w:color="auto" w:sz="4" w:space="0"/>
                    <w:right w:val="single" w:color="000000" w:sz="4" w:space="0"/>
                  </w:tcBorders>
                  <w:vAlign w:val="center"/>
                </w:tcPr>
                <w:p w14:paraId="24BB3693">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p>
              </w:tc>
            </w:tr>
            <w:tr w14:paraId="2EA96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jc w:val="center"/>
              </w:trPr>
              <w:tc>
                <w:tcPr>
                  <w:tcW w:w="360" w:type="dxa"/>
                  <w:vAlign w:val="center"/>
                </w:tcPr>
                <w:p w14:paraId="37524A76">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5</w:t>
                  </w:r>
                </w:p>
              </w:tc>
              <w:tc>
                <w:tcPr>
                  <w:tcW w:w="941" w:type="dxa"/>
                  <w:vAlign w:val="center"/>
                </w:tcPr>
                <w:p w14:paraId="6AFF68AE">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油基泥浆和岩屑</w:t>
                  </w:r>
                </w:p>
              </w:tc>
              <w:tc>
                <w:tcPr>
                  <w:tcW w:w="502" w:type="dxa"/>
                  <w:vMerge w:val="continue"/>
                  <w:vAlign w:val="center"/>
                </w:tcPr>
                <w:p w14:paraId="635FD6EA">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p>
              </w:tc>
              <w:tc>
                <w:tcPr>
                  <w:tcW w:w="539" w:type="dxa"/>
                  <w:vAlign w:val="center"/>
                </w:tcPr>
                <w:p w14:paraId="6EC4CB03">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毒性T</w:t>
                  </w:r>
                </w:p>
              </w:tc>
              <w:tc>
                <w:tcPr>
                  <w:tcW w:w="702" w:type="dxa"/>
                  <w:vAlign w:val="center"/>
                </w:tcPr>
                <w:p w14:paraId="0EAD2389">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t>HW08</w:t>
                  </w:r>
                </w:p>
              </w:tc>
              <w:tc>
                <w:tcPr>
                  <w:tcW w:w="767" w:type="dxa"/>
                  <w:vAlign w:val="center"/>
                </w:tcPr>
                <w:p w14:paraId="2338F28C">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pPr>
                  <w:r>
                    <w:rPr>
                      <w:rFonts w:ascii="Times New Roman" w:hAnsi="Times New Roman" w:cs="Times New Roman" w:eastAsiaTheme="minorEastAsia"/>
                      <w:color w:val="000000" w:themeColor="text1"/>
                      <w:spacing w:val="3"/>
                      <w:highlight w:val="none"/>
                      <w:lang w:eastAsia="zh-CN"/>
                      <w14:textFill>
                        <w14:solidFill>
                          <w14:schemeClr w14:val="tx1"/>
                        </w14:solidFill>
                      </w14:textFill>
                    </w:rPr>
                    <w:t>071-002-08</w:t>
                  </w:r>
                </w:p>
              </w:tc>
              <w:tc>
                <w:tcPr>
                  <w:tcW w:w="1116" w:type="dxa"/>
                  <w:vAlign w:val="center"/>
                </w:tcPr>
                <w:p w14:paraId="5ABDAC0A">
                  <w:pPr>
                    <w:pStyle w:val="22"/>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spacing w:val="6"/>
                      <w:sz w:val="21"/>
                      <w:szCs w:val="2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spacing w:val="6"/>
                      <w:sz w:val="21"/>
                      <w:szCs w:val="21"/>
                      <w:highlight w:val="none"/>
                      <w:lang w:val="en-US" w:eastAsia="zh-CN"/>
                      <w14:textFill>
                        <w14:solidFill>
                          <w14:schemeClr w14:val="tx1"/>
                        </w14:solidFill>
                      </w14:textFill>
                    </w:rPr>
                    <w:t>2395.46</w:t>
                  </w:r>
                  <w:r>
                    <w:rPr>
                      <w:rFonts w:ascii="Times New Roman" w:hAnsi="Times New Roman" w:cs="Times New Roman" w:eastAsiaTheme="minorEastAsia"/>
                      <w:color w:val="000000" w:themeColor="text1"/>
                      <w:spacing w:val="4"/>
                      <w:highlight w:val="none"/>
                      <w:lang w:eastAsia="zh-CN"/>
                      <w14:textFill>
                        <w14:solidFill>
                          <w14:schemeClr w14:val="tx1"/>
                        </w14:solidFill>
                      </w14:textFill>
                    </w:rPr>
                    <w:t>m</w:t>
                  </w:r>
                  <w:r>
                    <w:rPr>
                      <w:rFonts w:ascii="Times New Roman" w:hAnsi="Times New Roman" w:cs="Times New Roman" w:eastAsiaTheme="minorEastAsia"/>
                      <w:color w:val="000000" w:themeColor="text1"/>
                      <w:spacing w:val="4"/>
                      <w:highlight w:val="none"/>
                      <w:vertAlign w:val="superscript"/>
                      <w:lang w:eastAsia="zh-CN"/>
                      <w14:textFill>
                        <w14:solidFill>
                          <w14:schemeClr w14:val="tx1"/>
                        </w14:solidFill>
                      </w14:textFill>
                    </w:rPr>
                    <w:t>3</w:t>
                  </w:r>
                </w:p>
              </w:tc>
              <w:tc>
                <w:tcPr>
                  <w:tcW w:w="3108" w:type="dxa"/>
                  <w:tcBorders>
                    <w:top w:val="single" w:color="auto" w:sz="4" w:space="0"/>
                    <w:bottom w:val="single" w:color="auto" w:sz="4" w:space="0"/>
                    <w:right w:val="single" w:color="000000" w:sz="4" w:space="0"/>
                  </w:tcBorders>
                  <w:vAlign w:val="center"/>
                </w:tcPr>
                <w:p w14:paraId="397DEAE7">
                  <w:pPr>
                    <w:keepNext w:val="0"/>
                    <w:keepLines w:val="0"/>
                    <w:pageBreakBefore w:val="0"/>
                    <w:widowControl/>
                    <w:kinsoku/>
                    <w:wordWrap/>
                    <w:overflowPunct/>
                    <w:topLinePunct w:val="0"/>
                    <w:autoSpaceDE w:val="0"/>
                    <w:autoSpaceDN w:val="0"/>
                    <w:bidi w:val="0"/>
                    <w:adjustRightInd w:val="0"/>
                    <w:snapToGrid w:val="0"/>
                    <w:spacing w:line="240" w:lineRule="auto"/>
                    <w:ind w:right="0"/>
                    <w:jc w:val="center"/>
                    <w:textAlignment w:val="baseline"/>
                    <w:rPr>
                      <w:rFonts w:ascii="Times New Roman" w:hAnsi="Times New Roman" w:cs="Times New Roman" w:eastAsiaTheme="minorEastAsia"/>
                      <w:color w:val="000000" w:themeColor="text1"/>
                      <w:highlight w:val="none"/>
                      <w:lang w:eastAsia="zh-CN"/>
                      <w14:textFill>
                        <w14:solidFill>
                          <w14:schemeClr w14:val="tx1"/>
                        </w14:solidFill>
                      </w14:textFill>
                    </w:rPr>
                  </w:pPr>
                  <w:r>
                    <w:rPr>
                      <w:rFonts w:ascii="Times New Roman" w:hAnsi="Times New Roman" w:cs="Times New Roman" w:eastAsiaTheme="minorEastAsia"/>
                      <w:color w:val="000000" w:themeColor="text1"/>
                      <w:highlight w:val="none"/>
                      <w:lang w:eastAsia="zh-CN"/>
                      <w14:textFill>
                        <w14:solidFill>
                          <w14:schemeClr w14:val="tx1"/>
                        </w14:solidFill>
                      </w14:textFill>
                    </w:rPr>
                    <w:t>暂存至危废贮存点，委托有资质单位进行处置。</w:t>
                  </w:r>
                </w:p>
              </w:tc>
            </w:tr>
          </w:tbl>
          <w:p w14:paraId="76BF1BD9">
            <w:pPr>
              <w:pStyle w:val="7"/>
              <w:keepNext w:val="0"/>
              <w:keepLines w:val="0"/>
              <w:pageBreakBefore w:val="0"/>
              <w:widowControl w:val="0"/>
              <w:kinsoku/>
              <w:wordWrap/>
              <w:overflowPunct/>
              <w:topLinePunct w:val="0"/>
              <w:autoSpaceDE w:val="0"/>
              <w:autoSpaceDN w:val="0"/>
              <w:bidi w:val="0"/>
              <w:adjustRightInd w:val="0"/>
              <w:snapToGrid w:val="0"/>
              <w:spacing w:before="0" w:beforeLines="50" w:line="360" w:lineRule="auto"/>
              <w:jc w:val="both"/>
              <w:textAlignment w:val="baseline"/>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t>7.环境风险影响分析</w:t>
            </w:r>
          </w:p>
          <w:p w14:paraId="1C9C3BD6">
            <w:pPr>
              <w:pStyle w:val="7"/>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t>7.1评价依据</w:t>
            </w:r>
          </w:p>
          <w:p w14:paraId="30B038B7">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钻井期涉及的危险物质主要为柴油、废润滑油及沾油废防渗材料；试油期涉及的危险物质主要为原油、柴油。根据《建设项目环境风险评价技术导则》（HJ169-2018）附录B可知，柴油、废润滑油属于“油类物质”，废润滑油桶和沾油废防渗材料为含油废物（各危险物质在线量分别以沾油废防渗材料和废润滑油桶中油类含量计），临界量均为2500t。</w:t>
            </w:r>
          </w:p>
          <w:p w14:paraId="737C9241">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根据相关资料可知，各钻井平台柴油储罐的最大储存量约20t；危险废物废润滑油、废润滑油桶及沾油废防渗材料中石油类最大暂存量约为1t。则钻井期油类物质的危险物质数量与临界量比值Q=0.008＜1。</w:t>
            </w:r>
          </w:p>
          <w:p w14:paraId="0D03B649">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试油期产生的伴生气气量不稳定，伴生气和伴生气中的硫化氢最大存在总量远低于其临界量（伴生气临界量10t，硫化氢临界量2.5t）；试油期柴油在钻井平台的日常储量为20t，试油期钻井平台设置原油储罐1个，油罐容积为60m</w:t>
            </w:r>
            <w:r>
              <w:rPr>
                <w:rFonts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，原油平均密度为0.87g/cm</w:t>
            </w:r>
            <w:r>
              <w:rPr>
                <w:rFonts w:ascii="Times New Roman" w:hAnsi="Times New Roman" w:eastAsia="宋体" w:cs="Times New Roman"/>
                <w:color w:val="000000" w:themeColor="text1"/>
                <w:spacing w:val="-2"/>
                <w:sz w:val="24"/>
                <w:szCs w:val="24"/>
                <w:highlight w:val="none"/>
                <w:vertAlign w:val="superscript"/>
                <w:lang w:eastAsia="zh-CN"/>
                <w14:textFill>
                  <w14:solidFill>
                    <w14:schemeClr w14:val="tx1"/>
                  </w14:solidFill>
                </w14:textFill>
              </w:rPr>
              <w:t>3</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，则采出液中原油最大储存量约52.2t，试油期油类物质的危险物质数量与临界量比值Q=0.0289＜1，风险潜势为Ⅰ。评价等级为简单分析。</w:t>
            </w:r>
          </w:p>
          <w:p w14:paraId="6274CCEF">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事故状态下，若发生井喷或者储罐泄漏事故，无法回收的原油和受污染的土壤形成落地油，落地油属于HW08类危险废物（废物代码：071-001-08），落地油产生量根据具体事故情形而定，落地油泥用专用罐收集，最终交由有危险废物处置资质的单位处置。</w:t>
            </w:r>
          </w:p>
          <w:p w14:paraId="35E6D26E">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钻井井场和试油井场各危险物质与临界量的比值计算情况具体见表4-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323851F">
            <w:pPr>
              <w:pStyle w:val="30"/>
              <w:keepNext/>
              <w:keepLines w:val="0"/>
              <w:pageBreakBefore w:val="0"/>
              <w:widowControl w:val="0"/>
              <w:kinsoku/>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b/>
                <w:bCs/>
                <w:color w:val="000000" w:themeColor="text1"/>
                <w:spacing w:val="5"/>
                <w:szCs w:val="21"/>
                <w:highlight w:val="none"/>
                <w:lang w:eastAsia="zh-CN"/>
                <w14:textFill>
                  <w14:solidFill>
                    <w14:schemeClr w14:val="tx1"/>
                  </w14:solidFill>
                </w14:textFill>
              </w:rPr>
            </w:pPr>
            <w:r>
              <w:rPr>
                <w:rFonts w:ascii="Times New Roman" w:hAnsi="Times New Roman" w:eastAsia="宋体" w:cs="Times New Roman"/>
                <w:b/>
                <w:bCs/>
                <w:color w:val="000000" w:themeColor="text1"/>
                <w:spacing w:val="5"/>
                <w:szCs w:val="21"/>
                <w:highlight w:val="none"/>
                <w:lang w:eastAsia="zh-CN"/>
                <w14:textFill>
                  <w14:solidFill>
                    <w14:schemeClr w14:val="tx1"/>
                  </w14:solidFill>
                </w14:textFill>
              </w:rPr>
              <w:t>表4-</w:t>
            </w:r>
            <w:r>
              <w:rPr>
                <w:rFonts w:hint="eastAsia" w:ascii="Times New Roman" w:hAnsi="Times New Roman" w:eastAsia="宋体" w:cs="Times New Roman"/>
                <w:b/>
                <w:bCs/>
                <w:color w:val="000000" w:themeColor="text1"/>
                <w:spacing w:val="5"/>
                <w:szCs w:val="21"/>
                <w:highlight w:val="none"/>
                <w:lang w:val="en-US" w:eastAsia="zh-CN"/>
                <w14:textFill>
                  <w14:solidFill>
                    <w14:schemeClr w14:val="tx1"/>
                  </w14:solidFill>
                </w14:textFill>
              </w:rPr>
              <w:t xml:space="preserve">5 </w:t>
            </w:r>
            <w:r>
              <w:rPr>
                <w:rFonts w:ascii="Times New Roman" w:hAnsi="Times New Roman" w:eastAsia="宋体" w:cs="Times New Roman"/>
                <w:b/>
                <w:bCs/>
                <w:color w:val="000000" w:themeColor="text1"/>
                <w:spacing w:val="5"/>
                <w:szCs w:val="21"/>
                <w:highlight w:val="none"/>
                <w:lang w:eastAsia="zh-CN"/>
                <w14:textFill>
                  <w14:solidFill>
                    <w14:schemeClr w14:val="tx1"/>
                  </w14:solidFill>
                </w14:textFill>
              </w:rPr>
              <w:t xml:space="preserve"> 本项目井场各风险单元Q值一览表</w:t>
            </w:r>
          </w:p>
          <w:tbl>
            <w:tblPr>
              <w:tblStyle w:val="16"/>
              <w:tblW w:w="5000" w:type="pct"/>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8" w:type="dxa"/>
                <w:bottom w:w="0" w:type="dxa"/>
                <w:right w:w="108" w:type="dxa"/>
              </w:tblCellMar>
            </w:tblPr>
            <w:tblGrid>
              <w:gridCol w:w="791"/>
              <w:gridCol w:w="2368"/>
              <w:gridCol w:w="1587"/>
              <w:gridCol w:w="1293"/>
              <w:gridCol w:w="969"/>
              <w:gridCol w:w="1089"/>
            </w:tblGrid>
            <w:tr w14:paraId="3B4539D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jc w:val="center"/>
              </w:trPr>
              <w:tc>
                <w:tcPr>
                  <w:tcW w:w="488" w:type="pct"/>
                  <w:tcBorders>
                    <w:bottom w:val="single" w:color="auto" w:sz="4" w:space="0"/>
                    <w:right w:val="single" w:color="auto" w:sz="4" w:space="0"/>
                  </w:tcBorders>
                  <w:vAlign w:val="center"/>
                </w:tcPr>
                <w:p w14:paraId="34B6FB2F">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风险单位</w:t>
                  </w:r>
                </w:p>
              </w:tc>
              <w:tc>
                <w:tcPr>
                  <w:tcW w:w="1461" w:type="pct"/>
                  <w:tcBorders>
                    <w:left w:val="single" w:color="auto" w:sz="4" w:space="0"/>
                    <w:bottom w:val="single" w:color="auto" w:sz="4" w:space="0"/>
                    <w:right w:val="single" w:color="auto" w:sz="4" w:space="0"/>
                  </w:tcBorders>
                  <w:vAlign w:val="center"/>
                </w:tcPr>
                <w:p w14:paraId="6ACF1CE7">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危险物质名称</w:t>
                  </w:r>
                </w:p>
              </w:tc>
              <w:tc>
                <w:tcPr>
                  <w:tcW w:w="979" w:type="pct"/>
                  <w:tcBorders>
                    <w:left w:val="single" w:color="auto" w:sz="4" w:space="0"/>
                    <w:bottom w:val="single" w:color="auto" w:sz="4" w:space="0"/>
                    <w:right w:val="single" w:color="auto" w:sz="4" w:space="0"/>
                  </w:tcBorders>
                  <w:vAlign w:val="center"/>
                </w:tcPr>
                <w:p w14:paraId="2694BA2A">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ascii="Times New Roman" w:hAnsi="Times New Roman" w:eastAsia="宋体" w:cs="Times New Roman"/>
                      <w:b/>
                      <w:bCs/>
                      <w:color w:val="000000" w:themeColor="text1"/>
                      <w:sz w:val="21"/>
                      <w:szCs w:val="21"/>
                      <w:highlight w:val="none"/>
                      <w:lang w:eastAsia="zh-CN"/>
                      <w14:textFill>
                        <w14:solidFill>
                          <w14:schemeClr w14:val="tx1"/>
                        </w14:solidFill>
                      </w14:textFill>
                    </w:rPr>
                    <w:t>危险物质最大在线量（t）</w:t>
                  </w:r>
                </w:p>
              </w:tc>
              <w:tc>
                <w:tcPr>
                  <w:tcW w:w="798" w:type="pct"/>
                  <w:tcBorders>
                    <w:left w:val="single" w:color="auto" w:sz="4" w:space="0"/>
                    <w:bottom w:val="single" w:color="auto" w:sz="4" w:space="0"/>
                    <w:right w:val="single" w:color="auto" w:sz="4" w:space="0"/>
                  </w:tcBorders>
                  <w:vAlign w:val="center"/>
                </w:tcPr>
                <w:p w14:paraId="32B694A2">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ascii="Times New Roman" w:hAnsi="Times New Roman" w:eastAsia="宋体" w:cs="Times New Roman"/>
                      <w:b/>
                      <w:bCs/>
                      <w:color w:val="000000" w:themeColor="text1"/>
                      <w:sz w:val="21"/>
                      <w:szCs w:val="21"/>
                      <w:highlight w:val="none"/>
                      <w:lang w:eastAsia="zh-CN"/>
                      <w14:textFill>
                        <w14:solidFill>
                          <w14:schemeClr w14:val="tx1"/>
                        </w14:solidFill>
                      </w14:textFill>
                    </w:rPr>
                    <w:t>危险物质临界量（t）</w:t>
                  </w:r>
                </w:p>
              </w:tc>
              <w:tc>
                <w:tcPr>
                  <w:tcW w:w="598" w:type="pct"/>
                  <w:tcBorders>
                    <w:left w:val="single" w:color="auto" w:sz="4" w:space="0"/>
                    <w:bottom w:val="single" w:color="auto" w:sz="4" w:space="0"/>
                    <w:right w:val="single" w:color="auto" w:sz="4" w:space="0"/>
                  </w:tcBorders>
                  <w:vAlign w:val="center"/>
                </w:tcPr>
                <w:p w14:paraId="2170C73F">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Q值</w:t>
                  </w:r>
                </w:p>
              </w:tc>
              <w:tc>
                <w:tcPr>
                  <w:tcW w:w="672" w:type="pct"/>
                  <w:tcBorders>
                    <w:left w:val="single" w:color="auto" w:sz="4" w:space="0"/>
                    <w:bottom w:val="single" w:color="auto" w:sz="4" w:space="0"/>
                  </w:tcBorders>
                  <w:vAlign w:val="center"/>
                </w:tcPr>
                <w:p w14:paraId="7E987ECB">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sz w:val="21"/>
                      <w:szCs w:val="21"/>
                      <w:highlight w:val="none"/>
                      <w14:textFill>
                        <w14:solidFill>
                          <w14:schemeClr w14:val="tx1"/>
                        </w14:solidFill>
                      </w14:textFill>
                    </w:rPr>
                  </w:pPr>
                  <w:r>
                    <w:rPr>
                      <w:rFonts w:ascii="Times New Roman" w:hAnsi="Times New Roman" w:eastAsia="宋体" w:cs="Times New Roman"/>
                      <w:b/>
                      <w:bCs/>
                      <w:color w:val="000000" w:themeColor="text1"/>
                      <w:sz w:val="21"/>
                      <w:szCs w:val="21"/>
                      <w:highlight w:val="none"/>
                      <w14:textFill>
                        <w14:solidFill>
                          <w14:schemeClr w14:val="tx1"/>
                        </w14:solidFill>
                      </w14:textFill>
                    </w:rPr>
                    <w:t>风险潜势等级</w:t>
                  </w:r>
                </w:p>
              </w:tc>
            </w:tr>
            <w:tr w14:paraId="3EF5304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restart"/>
                  <w:tcBorders>
                    <w:top w:val="single" w:color="auto" w:sz="4" w:space="0"/>
                    <w:right w:val="single" w:color="auto" w:sz="4" w:space="0"/>
                  </w:tcBorders>
                  <w:vAlign w:val="center"/>
                </w:tcPr>
                <w:p w14:paraId="69C7DB5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钻井井场</w:t>
                  </w:r>
                </w:p>
              </w:tc>
              <w:tc>
                <w:tcPr>
                  <w:tcW w:w="1461" w:type="pct"/>
                  <w:tcBorders>
                    <w:top w:val="single" w:color="auto" w:sz="4" w:space="0"/>
                    <w:left w:val="single" w:color="auto" w:sz="4" w:space="0"/>
                    <w:bottom w:val="single" w:color="auto" w:sz="4" w:space="0"/>
                    <w:right w:val="single" w:color="auto" w:sz="4" w:space="0"/>
                  </w:tcBorders>
                  <w:vAlign w:val="center"/>
                </w:tcPr>
                <w:p w14:paraId="33379A3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7722F2A2">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20</w:t>
                  </w:r>
                </w:p>
              </w:tc>
              <w:tc>
                <w:tcPr>
                  <w:tcW w:w="798" w:type="pct"/>
                  <w:tcBorders>
                    <w:top w:val="single" w:color="auto" w:sz="4" w:space="0"/>
                    <w:left w:val="single" w:color="auto" w:sz="4" w:space="0"/>
                    <w:bottom w:val="single" w:color="auto" w:sz="4" w:space="0"/>
                    <w:right w:val="single" w:color="auto" w:sz="4" w:space="0"/>
                  </w:tcBorders>
                  <w:vAlign w:val="center"/>
                </w:tcPr>
                <w:p w14:paraId="12C330D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6535182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0.00</w:t>
                  </w:r>
                  <w:r>
                    <w:rPr>
                      <w:rFonts w:ascii="Times New Roman" w:hAnsi="Times New Roman" w:eastAsia="宋体" w:cs="Times New Roman"/>
                      <w:color w:val="000000" w:themeColor="text1"/>
                      <w:highlight w:val="none"/>
                      <w:lang w:eastAsia="zh-CN"/>
                      <w14:textFill>
                        <w14:solidFill>
                          <w14:schemeClr w14:val="tx1"/>
                        </w14:solidFill>
                      </w14:textFill>
                    </w:rPr>
                    <w:t>8</w:t>
                  </w:r>
                </w:p>
              </w:tc>
              <w:tc>
                <w:tcPr>
                  <w:tcW w:w="672" w:type="pct"/>
                  <w:vMerge w:val="restart"/>
                  <w:tcBorders>
                    <w:top w:val="single" w:color="auto" w:sz="4" w:space="0"/>
                    <w:left w:val="single" w:color="auto" w:sz="4" w:space="0"/>
                    <w:bottom w:val="single" w:color="auto" w:sz="4" w:space="0"/>
                  </w:tcBorders>
                  <w:vAlign w:val="center"/>
                </w:tcPr>
                <w:p w14:paraId="40EC2932">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sz w:val="21"/>
                      <w:szCs w:val="21"/>
                      <w:highlight w:val="none"/>
                      <w14:textFill>
                        <w14:solidFill>
                          <w14:schemeClr w14:val="tx1"/>
                        </w14:solidFill>
                      </w14:textFill>
                    </w:rPr>
                  </w:pPr>
                  <w:r>
                    <w:rPr>
                      <w:rFonts w:ascii="Times New Roman" w:hAnsi="Times New Roman" w:eastAsia="宋体" w:cs="Times New Roman"/>
                      <w:color w:val="000000" w:themeColor="text1"/>
                      <w:sz w:val="21"/>
                      <w:szCs w:val="21"/>
                      <w:highlight w:val="none"/>
                      <w14:textFill>
                        <w14:solidFill>
                          <w14:schemeClr w14:val="tx1"/>
                        </w14:solidFill>
                      </w14:textFill>
                    </w:rPr>
                    <w:t>Ⅰ</w:t>
                  </w:r>
                </w:p>
              </w:tc>
            </w:tr>
            <w:tr w14:paraId="02F8A89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continue"/>
                  <w:tcBorders>
                    <w:right w:val="single" w:color="auto" w:sz="4" w:space="0"/>
                  </w:tcBorders>
                  <w:vAlign w:val="center"/>
                </w:tcPr>
                <w:p w14:paraId="5F49770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p>
              </w:tc>
              <w:tc>
                <w:tcPr>
                  <w:tcW w:w="1461" w:type="pct"/>
                  <w:tcBorders>
                    <w:top w:val="single" w:color="auto" w:sz="4" w:space="0"/>
                    <w:left w:val="single" w:color="auto" w:sz="4" w:space="0"/>
                    <w:bottom w:val="single" w:color="auto" w:sz="4" w:space="0"/>
                    <w:right w:val="single" w:color="auto" w:sz="4" w:space="0"/>
                  </w:tcBorders>
                  <w:vAlign w:val="center"/>
                </w:tcPr>
                <w:p w14:paraId="2067DE40">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废润滑油、废润滑油桶及沾油废防渗材料</w:t>
                  </w:r>
                </w:p>
              </w:tc>
              <w:tc>
                <w:tcPr>
                  <w:tcW w:w="979" w:type="pct"/>
                  <w:tcBorders>
                    <w:top w:val="single" w:color="auto" w:sz="4" w:space="0"/>
                    <w:left w:val="single" w:color="auto" w:sz="4" w:space="0"/>
                    <w:bottom w:val="single" w:color="auto" w:sz="4" w:space="0"/>
                    <w:right w:val="single" w:color="auto" w:sz="4" w:space="0"/>
                  </w:tcBorders>
                  <w:vAlign w:val="center"/>
                </w:tcPr>
                <w:p w14:paraId="4BC5F22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1</w:t>
                  </w:r>
                </w:p>
              </w:tc>
              <w:tc>
                <w:tcPr>
                  <w:tcW w:w="798" w:type="pct"/>
                  <w:tcBorders>
                    <w:top w:val="single" w:color="auto" w:sz="4" w:space="0"/>
                    <w:left w:val="single" w:color="auto" w:sz="4" w:space="0"/>
                    <w:bottom w:val="single" w:color="auto" w:sz="4" w:space="0"/>
                    <w:right w:val="single" w:color="auto" w:sz="4" w:space="0"/>
                  </w:tcBorders>
                  <w:vAlign w:val="center"/>
                </w:tcPr>
                <w:p w14:paraId="03E77ECA">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62F7BCD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0.0004</w:t>
                  </w:r>
                </w:p>
              </w:tc>
              <w:tc>
                <w:tcPr>
                  <w:tcW w:w="672" w:type="pct"/>
                  <w:vMerge w:val="continue"/>
                  <w:tcBorders>
                    <w:top w:val="single" w:color="auto" w:sz="4" w:space="0"/>
                    <w:left w:val="single" w:color="auto" w:sz="4" w:space="0"/>
                    <w:bottom w:val="single" w:color="auto" w:sz="4" w:space="0"/>
                  </w:tcBorders>
                  <w:vAlign w:val="center"/>
                </w:tcPr>
                <w:p w14:paraId="55143316">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1990DB8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tcBorders>
                    <w:top w:val="single" w:color="auto" w:sz="4" w:space="0"/>
                    <w:bottom w:val="single" w:color="auto" w:sz="4" w:space="0"/>
                    <w:right w:val="single" w:color="auto" w:sz="4" w:space="0"/>
                  </w:tcBorders>
                  <w:vAlign w:val="center"/>
                </w:tcPr>
                <w:p w14:paraId="1867606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小计</w:t>
                  </w:r>
                </w:p>
              </w:tc>
              <w:tc>
                <w:tcPr>
                  <w:tcW w:w="1461" w:type="pct"/>
                  <w:tcBorders>
                    <w:top w:val="single" w:color="auto" w:sz="4" w:space="0"/>
                    <w:left w:val="single" w:color="auto" w:sz="4" w:space="0"/>
                    <w:bottom w:val="single" w:color="auto" w:sz="4" w:space="0"/>
                    <w:right w:val="single" w:color="auto" w:sz="4" w:space="0"/>
                  </w:tcBorders>
                  <w:vAlign w:val="center"/>
                </w:tcPr>
                <w:p w14:paraId="50EAED59">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w:t>
                  </w:r>
                </w:p>
              </w:tc>
              <w:tc>
                <w:tcPr>
                  <w:tcW w:w="979" w:type="pct"/>
                  <w:tcBorders>
                    <w:top w:val="single" w:color="auto" w:sz="4" w:space="0"/>
                    <w:left w:val="single" w:color="auto" w:sz="4" w:space="0"/>
                    <w:bottom w:val="single" w:color="auto" w:sz="4" w:space="0"/>
                    <w:right w:val="single" w:color="auto" w:sz="4" w:space="0"/>
                  </w:tcBorders>
                  <w:vAlign w:val="center"/>
                </w:tcPr>
                <w:p w14:paraId="5FA03F34">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w:t>
                  </w:r>
                </w:p>
              </w:tc>
              <w:tc>
                <w:tcPr>
                  <w:tcW w:w="798" w:type="pct"/>
                  <w:tcBorders>
                    <w:top w:val="single" w:color="auto" w:sz="4" w:space="0"/>
                    <w:left w:val="single" w:color="auto" w:sz="4" w:space="0"/>
                    <w:bottom w:val="single" w:color="auto" w:sz="4" w:space="0"/>
                    <w:right w:val="single" w:color="auto" w:sz="4" w:space="0"/>
                  </w:tcBorders>
                  <w:vAlign w:val="center"/>
                </w:tcPr>
                <w:p w14:paraId="21A59FD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w:t>
                  </w:r>
                </w:p>
              </w:tc>
              <w:tc>
                <w:tcPr>
                  <w:tcW w:w="598" w:type="pct"/>
                  <w:tcBorders>
                    <w:top w:val="single" w:color="auto" w:sz="4" w:space="0"/>
                    <w:left w:val="single" w:color="auto" w:sz="4" w:space="0"/>
                    <w:bottom w:val="single" w:color="auto" w:sz="4" w:space="0"/>
                    <w:right w:val="single" w:color="auto" w:sz="4" w:space="0"/>
                  </w:tcBorders>
                  <w:vAlign w:val="center"/>
                </w:tcPr>
                <w:p w14:paraId="69F278F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0.0084</w:t>
                  </w:r>
                </w:p>
              </w:tc>
              <w:tc>
                <w:tcPr>
                  <w:tcW w:w="672" w:type="pct"/>
                  <w:vMerge w:val="continue"/>
                  <w:tcBorders>
                    <w:top w:val="single" w:color="auto" w:sz="4" w:space="0"/>
                    <w:left w:val="single" w:color="auto" w:sz="4" w:space="0"/>
                    <w:bottom w:val="single" w:color="auto" w:sz="4" w:space="0"/>
                  </w:tcBorders>
                  <w:vAlign w:val="center"/>
                </w:tcPr>
                <w:p w14:paraId="16175E7F">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5BFF4B6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restart"/>
                  <w:tcBorders>
                    <w:top w:val="single" w:color="auto" w:sz="4" w:space="0"/>
                    <w:bottom w:val="single" w:color="auto" w:sz="4" w:space="0"/>
                    <w:right w:val="single" w:color="auto" w:sz="4" w:space="0"/>
                  </w:tcBorders>
                  <w:vAlign w:val="center"/>
                </w:tcPr>
                <w:p w14:paraId="6543402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试油井场</w:t>
                  </w:r>
                </w:p>
              </w:tc>
              <w:tc>
                <w:tcPr>
                  <w:tcW w:w="1461" w:type="pct"/>
                  <w:tcBorders>
                    <w:top w:val="single" w:color="auto" w:sz="4" w:space="0"/>
                    <w:left w:val="single" w:color="auto" w:sz="4" w:space="0"/>
                    <w:bottom w:val="single" w:color="auto" w:sz="4" w:space="0"/>
                    <w:right w:val="single" w:color="auto" w:sz="4" w:space="0"/>
                  </w:tcBorders>
                  <w:vAlign w:val="center"/>
                </w:tcPr>
                <w:p w14:paraId="600218FF">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柴油</w:t>
                  </w:r>
                </w:p>
              </w:tc>
              <w:tc>
                <w:tcPr>
                  <w:tcW w:w="979" w:type="pct"/>
                  <w:tcBorders>
                    <w:top w:val="single" w:color="auto" w:sz="4" w:space="0"/>
                    <w:left w:val="single" w:color="auto" w:sz="4" w:space="0"/>
                    <w:bottom w:val="single" w:color="auto" w:sz="4" w:space="0"/>
                    <w:right w:val="single" w:color="auto" w:sz="4" w:space="0"/>
                  </w:tcBorders>
                  <w:vAlign w:val="center"/>
                </w:tcPr>
                <w:p w14:paraId="4B85EB3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20</w:t>
                  </w:r>
                </w:p>
              </w:tc>
              <w:tc>
                <w:tcPr>
                  <w:tcW w:w="798" w:type="pct"/>
                  <w:tcBorders>
                    <w:top w:val="single" w:color="auto" w:sz="4" w:space="0"/>
                    <w:left w:val="single" w:color="auto" w:sz="4" w:space="0"/>
                    <w:bottom w:val="single" w:color="auto" w:sz="4" w:space="0"/>
                    <w:right w:val="single" w:color="auto" w:sz="4" w:space="0"/>
                  </w:tcBorders>
                  <w:vAlign w:val="center"/>
                </w:tcPr>
                <w:p w14:paraId="6B9E85F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3B86F3E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0.008</w:t>
                  </w:r>
                </w:p>
              </w:tc>
              <w:tc>
                <w:tcPr>
                  <w:tcW w:w="672" w:type="pct"/>
                  <w:vMerge w:val="restart"/>
                  <w:tcBorders>
                    <w:top w:val="single" w:color="auto" w:sz="4" w:space="0"/>
                    <w:left w:val="single" w:color="auto" w:sz="4" w:space="0"/>
                    <w:bottom w:val="single" w:color="auto" w:sz="4" w:space="0"/>
                  </w:tcBorders>
                  <w:vAlign w:val="center"/>
                </w:tcPr>
                <w:p w14:paraId="4348D424">
                  <w:pPr>
                    <w:pStyle w:val="7"/>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sz w:val="21"/>
                      <w:szCs w:val="21"/>
                      <w:highlight w:val="none"/>
                      <w:lang w:eastAsia="zh-CN"/>
                      <w14:textFill>
                        <w14:solidFill>
                          <w14:schemeClr w14:val="tx1"/>
                        </w14:solidFill>
                      </w14:textFill>
                    </w:rPr>
                  </w:pPr>
                  <w:r>
                    <w:rPr>
                      <w:rFonts w:ascii="Times New Roman" w:hAnsi="Times New Roman" w:eastAsia="宋体" w:cs="Times New Roman"/>
                      <w:color w:val="000000" w:themeColor="text1"/>
                      <w:sz w:val="21"/>
                      <w:szCs w:val="21"/>
                      <w:highlight w:val="none"/>
                      <w:lang w:eastAsia="zh-CN"/>
                      <w14:textFill>
                        <w14:solidFill>
                          <w14:schemeClr w14:val="tx1"/>
                        </w14:solidFill>
                      </w14:textFill>
                    </w:rPr>
                    <w:t>Ⅰ</w:t>
                  </w:r>
                </w:p>
              </w:tc>
            </w:tr>
            <w:tr w14:paraId="733432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vMerge w:val="continue"/>
                  <w:tcBorders>
                    <w:top w:val="single" w:color="auto" w:sz="4" w:space="0"/>
                    <w:bottom w:val="single" w:color="auto" w:sz="4" w:space="0"/>
                    <w:right w:val="single" w:color="auto" w:sz="4" w:space="0"/>
                  </w:tcBorders>
                  <w:vAlign w:val="center"/>
                </w:tcPr>
                <w:p w14:paraId="6BFBD46D">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p>
              </w:tc>
              <w:tc>
                <w:tcPr>
                  <w:tcW w:w="1461" w:type="pct"/>
                  <w:tcBorders>
                    <w:top w:val="single" w:color="auto" w:sz="4" w:space="0"/>
                    <w:left w:val="single" w:color="auto" w:sz="4" w:space="0"/>
                    <w:bottom w:val="single" w:color="auto" w:sz="4" w:space="0"/>
                    <w:right w:val="single" w:color="auto" w:sz="4" w:space="0"/>
                  </w:tcBorders>
                  <w:vAlign w:val="center"/>
                </w:tcPr>
                <w:p w14:paraId="37115408">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采出液中原油</w:t>
                  </w:r>
                </w:p>
              </w:tc>
              <w:tc>
                <w:tcPr>
                  <w:tcW w:w="979" w:type="pct"/>
                  <w:tcBorders>
                    <w:top w:val="single" w:color="auto" w:sz="4" w:space="0"/>
                    <w:left w:val="single" w:color="auto" w:sz="4" w:space="0"/>
                    <w:bottom w:val="single" w:color="auto" w:sz="4" w:space="0"/>
                    <w:right w:val="single" w:color="auto" w:sz="4" w:space="0"/>
                  </w:tcBorders>
                  <w:vAlign w:val="center"/>
                </w:tcPr>
                <w:p w14:paraId="2ED1894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52.2</w:t>
                  </w:r>
                </w:p>
              </w:tc>
              <w:tc>
                <w:tcPr>
                  <w:tcW w:w="798" w:type="pct"/>
                  <w:tcBorders>
                    <w:top w:val="single" w:color="auto" w:sz="4" w:space="0"/>
                    <w:left w:val="single" w:color="auto" w:sz="4" w:space="0"/>
                    <w:bottom w:val="single" w:color="auto" w:sz="4" w:space="0"/>
                    <w:right w:val="single" w:color="auto" w:sz="4" w:space="0"/>
                  </w:tcBorders>
                  <w:vAlign w:val="center"/>
                </w:tcPr>
                <w:p w14:paraId="378B4DFE">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2500</w:t>
                  </w:r>
                </w:p>
              </w:tc>
              <w:tc>
                <w:tcPr>
                  <w:tcW w:w="598" w:type="pct"/>
                  <w:tcBorders>
                    <w:top w:val="single" w:color="auto" w:sz="4" w:space="0"/>
                    <w:left w:val="single" w:color="auto" w:sz="4" w:space="0"/>
                    <w:bottom w:val="single" w:color="auto" w:sz="4" w:space="0"/>
                    <w:right w:val="single" w:color="auto" w:sz="4" w:space="0"/>
                  </w:tcBorders>
                  <w:vAlign w:val="center"/>
                </w:tcPr>
                <w:p w14:paraId="763BD8C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0.0209</w:t>
                  </w:r>
                </w:p>
              </w:tc>
              <w:tc>
                <w:tcPr>
                  <w:tcW w:w="672" w:type="pct"/>
                  <w:vMerge w:val="continue"/>
                  <w:tcBorders>
                    <w:top w:val="single" w:color="auto" w:sz="4" w:space="0"/>
                    <w:left w:val="single" w:color="auto" w:sz="4" w:space="0"/>
                    <w:bottom w:val="single" w:color="auto" w:sz="4" w:space="0"/>
                  </w:tcBorders>
                  <w:vAlign w:val="center"/>
                </w:tcPr>
                <w:p w14:paraId="70F7F30D">
                  <w:pPr>
                    <w:pStyle w:val="7"/>
                    <w:keepNext w:val="0"/>
                    <w:keepLines w:val="0"/>
                    <w:pageBreakBefore w:val="0"/>
                    <w:widowControl/>
                    <w:kinsoku/>
                    <w:wordWrap/>
                    <w:overflowPunct/>
                    <w:topLinePunct w:val="0"/>
                    <w:autoSpaceDE w:val="0"/>
                    <w:autoSpaceDN w:val="0"/>
                    <w:bidi w:val="0"/>
                    <w:adjustRightInd w:val="0"/>
                    <w:snapToGrid w:val="0"/>
                    <w:spacing w:line="240" w:lineRule="auto"/>
                    <w:ind w:firstLine="420"/>
                    <w:textAlignment w:val="baseline"/>
                    <w:rPr>
                      <w:rFonts w:ascii="Times New Roman" w:hAnsi="Times New Roman" w:eastAsia="宋体" w:cs="Times New Roman"/>
                      <w:color w:val="000000" w:themeColor="text1"/>
                      <w:sz w:val="21"/>
                      <w:szCs w:val="21"/>
                      <w:highlight w:val="none"/>
                      <w:lang w:eastAsia="zh-CN"/>
                      <w14:textFill>
                        <w14:solidFill>
                          <w14:schemeClr w14:val="tx1"/>
                        </w14:solidFill>
                      </w14:textFill>
                    </w:rPr>
                  </w:pPr>
                </w:p>
              </w:tc>
            </w:tr>
            <w:tr w14:paraId="6279A52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340" w:hRule="atLeast"/>
                <w:jc w:val="center"/>
              </w:trPr>
              <w:tc>
                <w:tcPr>
                  <w:tcW w:w="488" w:type="pct"/>
                  <w:tcBorders>
                    <w:top w:val="single" w:color="auto" w:sz="4" w:space="0"/>
                    <w:right w:val="single" w:color="auto" w:sz="4" w:space="0"/>
                  </w:tcBorders>
                  <w:vAlign w:val="center"/>
                </w:tcPr>
                <w:p w14:paraId="348B1743">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小计</w:t>
                  </w:r>
                </w:p>
              </w:tc>
              <w:tc>
                <w:tcPr>
                  <w:tcW w:w="1461" w:type="pct"/>
                  <w:tcBorders>
                    <w:top w:val="single" w:color="auto" w:sz="4" w:space="0"/>
                    <w:left w:val="single" w:color="auto" w:sz="4" w:space="0"/>
                    <w:right w:val="single" w:color="auto" w:sz="4" w:space="0"/>
                  </w:tcBorders>
                  <w:vAlign w:val="center"/>
                </w:tcPr>
                <w:p w14:paraId="57082B6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w:t>
                  </w:r>
                </w:p>
              </w:tc>
              <w:tc>
                <w:tcPr>
                  <w:tcW w:w="979" w:type="pct"/>
                  <w:tcBorders>
                    <w:top w:val="single" w:color="auto" w:sz="4" w:space="0"/>
                    <w:left w:val="single" w:color="auto" w:sz="4" w:space="0"/>
                    <w:right w:val="single" w:color="auto" w:sz="4" w:space="0"/>
                  </w:tcBorders>
                  <w:vAlign w:val="center"/>
                </w:tcPr>
                <w:p w14:paraId="6F75BB8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w:t>
                  </w:r>
                </w:p>
              </w:tc>
              <w:tc>
                <w:tcPr>
                  <w:tcW w:w="798" w:type="pct"/>
                  <w:tcBorders>
                    <w:top w:val="single" w:color="auto" w:sz="4" w:space="0"/>
                    <w:left w:val="single" w:color="auto" w:sz="4" w:space="0"/>
                    <w:right w:val="single" w:color="auto" w:sz="4" w:space="0"/>
                  </w:tcBorders>
                  <w:vAlign w:val="center"/>
                </w:tcPr>
                <w:p w14:paraId="12A7EADC">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w:t>
                  </w:r>
                </w:p>
              </w:tc>
              <w:tc>
                <w:tcPr>
                  <w:tcW w:w="598" w:type="pct"/>
                  <w:tcBorders>
                    <w:top w:val="single" w:color="auto" w:sz="4" w:space="0"/>
                    <w:left w:val="single" w:color="auto" w:sz="4" w:space="0"/>
                    <w:right w:val="single" w:color="auto" w:sz="4" w:space="0"/>
                  </w:tcBorders>
                  <w:vAlign w:val="center"/>
                </w:tcPr>
                <w:p w14:paraId="4EE9B20B">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0.0289</w:t>
                  </w:r>
                </w:p>
              </w:tc>
              <w:tc>
                <w:tcPr>
                  <w:tcW w:w="672" w:type="pct"/>
                  <w:vMerge w:val="continue"/>
                  <w:tcBorders>
                    <w:top w:val="single" w:color="auto" w:sz="4" w:space="0"/>
                    <w:left w:val="single" w:color="auto" w:sz="4" w:space="0"/>
                  </w:tcBorders>
                  <w:vAlign w:val="center"/>
                </w:tcPr>
                <w:p w14:paraId="76602BB5">
                  <w:pPr>
                    <w:pStyle w:val="7"/>
                    <w:keepNext w:val="0"/>
                    <w:keepLines w:val="0"/>
                    <w:pageBreakBefore w:val="0"/>
                    <w:widowControl/>
                    <w:kinsoku/>
                    <w:wordWrap/>
                    <w:overflowPunct/>
                    <w:topLinePunct w:val="0"/>
                    <w:autoSpaceDE w:val="0"/>
                    <w:autoSpaceDN w:val="0"/>
                    <w:bidi w:val="0"/>
                    <w:adjustRightInd w:val="0"/>
                    <w:snapToGrid w:val="0"/>
                    <w:spacing w:line="240" w:lineRule="auto"/>
                    <w:ind w:firstLine="420"/>
                    <w:textAlignment w:val="baseline"/>
                    <w:rPr>
                      <w:rFonts w:ascii="Times New Roman" w:hAnsi="Times New Roman" w:eastAsia="宋体" w:cs="Times New Roman"/>
                      <w:color w:val="000000" w:themeColor="text1"/>
                      <w:sz w:val="21"/>
                      <w:szCs w:val="21"/>
                      <w:highlight w:val="none"/>
                      <w:lang w:eastAsia="zh-CN"/>
                      <w14:textFill>
                        <w14:solidFill>
                          <w14:schemeClr w14:val="tx1"/>
                        </w14:solidFill>
                      </w14:textFill>
                    </w:rPr>
                  </w:pPr>
                </w:p>
              </w:tc>
            </w:tr>
          </w:tbl>
          <w:p w14:paraId="6FC2BB3C">
            <w:pPr>
              <w:pStyle w:val="7"/>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firstLine="482"/>
              <w:jc w:val="both"/>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综上所述，井场钻井期、试油期Q值均小于1，评价工作等级为简单分析。</w:t>
            </w:r>
          </w:p>
          <w:p w14:paraId="1C95F1B9">
            <w:pPr>
              <w:pStyle w:val="7"/>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t>7.2环境敏感目标概况</w:t>
            </w:r>
          </w:p>
          <w:p w14:paraId="3F6702AD">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根据《建设项目环境风险评价技术导则》（HJ169-2018）的规定，项目开展简单分析，不设环境风险评价范围。</w:t>
            </w:r>
          </w:p>
          <w:p w14:paraId="6DDE70B9">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2"/>
              <w:jc w:val="both"/>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经调查，项目所在区域为戈壁地区，干旱少雨，项目区周围3km范围内有村庄，无重要生物群落、无地表水体。本次拟部署的井场中，钻井周边均分布有农田，井场边界外扩1km范围内存在耕地，属于土壤环境敏感目标。</w:t>
            </w:r>
          </w:p>
          <w:p w14:paraId="09976D29">
            <w:pPr>
              <w:pStyle w:val="7"/>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t>7.3环境风险识别</w:t>
            </w:r>
          </w:p>
          <w:p w14:paraId="11436C6E">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Cambria Math" w:hAnsi="Cambria Math" w:eastAsia="宋体" w:cs="Cambria Math"/>
                <w:color w:val="000000" w:themeColor="text1"/>
                <w:spacing w:val="-2"/>
                <w:sz w:val="24"/>
                <w:szCs w:val="24"/>
                <w:highlight w:val="none"/>
                <w:lang w:eastAsia="zh-CN"/>
                <w14:textFill>
                  <w14:solidFill>
                    <w14:schemeClr w14:val="tx1"/>
                  </w14:solidFill>
                </w14:textFill>
              </w:rPr>
              <w:t>①</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危险物质识别</w:t>
            </w:r>
          </w:p>
          <w:p w14:paraId="62A363B8">
            <w:pPr>
              <w:pStyle w:val="7"/>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baseline"/>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施工期间涉及的环境危险物质主要为柴油、原油、伴生气（主要成分为天然气）</w:t>
            </w:r>
            <w:bookmarkStart w:id="20" w:name="OLE_LINK52"/>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和伴生气中可能存在的少量硫化氢</w:t>
            </w:r>
            <w:bookmarkEnd w:id="20"/>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等，其主要物化、毒理性质、危险等级划分及影响途径见表4-</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6</w:t>
            </w:r>
            <w:r>
              <w:rPr>
                <w:rFonts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p>
          <w:p w14:paraId="313566AE">
            <w:pPr>
              <w:pStyle w:val="7"/>
              <w:widowControl w:val="0"/>
              <w:kinsoku/>
              <w:jc w:val="center"/>
              <w:rPr>
                <w:rFonts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pPr>
            <w:r>
              <w:rPr>
                <w:rFonts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表4-</w:t>
            </w:r>
            <w:r>
              <w:rPr>
                <w:rFonts w:hint="eastAsia" w:ascii="Times New Roman" w:hAnsi="Times New Roman" w:eastAsia="宋体" w:cs="Times New Roman"/>
                <w:b/>
                <w:bCs/>
                <w:color w:val="000000" w:themeColor="text1"/>
                <w:spacing w:val="5"/>
                <w:sz w:val="21"/>
                <w:szCs w:val="21"/>
                <w:highlight w:val="none"/>
                <w:lang w:val="en-US" w:eastAsia="zh-CN"/>
                <w14:textFill>
                  <w14:solidFill>
                    <w14:schemeClr w14:val="tx1"/>
                  </w14:solidFill>
                </w14:textFill>
              </w:rPr>
              <w:t xml:space="preserve">6 </w:t>
            </w:r>
            <w:r>
              <w:rPr>
                <w:rFonts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 xml:space="preserve"> </w:t>
            </w:r>
            <w:r>
              <w:rPr>
                <w:rFonts w:ascii="Times New Roman" w:hAnsi="Times New Roman" w:eastAsia="宋体" w:cs="Times New Roman"/>
                <w:b/>
                <w:bCs/>
                <w:color w:val="000000" w:themeColor="text1"/>
                <w:spacing w:val="5"/>
                <w:sz w:val="21"/>
                <w:szCs w:val="21"/>
                <w:highlight w:val="none"/>
                <w:lang w:val="zh-CN" w:eastAsia="zh-CN"/>
                <w14:textFill>
                  <w14:solidFill>
                    <w14:schemeClr w14:val="tx1"/>
                  </w14:solidFill>
                </w14:textFill>
              </w:rPr>
              <w:t>原油、柴油、伴生气和硫化氢理化性质及危险级别分类</w:t>
            </w:r>
            <w:r>
              <w:rPr>
                <w:rFonts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表</w:t>
            </w:r>
          </w:p>
          <w:tbl>
            <w:tblPr>
              <w:tblStyle w:val="1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485"/>
              <w:gridCol w:w="869"/>
              <w:gridCol w:w="3098"/>
              <w:gridCol w:w="1745"/>
              <w:gridCol w:w="699"/>
              <w:gridCol w:w="726"/>
            </w:tblGrid>
            <w:tr w14:paraId="141505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top w:val="single" w:color="auto" w:sz="4" w:space="0"/>
                    <w:left w:val="single" w:color="auto" w:sz="0" w:space="0"/>
                  </w:tcBorders>
                  <w:vAlign w:val="center"/>
                </w:tcPr>
                <w:p w14:paraId="68B0FD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序号</w:t>
                  </w:r>
                </w:p>
              </w:tc>
              <w:tc>
                <w:tcPr>
                  <w:tcW w:w="299" w:type="pct"/>
                  <w:tcBorders>
                    <w:top w:val="single" w:color="auto" w:sz="4" w:space="0"/>
                  </w:tcBorders>
                  <w:vAlign w:val="center"/>
                </w:tcPr>
                <w:p w14:paraId="68E98FE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名称</w:t>
                  </w:r>
                </w:p>
              </w:tc>
              <w:tc>
                <w:tcPr>
                  <w:tcW w:w="536" w:type="pct"/>
                  <w:tcBorders>
                    <w:top w:val="single" w:color="auto" w:sz="4" w:space="0"/>
                  </w:tcBorders>
                  <w:vAlign w:val="center"/>
                </w:tcPr>
                <w:p w14:paraId="63426E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组分</w:t>
                  </w:r>
                </w:p>
              </w:tc>
              <w:tc>
                <w:tcPr>
                  <w:tcW w:w="1910" w:type="pct"/>
                  <w:tcBorders>
                    <w:top w:val="single" w:color="auto" w:sz="4" w:space="0"/>
                  </w:tcBorders>
                  <w:vAlign w:val="center"/>
                </w:tcPr>
                <w:p w14:paraId="0687C0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危险性</w:t>
                  </w:r>
                </w:p>
              </w:tc>
              <w:tc>
                <w:tcPr>
                  <w:tcW w:w="1076" w:type="pct"/>
                  <w:tcBorders>
                    <w:top w:val="single" w:color="auto" w:sz="4" w:space="0"/>
                  </w:tcBorders>
                  <w:vAlign w:val="center"/>
                </w:tcPr>
                <w:p w14:paraId="20EA36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燃烧爆炸特性参数</w:t>
                  </w:r>
                </w:p>
              </w:tc>
              <w:tc>
                <w:tcPr>
                  <w:tcW w:w="431" w:type="pct"/>
                  <w:tcBorders>
                    <w:top w:val="single" w:color="auto" w:sz="4" w:space="0"/>
                  </w:tcBorders>
                  <w:vAlign w:val="center"/>
                </w:tcPr>
                <w:p w14:paraId="5430FA8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危险级别</w:t>
                  </w:r>
                </w:p>
              </w:tc>
              <w:tc>
                <w:tcPr>
                  <w:tcW w:w="447" w:type="pct"/>
                  <w:tcBorders>
                    <w:top w:val="single" w:color="auto" w:sz="4" w:space="0"/>
                    <w:right w:val="single" w:color="auto" w:sz="4" w:space="0"/>
                  </w:tcBorders>
                  <w:vAlign w:val="center"/>
                </w:tcPr>
                <w:p w14:paraId="760760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000000" w:themeColor="text1"/>
                      <w:highlight w:val="none"/>
                      <w14:textFill>
                        <w14:solidFill>
                          <w14:schemeClr w14:val="tx1"/>
                        </w14:solidFill>
                      </w14:textFill>
                    </w:rPr>
                  </w:pPr>
                  <w:r>
                    <w:rPr>
                      <w:rFonts w:ascii="Times New Roman" w:hAnsi="Times New Roman" w:eastAsia="宋体" w:cs="Times New Roman"/>
                      <w:b/>
                      <w:bCs/>
                      <w:color w:val="000000" w:themeColor="text1"/>
                      <w:highlight w:val="none"/>
                      <w14:textFill>
                        <w14:solidFill>
                          <w14:schemeClr w14:val="tx1"/>
                        </w14:solidFill>
                      </w14:textFill>
                    </w:rPr>
                    <w:t>影响途径</w:t>
                  </w:r>
                </w:p>
              </w:tc>
            </w:tr>
            <w:tr w14:paraId="549A6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057CDC3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1</w:t>
                  </w:r>
                </w:p>
              </w:tc>
              <w:tc>
                <w:tcPr>
                  <w:tcW w:w="299" w:type="pct"/>
                  <w:vAlign w:val="center"/>
                </w:tcPr>
                <w:p w14:paraId="221912B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原油</w:t>
                  </w:r>
                </w:p>
              </w:tc>
              <w:tc>
                <w:tcPr>
                  <w:tcW w:w="536" w:type="pct"/>
                  <w:vAlign w:val="center"/>
                </w:tcPr>
                <w:p w14:paraId="36F0673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各种烃类和非烃类化合物所组成的复杂混合物</w:t>
                  </w:r>
                </w:p>
              </w:tc>
              <w:tc>
                <w:tcPr>
                  <w:tcW w:w="1910" w:type="pct"/>
                  <w:vAlign w:val="center"/>
                </w:tcPr>
                <w:p w14:paraId="3FB4E70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原油本身无明显毒性。遇热分解出有毒烟雾，人体大量吸入可引起危害：有刺激和麻痹作用，急性中毒者有上呼吸道刺激症状。</w:t>
                  </w:r>
                </w:p>
              </w:tc>
              <w:tc>
                <w:tcPr>
                  <w:tcW w:w="1076" w:type="pct"/>
                  <w:vAlign w:val="center"/>
                </w:tcPr>
                <w:p w14:paraId="1A0EB70E">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热值：41870KJ/kg；沸点：300～325℃；闪点：23.5℃；爆炸极限：</w:t>
                  </w:r>
                  <w:r>
                    <w:rPr>
                      <w:rFonts w:hint="eastAsia" w:ascii="Times New Roman" w:hAnsi="Times New Roman" w:eastAsia="宋体" w:cs="Times New Roman"/>
                      <w:color w:val="000000" w:themeColor="text1"/>
                      <w:highlight w:val="none"/>
                      <w:lang w:eastAsia="zh-CN"/>
                      <w14:textFill>
                        <w14:solidFill>
                          <w14:schemeClr w14:val="tx1"/>
                        </w14:solidFill>
                      </w14:textFill>
                    </w:rPr>
                    <w:t>1.1%～6.4%</w:t>
                  </w:r>
                  <w:r>
                    <w:rPr>
                      <w:rFonts w:ascii="Times New Roman" w:hAnsi="Times New Roman" w:eastAsia="宋体" w:cs="Times New Roman"/>
                      <w:color w:val="000000" w:themeColor="text1"/>
                      <w:highlight w:val="none"/>
                      <w:lang w:eastAsia="zh-CN"/>
                      <w14:textFill>
                        <w14:solidFill>
                          <w14:schemeClr w14:val="tx1"/>
                        </w14:solidFill>
                      </w14:textFill>
                    </w:rPr>
                    <w:t>（v）；自燃点：380～530℃。</w:t>
                  </w:r>
                </w:p>
              </w:tc>
              <w:tc>
                <w:tcPr>
                  <w:tcW w:w="431" w:type="pct"/>
                  <w:vAlign w:val="center"/>
                </w:tcPr>
                <w:p w14:paraId="4191559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高闪点液体</w:t>
                  </w:r>
                </w:p>
              </w:tc>
              <w:tc>
                <w:tcPr>
                  <w:tcW w:w="447" w:type="pct"/>
                  <w:tcBorders>
                    <w:right w:val="single" w:color="auto" w:sz="4" w:space="0"/>
                  </w:tcBorders>
                  <w:vAlign w:val="center"/>
                </w:tcPr>
                <w:p w14:paraId="7F8CB8C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大气、地下水、土壤</w:t>
                  </w:r>
                </w:p>
              </w:tc>
            </w:tr>
            <w:tr w14:paraId="266FC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425AB75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2</w:t>
                  </w:r>
                </w:p>
              </w:tc>
              <w:tc>
                <w:tcPr>
                  <w:tcW w:w="299" w:type="pct"/>
                  <w:vAlign w:val="center"/>
                </w:tcPr>
                <w:p w14:paraId="2D37FD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伴生气</w:t>
                  </w:r>
                </w:p>
              </w:tc>
              <w:tc>
                <w:tcPr>
                  <w:tcW w:w="536" w:type="pct"/>
                  <w:vAlign w:val="center"/>
                </w:tcPr>
                <w:p w14:paraId="57FBD4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主要成分包括甲烷、乙烷等</w:t>
                  </w:r>
                </w:p>
              </w:tc>
              <w:tc>
                <w:tcPr>
                  <w:tcW w:w="1910" w:type="pct"/>
                  <w:vAlign w:val="center"/>
                </w:tcPr>
                <w:p w14:paraId="7320623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伴生气主要成分为天然气。天然气中含有的甲烷，是一种无毒气体，当空气中大量弥漫这种气体时会使人因氧气不足而呼吸困难，进而失去知觉、昏迷甚至残废。</w:t>
                  </w:r>
                </w:p>
              </w:tc>
              <w:tc>
                <w:tcPr>
                  <w:tcW w:w="1076" w:type="pct"/>
                  <w:vAlign w:val="center"/>
                </w:tcPr>
                <w:p w14:paraId="3C63CCD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热值：50009KJ/kg；爆炸极限：</w:t>
                  </w:r>
                  <w:r>
                    <w:rPr>
                      <w:rFonts w:hint="eastAsia" w:ascii="Times New Roman" w:hAnsi="Times New Roman" w:eastAsia="宋体" w:cs="Times New Roman"/>
                      <w:color w:val="000000" w:themeColor="text1"/>
                      <w:highlight w:val="none"/>
                      <w:lang w:eastAsia="zh-CN"/>
                      <w14:textFill>
                        <w14:solidFill>
                          <w14:schemeClr w14:val="tx1"/>
                        </w14:solidFill>
                      </w14:textFill>
                    </w:rPr>
                    <w:t>5%～14%</w:t>
                  </w:r>
                  <w:r>
                    <w:rPr>
                      <w:rFonts w:ascii="Times New Roman" w:hAnsi="Times New Roman" w:eastAsia="宋体" w:cs="Times New Roman"/>
                      <w:color w:val="000000" w:themeColor="text1"/>
                      <w:highlight w:val="none"/>
                      <w:lang w:eastAsia="zh-CN"/>
                      <w14:textFill>
                        <w14:solidFill>
                          <w14:schemeClr w14:val="tx1"/>
                        </w14:solidFill>
                      </w14:textFill>
                    </w:rPr>
                    <w:t>（v）；自燃点：482～632℃。</w:t>
                  </w:r>
                </w:p>
              </w:tc>
              <w:tc>
                <w:tcPr>
                  <w:tcW w:w="431" w:type="pct"/>
                  <w:vAlign w:val="center"/>
                </w:tcPr>
                <w:p w14:paraId="5BB6224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易燃气体</w:t>
                  </w:r>
                </w:p>
              </w:tc>
              <w:tc>
                <w:tcPr>
                  <w:tcW w:w="447" w:type="pct"/>
                  <w:tcBorders>
                    <w:right w:val="single" w:color="auto" w:sz="4" w:space="0"/>
                  </w:tcBorders>
                  <w:vAlign w:val="center"/>
                </w:tcPr>
                <w:p w14:paraId="754D02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w:t>
                  </w:r>
                </w:p>
              </w:tc>
            </w:tr>
            <w:tr w14:paraId="156E4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289651C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3</w:t>
                  </w:r>
                </w:p>
              </w:tc>
              <w:tc>
                <w:tcPr>
                  <w:tcW w:w="299" w:type="pct"/>
                  <w:vAlign w:val="center"/>
                </w:tcPr>
                <w:p w14:paraId="29CBD1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柴油</w:t>
                  </w:r>
                </w:p>
              </w:tc>
              <w:tc>
                <w:tcPr>
                  <w:tcW w:w="536" w:type="pct"/>
                  <w:vAlign w:val="center"/>
                </w:tcPr>
                <w:p w14:paraId="0B33DA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复杂烃类</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碳原子数约10～22</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混合物</w:t>
                  </w:r>
                </w:p>
              </w:tc>
              <w:tc>
                <w:tcPr>
                  <w:tcW w:w="1910" w:type="pct"/>
                  <w:vAlign w:val="center"/>
                </w:tcPr>
                <w:p w14:paraId="5F535CFC">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柴油的毒性类似于煤油，但由于添加剂</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如硫化酯类</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的影响，毒性比煤油略大，主要有麻醉和刺激作用。柴油的雾滴吸入后可致吸入性肺炎，皮肤接触柴油可致接触性皮炎。</w:t>
                  </w:r>
                </w:p>
              </w:tc>
              <w:tc>
                <w:tcPr>
                  <w:tcW w:w="1076" w:type="pct"/>
                  <w:vAlign w:val="center"/>
                </w:tcPr>
                <w:p w14:paraId="1C2317A0">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热值：3.3×10</w:t>
                  </w:r>
                  <w:r>
                    <w:rPr>
                      <w:rFonts w:ascii="Times New Roman" w:hAnsi="Times New Roman" w:eastAsia="宋体" w:cs="Times New Roman"/>
                      <w:color w:val="000000" w:themeColor="text1"/>
                      <w:highlight w:val="none"/>
                      <w:vertAlign w:val="superscript"/>
                      <w:lang w:eastAsia="zh-CN"/>
                      <w14:textFill>
                        <w14:solidFill>
                          <w14:schemeClr w14:val="tx1"/>
                        </w14:solidFill>
                      </w14:textFill>
                    </w:rPr>
                    <w:t>4</w:t>
                  </w:r>
                  <w:r>
                    <w:rPr>
                      <w:rFonts w:ascii="Times New Roman" w:hAnsi="Times New Roman" w:eastAsia="宋体" w:cs="Times New Roman"/>
                      <w:color w:val="000000" w:themeColor="text1"/>
                      <w:highlight w:val="none"/>
                      <w:lang w:eastAsia="zh-CN"/>
                      <w14:textFill>
                        <w14:solidFill>
                          <w14:schemeClr w14:val="tx1"/>
                        </w14:solidFill>
                      </w14:textFill>
                    </w:rPr>
                    <w:t>KJ/L；沸点范围：180～370℃和350～410℃；两类闪点：38℃。</w:t>
                  </w:r>
                </w:p>
              </w:tc>
              <w:tc>
                <w:tcPr>
                  <w:tcW w:w="431" w:type="pct"/>
                  <w:vAlign w:val="center"/>
                </w:tcPr>
                <w:p w14:paraId="094E141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高闪点液体</w:t>
                  </w:r>
                </w:p>
              </w:tc>
              <w:tc>
                <w:tcPr>
                  <w:tcW w:w="447" w:type="pct"/>
                  <w:tcBorders>
                    <w:right w:val="single" w:color="auto" w:sz="4" w:space="0"/>
                  </w:tcBorders>
                  <w:vAlign w:val="center"/>
                </w:tcPr>
                <w:p w14:paraId="136499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大气、地下水、土壤</w:t>
                  </w:r>
                </w:p>
              </w:tc>
            </w:tr>
            <w:tr w14:paraId="11F7A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 w:type="pct"/>
                  <w:tcBorders>
                    <w:left w:val="single" w:color="auto" w:sz="4" w:space="0"/>
                  </w:tcBorders>
                  <w:vAlign w:val="center"/>
                </w:tcPr>
                <w:p w14:paraId="42F5A5A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4</w:t>
                  </w:r>
                </w:p>
              </w:tc>
              <w:tc>
                <w:tcPr>
                  <w:tcW w:w="299" w:type="pct"/>
                  <w:vAlign w:val="center"/>
                </w:tcPr>
                <w:p w14:paraId="64E001E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硫化氢</w:t>
                  </w:r>
                </w:p>
              </w:tc>
              <w:tc>
                <w:tcPr>
                  <w:tcW w:w="536" w:type="pct"/>
                  <w:vAlign w:val="center"/>
                </w:tcPr>
                <w:p w14:paraId="00B5004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14:textFill>
                        <w14:solidFill>
                          <w14:schemeClr w14:val="tx1"/>
                        </w14:solidFill>
                      </w14:textFill>
                    </w:rPr>
                  </w:pPr>
                  <w:r>
                    <w:rPr>
                      <w:rFonts w:ascii="Times New Roman" w:hAnsi="Times New Roman" w:eastAsia="宋体" w:cs="Times New Roman"/>
                      <w:color w:val="000000" w:themeColor="text1"/>
                      <w:highlight w:val="none"/>
                      <w14:textFill>
                        <w14:solidFill>
                          <w14:schemeClr w14:val="tx1"/>
                        </w14:solidFill>
                      </w14:textFill>
                    </w:rPr>
                    <w:t>硫化氢气体</w:t>
                  </w:r>
                </w:p>
              </w:tc>
              <w:tc>
                <w:tcPr>
                  <w:tcW w:w="1910" w:type="pct"/>
                  <w:vAlign w:val="center"/>
                </w:tcPr>
                <w:p w14:paraId="3AD7D6EB">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本品是强烈的神经毒物，对粘膜有强烈刺激作用。</w:t>
                  </w:r>
                </w:p>
                <w:p w14:paraId="055CC147">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急性中毒：短期内吸入高浓度硫化氢后出现流泪、眼痛、眼内异物感、畏光、视物模糊、流涕、喉部灼热感、</w:t>
                  </w:r>
                  <w:r>
                    <w:rPr>
                      <w:rFonts w:hint="eastAsia" w:ascii="Times New Roman" w:hAnsi="Times New Roman" w:eastAsia="宋体" w:cs="Times New Roman"/>
                      <w:color w:val="000000" w:themeColor="text1"/>
                      <w:highlight w:val="none"/>
                      <w:lang w:eastAsia="zh-CN"/>
                      <w14:textFill>
                        <w14:solidFill>
                          <w14:schemeClr w14:val="tx1"/>
                        </w14:solidFill>
                      </w14:textFill>
                    </w:rPr>
                    <w:t>咳嗽</w:t>
                  </w:r>
                  <w:r>
                    <w:rPr>
                      <w:rFonts w:ascii="Times New Roman" w:hAnsi="Times New Roman" w:eastAsia="宋体" w:cs="Times New Roman"/>
                      <w:color w:val="000000" w:themeColor="text1"/>
                      <w:highlight w:val="none"/>
                      <w:lang w:eastAsia="zh-CN"/>
                      <w14:textFill>
                        <w14:solidFill>
                          <w14:schemeClr w14:val="tx1"/>
                        </w14:solidFill>
                      </w14:textFill>
                    </w:rPr>
                    <w:t>、胸闷、头痛、头晕、乏力、意识模糊等。部分患者可有心肌损害。重者可出现脑水肿、肺水肿。极高浓度</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1000mg/m</w:t>
                  </w:r>
                  <w:r>
                    <w:rPr>
                      <w:rFonts w:ascii="Times New Roman" w:hAnsi="Times New Roman" w:eastAsia="宋体" w:cs="Times New Roman"/>
                      <w:color w:val="000000" w:themeColor="text1"/>
                      <w:highlight w:val="none"/>
                      <w:vertAlign w:val="superscript"/>
                      <w:lang w:eastAsia="zh-CN"/>
                      <w14:textFill>
                        <w14:solidFill>
                          <w14:schemeClr w14:val="tx1"/>
                        </w14:solidFill>
                      </w14:textFill>
                    </w:rPr>
                    <w:t>3</w:t>
                  </w:r>
                  <w:r>
                    <w:rPr>
                      <w:rFonts w:ascii="Times New Roman" w:hAnsi="Times New Roman" w:eastAsia="宋体" w:cs="Times New Roman"/>
                      <w:color w:val="000000" w:themeColor="text1"/>
                      <w:highlight w:val="none"/>
                      <w:lang w:eastAsia="zh-CN"/>
                      <w14:textFill>
                        <w14:solidFill>
                          <w14:schemeClr w14:val="tx1"/>
                        </w14:solidFill>
                      </w14:textFill>
                    </w:rPr>
                    <w:t>以上</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ascii="Times New Roman" w:hAnsi="Times New Roman" w:eastAsia="宋体" w:cs="Times New Roman"/>
                      <w:color w:val="000000" w:themeColor="text1"/>
                      <w:highlight w:val="none"/>
                      <w:lang w:eastAsia="zh-CN"/>
                      <w14:textFill>
                        <w14:solidFill>
                          <w14:schemeClr w14:val="tx1"/>
                        </w14:solidFill>
                      </w14:textFill>
                    </w:rPr>
                    <w:t>时可在数秒钟内突然昏迷，呼吸和心跳骤停，发生闪电型死亡。高浓度接触眼结膜发生水肿和角膜溃疡。长期低浓度接触，引起神经衰弱综合征和神经功能</w:t>
                  </w:r>
                  <w:r>
                    <w:rPr>
                      <w:rFonts w:hint="eastAsia" w:ascii="Times New Roman" w:hAnsi="Times New Roman" w:eastAsia="宋体" w:cs="Times New Roman"/>
                      <w:color w:val="000000" w:themeColor="text1"/>
                      <w:highlight w:val="none"/>
                      <w:lang w:eastAsia="zh-CN"/>
                      <w14:textFill>
                        <w14:solidFill>
                          <w14:schemeClr w14:val="tx1"/>
                        </w14:solidFill>
                      </w14:textFill>
                    </w:rPr>
                    <w:t>紊乱</w:t>
                  </w:r>
                  <w:r>
                    <w:rPr>
                      <w:rFonts w:ascii="Times New Roman" w:hAnsi="Times New Roman" w:eastAsia="宋体" w:cs="Times New Roman"/>
                      <w:color w:val="000000" w:themeColor="text1"/>
                      <w:highlight w:val="none"/>
                      <w:lang w:eastAsia="zh-CN"/>
                      <w14:textFill>
                        <w14:solidFill>
                          <w14:schemeClr w14:val="tx1"/>
                        </w14:solidFill>
                      </w14:textFill>
                    </w:rPr>
                    <w:t>。</w:t>
                  </w:r>
                </w:p>
              </w:tc>
              <w:tc>
                <w:tcPr>
                  <w:tcW w:w="1076" w:type="pct"/>
                  <w:vAlign w:val="center"/>
                </w:tcPr>
                <w:p w14:paraId="526F7FC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易燃，与空气混合能形成爆炸性混合物，遇明火、高热能引起</w:t>
                  </w:r>
                  <w:r>
                    <w:rPr>
                      <w:rFonts w:hint="eastAsia" w:ascii="Times New Roman" w:hAnsi="Times New Roman" w:eastAsia="宋体" w:cs="Times New Roman"/>
                      <w:color w:val="000000" w:themeColor="text1"/>
                      <w:highlight w:val="none"/>
                      <w:lang w:eastAsia="zh-CN"/>
                      <w14:textFill>
                        <w14:solidFill>
                          <w14:schemeClr w14:val="tx1"/>
                        </w14:solidFill>
                      </w14:textFill>
                    </w:rPr>
                    <w:t>燃烧</w:t>
                  </w:r>
                  <w:r>
                    <w:rPr>
                      <w:rFonts w:ascii="Times New Roman" w:hAnsi="Times New Roman" w:eastAsia="宋体" w:cs="Times New Roman"/>
                      <w:color w:val="000000" w:themeColor="text1"/>
                      <w:highlight w:val="none"/>
                      <w:lang w:eastAsia="zh-CN"/>
                      <w14:textFill>
                        <w14:solidFill>
                          <w14:schemeClr w14:val="tx1"/>
                        </w14:solidFill>
                      </w14:textFill>
                    </w:rPr>
                    <w:t>。与浓硝酸、发烟硝酸或</w:t>
                  </w:r>
                  <w:r>
                    <w:rPr>
                      <w:rFonts w:hint="eastAsia" w:ascii="Times New Roman" w:hAnsi="Times New Roman" w:eastAsia="宋体" w:cs="Times New Roman"/>
                      <w:color w:val="000000" w:themeColor="text1"/>
                      <w:highlight w:val="none"/>
                      <w:lang w:eastAsia="zh-CN"/>
                      <w14:textFill>
                        <w14:solidFill>
                          <w14:schemeClr w14:val="tx1"/>
                        </w14:solidFill>
                      </w14:textFill>
                    </w:rPr>
                    <w:t>其他</w:t>
                  </w:r>
                  <w:r>
                    <w:rPr>
                      <w:rFonts w:ascii="Times New Roman" w:hAnsi="Times New Roman" w:eastAsia="宋体" w:cs="Times New Roman"/>
                      <w:color w:val="000000" w:themeColor="text1"/>
                      <w:highlight w:val="none"/>
                      <w:lang w:eastAsia="zh-CN"/>
                      <w14:textFill>
                        <w14:solidFill>
                          <w14:schemeClr w14:val="tx1"/>
                        </w14:solidFill>
                      </w14:textFill>
                    </w:rPr>
                    <w:t>强氧化剂剧烈反应，发生爆炸。气体比空气重，能在较低处扩散到相当远的地方，遇火源会着火回燃。</w:t>
                  </w:r>
                </w:p>
              </w:tc>
              <w:tc>
                <w:tcPr>
                  <w:tcW w:w="431" w:type="pct"/>
                  <w:vAlign w:val="center"/>
                </w:tcPr>
                <w:p w14:paraId="1A86F8D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易燃，具强刺激性。</w:t>
                  </w:r>
                </w:p>
              </w:tc>
              <w:tc>
                <w:tcPr>
                  <w:tcW w:w="447" w:type="pct"/>
                  <w:tcBorders>
                    <w:right w:val="single" w:color="auto" w:sz="4" w:space="0"/>
                  </w:tcBorders>
                  <w:vAlign w:val="center"/>
                </w:tcPr>
                <w:p w14:paraId="47047B3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color w:val="000000" w:themeColor="text1"/>
                      <w:highlight w:val="none"/>
                      <w:lang w:eastAsia="zh-CN"/>
                      <w14:textFill>
                        <w14:solidFill>
                          <w14:schemeClr w14:val="tx1"/>
                        </w14:solidFill>
                      </w14:textFill>
                    </w:rPr>
                  </w:pPr>
                  <w:r>
                    <w:rPr>
                      <w:rFonts w:ascii="Times New Roman" w:hAnsi="Times New Roman" w:eastAsia="宋体" w:cs="Times New Roman"/>
                      <w:color w:val="000000" w:themeColor="text1"/>
                      <w:highlight w:val="none"/>
                      <w:lang w:eastAsia="zh-CN"/>
                      <w14:textFill>
                        <w14:solidFill>
                          <w14:schemeClr w14:val="tx1"/>
                        </w14:solidFill>
                      </w14:textFill>
                    </w:rPr>
                    <w:t>大气</w:t>
                  </w:r>
                </w:p>
              </w:tc>
            </w:tr>
          </w:tbl>
          <w:p w14:paraId="64FB8CDA">
            <w:pPr>
              <w:keepNext w:val="0"/>
              <w:keepLines w:val="0"/>
              <w:pageBreakBefore w:val="0"/>
              <w:widowControl w:val="0"/>
              <w:kinsoku/>
              <w:wordWrap/>
              <w:overflowPunct/>
              <w:topLinePunct w:val="0"/>
              <w:autoSpaceDE w:val="0"/>
              <w:autoSpaceDN w:val="0"/>
              <w:bidi w:val="0"/>
              <w:adjustRightInd w:val="0"/>
              <w:snapToGrid w:val="0"/>
              <w:spacing w:before="0" w:beforeLines="50"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Cambria Math" w:hAnsi="Cambria Math" w:eastAsia="宋体" w:cs="Cambria Math"/>
                <w:color w:val="000000" w:themeColor="text1"/>
                <w:sz w:val="24"/>
                <w:szCs w:val="24"/>
                <w:highlight w:val="none"/>
                <w:lang w:eastAsia="zh-CN"/>
                <w14:textFill>
                  <w14:solidFill>
                    <w14:schemeClr w14:val="tx1"/>
                  </w14:solidFill>
                </w14:textFill>
              </w:rPr>
              <w:t>②</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生产设施风险识别</w:t>
            </w:r>
          </w:p>
          <w:p w14:paraId="2157847A">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a.井喷事故风险</w:t>
            </w:r>
          </w:p>
          <w:p w14:paraId="35820AC5">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bidi="ar"/>
                <w14:textFill>
                  <w14:solidFill>
                    <w14:schemeClr w14:val="tx1"/>
                  </w14:solidFill>
                </w14:textFill>
              </w:rPr>
              <w:t>若井底压力小于地层压力，地层流体将进入井筒并推动钻井液外溢。此时，如果对地下油、气压力平衡控制不当，不能及时控制溢流，会造成油、气、水或其他混合物迅速喷到地面，即发生井喷。井喷会引发油气泄漏及火灾爆炸，对大气环境、地下水环境、土壤环境及生态环境造成危害，致使人员伤亡、财产损失。</w:t>
            </w:r>
          </w:p>
          <w:p w14:paraId="58E40839">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b.储罐泄漏风险</w:t>
            </w:r>
          </w:p>
          <w:p w14:paraId="3F1C58AF">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钻试期井场设有柴油储罐、废水储罐和采出液储罐等，若储罐因质量、操作运行和管理等方面存在缺陷和失误，可能会发生泄漏，对周围地下水、土壤、大气等环境造成污染。</w:t>
            </w:r>
          </w:p>
          <w:p w14:paraId="3D831395">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c.井漏事故风险</w:t>
            </w:r>
          </w:p>
          <w:p w14:paraId="68930515">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钻井施工表层套管下入深度不够或固井质量不好可能引发井漏事故。</w:t>
            </w:r>
          </w:p>
          <w:p w14:paraId="6B36DB2E">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d.采出液、废水及柴油拉运过程中的环境风险</w:t>
            </w:r>
          </w:p>
          <w:p w14:paraId="32836AC6">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试油期废水及其他采出液由罐车拉运至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吉康</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脱水站处理，运输过程中若因车辆本身的设计、制造、操作、管理等各环节存在缺陷，则可能发生泄漏事故的风险。事故发生时罐车内液体溢出，对周围环境造成直接污染，泄漏的油气如遇到明火还可能发生火灾、爆炸事故。</w:t>
            </w:r>
          </w:p>
          <w:p w14:paraId="76A3F988">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Cambria Math" w:hAnsi="Cambria Math" w:eastAsia="宋体" w:cs="Cambria Math"/>
                <w:color w:val="000000" w:themeColor="text1"/>
                <w:sz w:val="24"/>
                <w:szCs w:val="24"/>
                <w:highlight w:val="none"/>
                <w:lang w:eastAsia="zh-CN"/>
                <w14:textFill>
                  <w14:solidFill>
                    <w14:schemeClr w14:val="tx1"/>
                  </w14:solidFill>
                </w14:textFill>
              </w:rPr>
              <w:t>③</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环境风险类型</w:t>
            </w:r>
          </w:p>
          <w:p w14:paraId="0BA8BAD0">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环境风险类型主要为泄漏、火灾、爆炸等引发的伴生/次生污染物排放。</w:t>
            </w:r>
          </w:p>
          <w:p w14:paraId="63138052">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Cambria Math" w:hAnsi="Cambria Math" w:eastAsia="宋体" w:cs="Cambria Math"/>
                <w:bCs/>
                <w:color w:val="000000" w:themeColor="text1"/>
                <w:sz w:val="24"/>
                <w:szCs w:val="24"/>
                <w:highlight w:val="none"/>
                <w:lang w:eastAsia="zh-CN"/>
                <w14:textFill>
                  <w14:solidFill>
                    <w14:schemeClr w14:val="tx1"/>
                  </w14:solidFill>
                </w14:textFill>
              </w:rPr>
              <w:t>④</w:t>
            </w: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危险物质向环境转移的可能途径和影响方式</w:t>
            </w:r>
          </w:p>
          <w:p w14:paraId="7E2EC3EB">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柴油储罐、采出液储罐、废水储罐、废润滑油桶等发生破损造成柴油/采出液/废水/废润滑油泄漏以及井喷事故造成采出液泄漏，柴油/采出液/废水/废润滑油泄漏后污染土壤，污染物有可能通过包气带渗漏进入地下含水层，污染地下水；泄漏的柴油/采出液/废润滑油若遇明火，发生火灾、爆炸，污染大气环境。</w:t>
            </w:r>
          </w:p>
          <w:p w14:paraId="631F116B">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7.4环境风险分析</w:t>
            </w:r>
          </w:p>
          <w:p w14:paraId="4AACE864">
            <w:pPr>
              <w:widowControl w:val="0"/>
              <w:kinsoku/>
              <w:spacing w:line="48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①井喷事故环境影响分析</w:t>
            </w:r>
          </w:p>
          <w:p w14:paraId="57D97C56">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a.</w:t>
            </w:r>
            <w:r>
              <w:rPr>
                <w:rFonts w:hint="default" w:ascii="Times New Roman" w:hAnsi="Times New Roman" w:eastAsia="宋体" w:cs="Times New Roman"/>
                <w:bCs/>
                <w:color w:val="000000" w:themeColor="text1"/>
                <w:sz w:val="24"/>
                <w:szCs w:val="24"/>
                <w:lang w:eastAsia="zh-CN"/>
                <w14:textFill>
                  <w14:solidFill>
                    <w14:schemeClr w14:val="tx1"/>
                  </w14:solidFill>
                </w14:textFill>
              </w:rPr>
              <w:t>针对项目可能发生的井喷失控极端事故，本次评价基于原油理化性质及区域土壤特征，对原油泄漏后的土壤污染扩散路径及范围进行半定量模拟预测与分析：</w:t>
            </w:r>
          </w:p>
          <w:p w14:paraId="0E51D020">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 xml:space="preserve"> 水平扩散范围模拟分析：井喷发生时，原油随高压地层流体喷出井口并呈雾状散落。结合高压喷射动力学特征及当地平均风速风向，散落的原油主要沿下风向呈椭圆形或扇形沉降区。经类比同类油田井喷事故散落规律及估算，原油散落的水平扩散范围主要集中在井口周边 ≤300m 的区域内。超出此范围后，原油颗粒因重力沉降及浓度衰减，无法形成地表连片污染。</w:t>
            </w:r>
          </w:p>
          <w:p w14:paraId="71913A8F">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垂直渗透深度模拟分析：原油属于高粘度液体，散落至地表后，由于地表土壤的毛细管阻滞作用，以及原油暴露在空气中轻组分挥发导致粘度迅速增加的特性，其在土壤基质中的下渗速率极为缓慢。假定应急队伍在事故发生后24小时内完成初步封堵与地表大面积油污回收，根据经验公式及土壤渗透系数综合估算，原油在表层土壤中的垂直渗透深度将被严格限制在 ≤1m 的范围内。深层土壤及地下水（埋深50~150m）不会受到实质性污染。</w:t>
            </w:r>
          </w:p>
          <w:p w14:paraId="6E98A1EE">
            <w:pPr>
              <w:widowControl w:val="0"/>
              <w:kinsoku/>
              <w:spacing w:line="480" w:lineRule="exact"/>
              <w:ind w:firstLine="480" w:firstLineChars="200"/>
              <w:jc w:val="both"/>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应急处置临界阈值与修复启动机制：事故抢险与地表浮油回收结束后，建设单位须立即对受影响的 ≤300m 范围内的土壤开展网格化采样监测。为确保生态环境安全，本项目明确设定土壤应急处置与修复的临界阈值：当任意监测点位的土壤石油烃（C10-C40）含量 ≥1000 mg/kg 时，必须立即启动土壤修复程序。 对于超标区域，须采取“机械剥离+异地处置”的修复方案，将受污染的表层土壤（深度0~1m）全部剥离，暂存于防渗防雨的危废暂存间或专用吨袋中，随后交由具备危险废物（HW08类）处理资质的第三方单位进行无害化集中处置（如热脱附等）；清理完毕经复测达标后，回填洁净客土并重新进行植被恢复。</w:t>
            </w:r>
          </w:p>
          <w:p w14:paraId="70892CE8">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b.对大气环境影响分析</w:t>
            </w:r>
          </w:p>
          <w:p w14:paraId="598CAD73">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发生井喷失控事故后，伴生气、伴生气中硫化氢和原油挥发产生的非甲烷总烃进入环境空气，可能会对周围环境空气产生影响。若遇明火可能发生火灾、爆炸，随之产生的伴生、次生污染物会对环境空气产生一定的影响，</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并对环境和施工人员产生一定危害，主要危害包括：遇明火可能发生火灾或爆炸事故，造成人员伤亡；烃类气体以及火灾或爆炸事故次生污染物CO对人体的毒性危害，对周围的大气环境及施工人员造成影响。伴生气中的甲烷和硫化氢进入大气后，可能会造成中毒事件。</w:t>
            </w:r>
          </w:p>
          <w:p w14:paraId="04E707A5">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由于地域空旷，扩散条件较好，发生事故后，及时采取相应的措施，不会对周围环境空气产生明显影响。</w:t>
            </w:r>
          </w:p>
          <w:p w14:paraId="2E1D09E0">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c.对地下水环境影响分析</w:t>
            </w:r>
          </w:p>
          <w:p w14:paraId="2B10B469">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根据类比调查，从事故井区土壤剖面分析，井喷失控事故后石油类污染物主要被拦截在包气带土壤剖面1m以内，同时因为气候干旱少雨，不存在大量降水的淋滤作用，因此对地下水体的影响概率不大。及时清理井喷事故中落地原油，对可回收原油进行回收，落地油收集后交由具有相应危废处置资质的单位进行回收处置，及时采取上述有效措施治理污染后，井喷不会造成地下水污染。</w:t>
            </w:r>
          </w:p>
          <w:p w14:paraId="3AE5F869">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d.对土壤环境影响分析</w:t>
            </w:r>
          </w:p>
          <w:p w14:paraId="2377ACF0">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井喷失控事故使井喷影响范围内的土壤理化性质发生变化，破坏土壤结构，影响土壤的通透性、降低土壤质量，油污黏在植被根系上，形成一层黏膜，阻碍植被根系养分和水分的吸收，引起根系腐烂，影响野生植被的生长。事故发生后及时清理现场，对可回收采出液进行回收，不能回收的原油和受污染的土壤形成落地油，落地油集中收集后由有相应危废处置资质的单位进行回收处置，将井喷事故对周边植被的影响降至最低。</w:t>
            </w:r>
          </w:p>
          <w:p w14:paraId="41323008">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Cs/>
                <w:color w:val="000000" w:themeColor="text1"/>
                <w:sz w:val="24"/>
                <w:szCs w:val="24"/>
                <w:highlight w:val="none"/>
                <w:lang w:eastAsia="zh-CN"/>
                <w14:textFill>
                  <w14:solidFill>
                    <w14:schemeClr w14:val="tx1"/>
                  </w14:solidFill>
                </w14:textFill>
              </w:rPr>
              <w:t>e.对植被影响分析</w:t>
            </w:r>
          </w:p>
          <w:p w14:paraId="3D696944">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井喷事故发生后，喷出的油类物质可能对周围自然植被产生一定的影响，井场周围半径200m范围内自然植被将全部由于石油类污染而使其呼吸受阻，不能进行正常光合作用而死亡；原油进入土壤后与土壤结合，渗入土壤孔隙，使土壤透气性和呼吸作用减弱，改变了土壤质地和结构，影响到土壤的生物功能，进而造成生长其上的植物和土壤动物的死亡，这种影响会导致污染地段多年无法生长植物或长势减弱，甚至使这一区域变为裸地。由于这一影响使土壤结构受石油类污染而发生变化，因此，被污染区域的植被不易恢复。若井喷时发生火灾，结果将使燃烧范围内的植被全部死亡。必须采取严格有效的风险防范措施，防止、降低井喷事故风险发生。事故发生后应及时清理现场，及时清理沾染油污的植被，对落地油进行回收，受污染的土壤集中收集后由有相应危废处置资质的单位进行回收处置，将井喷事故对周边植被的影响降至最低。</w:t>
            </w:r>
          </w:p>
          <w:p w14:paraId="2A4CEE1E">
            <w:pPr>
              <w:widowControl w:val="0"/>
              <w:kinsoku/>
              <w:spacing w:line="480" w:lineRule="exact"/>
              <w:ind w:firstLine="480" w:firstLineChars="200"/>
              <w:jc w:val="both"/>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 xml:space="preserve">f. 对农田耕地及草地的次生事故影响分析 </w:t>
            </w:r>
          </w:p>
          <w:p w14:paraId="2FF95D86">
            <w:pPr>
              <w:widowControl w:val="0"/>
              <w:kinsoku/>
              <w:spacing w:line="480" w:lineRule="exact"/>
              <w:ind w:firstLine="480" w:firstLineChars="200"/>
              <w:jc w:val="both"/>
              <w:rPr>
                <w:rFonts w:hint="default"/>
                <w:color w:val="000000" w:themeColor="text1"/>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井喷事故的直接影响：井喷发生时，大量原油及伴生气喷出并散落。若飘落在周边农田或草地，原油中的重组分会覆盖土壤表层，导致土壤透气性及水分渗透性迅速下降，破坏土壤结构 。原油中的有害物质会被作物根系吸收，产生毒害作用，导致农作物减产甚至大面积枯死。火灾次生事故影响：若井喷引发火灾，强烈的热辐射会直接烧毁火源周边的农作物及荒漠草地植被。火灾产生的大量烟尘（含颗粒物、CO、多环芳烃等）随风飘散，其沉降物会污染叶片，阻断植物光合作用，对受影响区域的农业生产造成短时严重干扰。</w:t>
            </w:r>
          </w:p>
          <w:p w14:paraId="0FF81EB0">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Cambria Math" w:hAnsi="Cambria Math" w:eastAsia="宋体" w:cs="Cambria Math"/>
                <w:color w:val="000000" w:themeColor="text1"/>
                <w:sz w:val="24"/>
                <w:szCs w:val="24"/>
                <w:highlight w:val="none"/>
                <w:lang w:eastAsia="zh-CN"/>
                <w14:textFill>
                  <w14:solidFill>
                    <w14:schemeClr w14:val="tx1"/>
                  </w14:solidFill>
                </w14:textFill>
              </w:rPr>
              <w:t>②</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储罐泄漏环境影响分析</w:t>
            </w:r>
          </w:p>
          <w:p w14:paraId="3CBDF644">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a.对大气环境影响分析</w:t>
            </w:r>
          </w:p>
          <w:p w14:paraId="5E9D6E9C">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储罐发生泄漏后，伴生气、伴生气中硫化氢和原油挥发产生的非甲烷总烃进入环境空气可能会对周围环境空气产生影响。若遇明火，可发生火灾、爆炸，且火灾、爆炸产生的伴生、次生污染物也会对环境空气产生一定影响。由于泄漏量少，加上项目区地域空旷、扩散条件较好，发生事故后若能及时采取相应措施，则不会对周围环境空气产生明显影响。</w:t>
            </w:r>
          </w:p>
          <w:p w14:paraId="58A943B1">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b.对土壤环境影响分析</w:t>
            </w:r>
          </w:p>
          <w:p w14:paraId="7096C227">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泄漏的油类物质可使土壤透气性下降、土壤理化性状发生变化，使土壤透气性和呼吸作用减弱，从而影响土壤中的微生物生存，造成土壤盐碱化、破坏土壤结构；除此之外，还会导致土壤中石油类污染物增加，造成土地肥力下降、改变土壤的理化性质，从而影响土壤的正常结构和功能。</w:t>
            </w:r>
          </w:p>
          <w:p w14:paraId="62A33EBD">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施工期间柴油储罐、采出液储罐、废水储罐、岩屑储罐等储罐区域均铺设防渗膜，储罐发生泄漏后应及时回收原油、收集受污染的土壤，然后委托有相应危废处置资质的单位进行回收处置。因此，在采取上述措施后不会对周围土壤环境产生明显影响。</w:t>
            </w:r>
          </w:p>
          <w:p w14:paraId="2BAABA25">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c.对植被的影响</w:t>
            </w:r>
          </w:p>
          <w:p w14:paraId="4FB3DCFB">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油类物质泄漏对植被的影响主要分为三种途径，一是泄漏物直接粘附于植物体阻断植物的光合作用，使植物枯萎、死亡；二是污染土壤，造成土壤理化性状发生变化，从而间接影响植物生长，严重时会导致植物死亡；三是泄漏物质中的轻组份挥发，在对空气环境产生影响的同时，也会对周围植物产生影响。因此，对储罐区采取防渗措施、对受污染区域及时处理后，油类物料泄漏不会对周围植被产生明显影响。</w:t>
            </w:r>
          </w:p>
          <w:p w14:paraId="42316439">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d.对地下水环境的影响</w:t>
            </w:r>
          </w:p>
          <w:p w14:paraId="7BDEACC7">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柴油储罐、采出液储罐和废水储罐泄漏的油品下渗可能会污染地下水。井场各类储罐堆放场地为地上设施，储罐均为钢制储罐且底部铺设防渗膜，发生泄漏的概率极小；一旦发生泄漏可在较短时间内发现并采取堵漏措施，出现长期连续性泄漏的可能性很低。因此，施工期发生渗漏污染地下水的风险事故可能性很小。</w:t>
            </w:r>
          </w:p>
          <w:p w14:paraId="289758D6">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Cambria Math" w:hAnsi="Cambria Math" w:eastAsia="宋体" w:cs="Cambria Math"/>
                <w:color w:val="000000" w:themeColor="text1"/>
                <w:sz w:val="24"/>
                <w:szCs w:val="24"/>
                <w:highlight w:val="none"/>
                <w:lang w:eastAsia="zh-CN"/>
                <w14:textFill>
                  <w14:solidFill>
                    <w14:schemeClr w14:val="tx1"/>
                  </w14:solidFill>
                </w14:textFill>
              </w:rPr>
              <w:t>③</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井漏环境影响分析</w:t>
            </w:r>
          </w:p>
          <w:p w14:paraId="5137DE09">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井漏事故对地下水的污染途径主要是钻井液漏失于地下水含水层中，造成地下含水层水质污染。钻井液漏失于地下含水层其径流型污染的范围不大，主要发生在局部且持续时间较短；使用清洁无害的水基钻井液，严格控制使用有毒有害钻井液；同时严格要求套管下入深度、确保固井质量等措施，可有效控制钻井液在含水层中的漏失。因此，井漏事故对地下水环境的影响在可接受范围内。</w:t>
            </w:r>
          </w:p>
          <w:p w14:paraId="674DE65E">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Cambria Math" w:hAnsi="Cambria Math" w:eastAsia="宋体" w:cs="Cambria Math"/>
                <w:color w:val="000000" w:themeColor="text1"/>
                <w:sz w:val="24"/>
                <w:szCs w:val="24"/>
                <w:highlight w:val="none"/>
                <w:lang w:eastAsia="zh-CN"/>
                <w14:textFill>
                  <w14:solidFill>
                    <w14:schemeClr w14:val="tx1"/>
                  </w14:solidFill>
                </w14:textFill>
              </w:rPr>
              <w:t>④</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采出液、废水及柴油拉运过程中泄漏风险分析</w:t>
            </w:r>
          </w:p>
          <w:p w14:paraId="328BA1F4">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罐车拉运过程中的风险主要为罐车上的储罐发生泄漏、火灾、爆炸等事故对周围环境的影响，其影响与储罐泄漏影响相同，具体影响见储罐泄漏影响分析。</w:t>
            </w:r>
          </w:p>
          <w:p w14:paraId="5645405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⑤</w:t>
            </w:r>
            <w:r>
              <w:rPr>
                <w:rFonts w:hint="eastAsia" w:ascii="Times New Roman" w:hAnsi="Times New Roman" w:eastAsia="宋体" w:cs="Times New Roman"/>
                <w:color w:val="000000" w:themeColor="text1"/>
                <w:sz w:val="24"/>
                <w:szCs w:val="24"/>
                <w:lang w:eastAsia="zh-CN"/>
                <w14:textFill>
                  <w14:solidFill>
                    <w14:schemeClr w14:val="tx1"/>
                  </w14:solidFill>
                </w14:textFill>
              </w:rPr>
              <w:t>危废暂存期间的渗漏风险预测分析</w:t>
            </w:r>
          </w:p>
          <w:p w14:paraId="36399E26">
            <w:pPr>
              <w:widowControl w:val="0"/>
              <w:kinsoku/>
              <w:spacing w:line="480" w:lineRule="exact"/>
              <w:ind w:firstLine="480" w:firstLineChars="200"/>
              <w:jc w:val="both"/>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本项目油基岩屑采用不落地全密闭方罐收集且日产日清，切断了在井场长期滞留的渗漏途径。井场设置的危险废物临时贮存间主要用于集中暂存废机油、废润滑油及含油废防渗材料等其他危险废物。该贮存间地面已严格落实重点防渗措施（采用2mm厚HDPE防渗膜）。结合防渗材料物理特性测算，即使在防渗层出现老化微小破损的极端不利工况下，预测危废在暂存期间的渗漏风险极低，潜在最大渗漏量 ≤0.01m³/a。该微小渗漏量完全在土壤环境自净能力范围内，不会对深层地下水造成污染，环境风险完全可控。</w:t>
            </w:r>
          </w:p>
          <w:p w14:paraId="01F2B189">
            <w:pPr>
              <w:pStyle w:val="15"/>
              <w:widowControl w:val="0"/>
              <w:ind w:left="0" w:leftChars="0" w:firstLine="0" w:firstLineChars="0"/>
              <w:jc w:val="both"/>
              <w:rPr>
                <w:rFonts w:hint="default"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t>7.5</w:t>
            </w:r>
            <w:r>
              <w:rPr>
                <w:rFonts w:hint="default" w:ascii="Times New Roman" w:hAnsi="Times New Roman" w:eastAsia="宋体" w:cs="Times New Roman"/>
                <w:b/>
                <w:bCs/>
                <w:snapToGrid w:val="0"/>
                <w:color w:val="000000" w:themeColor="text1"/>
                <w:kern w:val="0"/>
                <w:sz w:val="24"/>
                <w:szCs w:val="24"/>
                <w:lang w:val="en-US" w:eastAsia="zh-CN" w:bidi="ar-SA"/>
                <w14:textFill>
                  <w14:solidFill>
                    <w14:schemeClr w14:val="tx1"/>
                  </w14:solidFill>
                </w14:textFill>
              </w:rPr>
              <w:t xml:space="preserve">突发环境事件（泄漏、井喷）应急监测方案 </w:t>
            </w:r>
          </w:p>
          <w:p w14:paraId="1B040204">
            <w:pPr>
              <w:pStyle w:val="20"/>
              <w:widowControl w:val="0"/>
              <w:jc w:val="both"/>
              <w:rPr>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针对试油及施工作业期间可能发生的井喷、原油大量泄漏等突发环境风险事故，建设单位及应急救援指挥部必须立即启动应急监测响应机制。具体方案如下：①应急监测点位布设：以事故发生地（井口或储罐泄漏点）为事故中心，在事故中心及周边 500m 范围内的下风向、地下水下游及敏感目标处迅速布设空气、土壤及地下水应急监测点位。②应急监测因子：重点监测事故特征污染物，包括 石油烃（含空气中的非甲烷总烃）、H</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S、pH。 ③应急监测频次：事故抢险及应急响应期间，必须开展高频次跟踪监测，监测频次要求达到每2小时1次，直至污染源得到有效控制、环境质量连续稳定达到本底水平后方可降频或终止。④数据报送要求：应急监测数据应作为指挥救援的重要依据。事故发生后及首批监测数据出具后，必须在24小时内按规定程序向当地生态环境部门及相关应急管理部门报送监测结果及污染态势评估报告。</w:t>
            </w:r>
            <w:r>
              <w:rPr>
                <w:rFonts w:hint="eastAsia" w:ascii="微软雅黑" w:hAnsi="微软雅黑" w:eastAsia="微软雅黑" w:cs="微软雅黑"/>
                <w:color w:val="000000" w:themeColor="text1"/>
                <w:sz w:val="24"/>
                <w:szCs w:val="24"/>
                <w:lang w:eastAsia="zh-CN"/>
                <w14:textFill>
                  <w14:solidFill>
                    <w14:schemeClr w14:val="tx1"/>
                  </w14:solidFill>
                </w14:textFill>
              </w:rPr>
              <w:t>⑤</w:t>
            </w:r>
            <w:r>
              <w:rPr>
                <w:rFonts w:hint="eastAsia" w:ascii="Times New Roman" w:hAnsi="Times New Roman" w:eastAsia="宋体" w:cs="Times New Roman"/>
                <w:color w:val="000000" w:themeColor="text1"/>
                <w:sz w:val="24"/>
                <w:szCs w:val="24"/>
                <w:lang w:eastAsia="zh-CN"/>
                <w14:textFill>
                  <w14:solidFill>
                    <w14:schemeClr w14:val="tx1"/>
                  </w14:solidFill>
                </w14:textFill>
              </w:rPr>
              <w:t>应急物资储备清单及量化要求： 针对项目试油期可能面临的泄漏与伴生气逸散风险，井场必须在专门区域配备充足、有效的大宗及专用环境应急物资。经核算与论证，关键应急物资储备量必须满足以下最低配置要求：防泄漏围栏（围油栏）≥50m、吸油毡（含吸油棉等）≥100kg、便携式硫化氢（H</w:t>
            </w:r>
            <w:r>
              <w:rPr>
                <w:rFonts w:hint="eastAsia"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S）气体监测仪≥2台。此外，还需常备足量的防毒面具、正压式空气呼吸器、消防器材、应急照明设备、木楔/堵漏带及专用收集容器等，所有物资实行专人管理、定期点检验配。</w:t>
            </w:r>
          </w:p>
          <w:p w14:paraId="31D0E682">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环境风险评价结论</w:t>
            </w:r>
          </w:p>
          <w:p w14:paraId="3627CD0A">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本项目设计中严格执行各种安全标准、规范，采取完善的安全措施，可有效地防止火灾、爆炸、泄漏、井喷等事故的发生。本项目的环境风险在可接受范围之内。</w:t>
            </w:r>
          </w:p>
          <w:p w14:paraId="2FF1BADF">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8.其它产出物影响分析</w:t>
            </w:r>
          </w:p>
          <w:p w14:paraId="679AC65D">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试油过程即通过计量采出物成分、数量从而获取油藏数据的过程。采出物中包括原油、采出水、伴生气以及井下压裂残留的少量压裂液等，其中伴生气因产生量不稳定无法进行回收，在井场通过地面排气管线点燃放空；原油、采出水及残留压裂液等进入地面储罐，拉运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吉康</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脱水站原油处理系统处理。</w:t>
            </w:r>
          </w:p>
          <w:p w14:paraId="37B8D752">
            <w:pPr>
              <w:keepNext w:val="0"/>
              <w:keepLines w:val="0"/>
              <w:pageBreakBefore w:val="0"/>
              <w:widowControl w:val="0"/>
              <w:numPr>
                <w:ilvl w:val="0"/>
                <w:numId w:val="7"/>
              </w:numPr>
              <w:kinsoku/>
              <w:wordWrap/>
              <w:overflowPunct/>
              <w:topLinePunct w:val="0"/>
              <w:autoSpaceDE w:val="0"/>
              <w:autoSpaceDN w:val="0"/>
              <w:bidi w:val="0"/>
              <w:adjustRightInd w:val="0"/>
              <w:snapToGrid w:val="0"/>
              <w:spacing w:line="360" w:lineRule="auto"/>
              <w:ind w:left="0" w:right="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bCs/>
                <w:color w:val="000000" w:themeColor="text1"/>
                <w:sz w:val="24"/>
                <w:szCs w:val="24"/>
                <w:highlight w:val="none"/>
                <w:lang w:eastAsia="zh-CN"/>
                <w14:textFill>
                  <w14:solidFill>
                    <w14:schemeClr w14:val="tx1"/>
                  </w14:solidFill>
                </w14:textFill>
              </w:rPr>
              <w:t>封井期环境影响分析及其治理措施</w:t>
            </w:r>
          </w:p>
          <w:p w14:paraId="49293017">
            <w:pPr>
              <w:pStyle w:val="22"/>
              <w:keepNext w:val="0"/>
              <w:keepLines w:val="0"/>
              <w:pageBreakBefore w:val="0"/>
              <w:widowControl/>
              <w:kinsoku/>
              <w:wordWrap/>
              <w:overflowPunct/>
              <w:topLinePunct w:val="0"/>
              <w:autoSpaceDE w:val="0"/>
              <w:autoSpaceDN w:val="0"/>
              <w:bidi w:val="0"/>
              <w:adjustRightInd w:val="0"/>
              <w:snapToGrid w:val="0"/>
              <w:spacing w:line="360" w:lineRule="auto"/>
              <w:ind w:left="0" w:right="0" w:firstLine="484"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本项目</w:t>
            </w:r>
            <w:r>
              <w:rPr>
                <w:rFonts w:ascii="Times New Roman" w:hAnsi="Times New Roman" w:cs="Times New Roman"/>
                <w:color w:val="000000" w:themeColor="text1"/>
                <w:sz w:val="24"/>
                <w:szCs w:val="24"/>
                <w:highlight w:val="none"/>
                <w:lang w:eastAsia="zh-CN"/>
                <w14:textFill>
                  <w14:solidFill>
                    <w14:schemeClr w14:val="tx1"/>
                  </w14:solidFill>
                </w14:textFill>
              </w:rPr>
              <w:t>钻井期</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为吉阜103H井70天、吉阜1001H井</w:t>
            </w:r>
            <w:r>
              <w:rPr>
                <w:rFonts w:ascii="Times New Roman" w:hAnsi="Times New Roman" w:cs="Times New Roman"/>
                <w:color w:val="000000" w:themeColor="text1"/>
                <w:sz w:val="24"/>
                <w:szCs w:val="24"/>
                <w:highlight w:val="none"/>
                <w:lang w:eastAsia="zh-CN"/>
                <w14:textFill>
                  <w14:solidFill>
                    <w14:schemeClr w14:val="tx1"/>
                  </w14:solidFill>
                </w14:textFill>
              </w:rPr>
              <w:t>90天；试油期为300天</w:t>
            </w:r>
            <w:r>
              <w:rPr>
                <w:rFonts w:ascii="Times New Roman" w:hAnsi="Times New Roman" w:cs="Times New Roman"/>
                <w:color w:val="000000" w:themeColor="text1"/>
                <w:spacing w:val="1"/>
                <w:sz w:val="24"/>
                <w:szCs w:val="24"/>
                <w:highlight w:val="none"/>
                <w:lang w:eastAsia="zh-CN"/>
                <w14:textFill>
                  <w14:solidFill>
                    <w14:schemeClr w14:val="tx1"/>
                  </w14:solidFill>
                </w14:textFill>
              </w:rPr>
              <w:t>，测试完井后及时封井</w:t>
            </w:r>
            <w:r>
              <w:rPr>
                <w:rFonts w:ascii="Times New Roman" w:hAnsi="Times New Roman" w:cs="Times New Roman"/>
                <w:color w:val="000000" w:themeColor="text1"/>
                <w:sz w:val="24"/>
                <w:szCs w:val="24"/>
                <w:highlight w:val="none"/>
                <w:lang w:eastAsia="zh-CN"/>
                <w14:textFill>
                  <w14:solidFill>
                    <w14:schemeClr w14:val="tx1"/>
                  </w14:solidFill>
                </w14:textFill>
              </w:rPr>
              <w:t>。对具有开采价值</w:t>
            </w:r>
            <w:r>
              <w:rPr>
                <w:rFonts w:ascii="Times New Roman" w:hAnsi="Times New Roman" w:cs="Times New Roman"/>
                <w:color w:val="000000" w:themeColor="text1"/>
                <w:spacing w:val="1"/>
                <w:sz w:val="24"/>
                <w:szCs w:val="24"/>
                <w:highlight w:val="none"/>
                <w:lang w:eastAsia="zh-CN"/>
                <w14:textFill>
                  <w14:solidFill>
                    <w14:schemeClr w14:val="tx1"/>
                  </w14:solidFill>
                </w14:textFill>
              </w:rPr>
              <w:t>井口采取临时封井，保留采油树，相关法兰管口全部密封</w:t>
            </w:r>
            <w:r>
              <w:rPr>
                <w:rFonts w:ascii="Times New Roman" w:hAnsi="Times New Roman" w:cs="Times New Roman"/>
                <w:color w:val="000000" w:themeColor="text1"/>
                <w:sz w:val="24"/>
                <w:szCs w:val="24"/>
                <w:highlight w:val="none"/>
                <w:lang w:eastAsia="zh-CN"/>
                <w14:textFill>
                  <w14:solidFill>
                    <w14:schemeClr w14:val="tx1"/>
                  </w14:solidFill>
                </w14:textFill>
              </w:rPr>
              <w:t>，井口区域下挖</w:t>
            </w:r>
            <w:r>
              <w:rPr>
                <w:rFonts w:ascii="Times New Roman" w:hAnsi="Times New Roman" w:cs="Times New Roman"/>
                <w:color w:val="000000" w:themeColor="text1"/>
                <w:spacing w:val="3"/>
                <w:sz w:val="24"/>
                <w:szCs w:val="24"/>
                <w:highlight w:val="none"/>
                <w:lang w:eastAsia="zh-CN"/>
                <w14:textFill>
                  <w14:solidFill>
                    <w14:schemeClr w14:val="tx1"/>
                  </w14:solidFill>
                </w14:textFill>
              </w:rPr>
              <w:t>约长</w:t>
            </w:r>
            <w:r>
              <w:rPr>
                <w:rFonts w:ascii="Times New Roman" w:hAnsi="Times New Roman" w:eastAsia="Times New Roman" w:cs="Times New Roman"/>
                <w:color w:val="000000" w:themeColor="text1"/>
                <w:spacing w:val="3"/>
                <w:sz w:val="24"/>
                <w:szCs w:val="24"/>
                <w:highlight w:val="none"/>
                <w:lang w:eastAsia="zh-CN"/>
                <w14:textFill>
                  <w14:solidFill>
                    <w14:schemeClr w14:val="tx1"/>
                  </w14:solidFill>
                </w14:textFill>
              </w:rPr>
              <w:t>1m×</w:t>
            </w:r>
            <w:r>
              <w:rPr>
                <w:rFonts w:ascii="Times New Roman" w:hAnsi="Times New Roman" w:cs="Times New Roman"/>
                <w:color w:val="000000" w:themeColor="text1"/>
                <w:spacing w:val="3"/>
                <w:sz w:val="24"/>
                <w:szCs w:val="24"/>
                <w:highlight w:val="none"/>
                <w:lang w:eastAsia="zh-CN"/>
                <w14:textFill>
                  <w14:solidFill>
                    <w14:schemeClr w14:val="tx1"/>
                  </w14:solidFill>
                </w14:textFill>
              </w:rPr>
              <w:t>宽</w:t>
            </w:r>
            <w:r>
              <w:rPr>
                <w:rFonts w:ascii="Times New Roman" w:hAnsi="Times New Roman" w:eastAsia="Times New Roman" w:cs="Times New Roman"/>
                <w:color w:val="000000" w:themeColor="text1"/>
                <w:spacing w:val="3"/>
                <w:sz w:val="24"/>
                <w:szCs w:val="24"/>
                <w:highlight w:val="none"/>
                <w:lang w:eastAsia="zh-CN"/>
                <w14:textFill>
                  <w14:solidFill>
                    <w14:schemeClr w14:val="tx1"/>
                  </w14:solidFill>
                </w14:textFill>
              </w:rPr>
              <w:t>1m×</w:t>
            </w:r>
            <w:r>
              <w:rPr>
                <w:rFonts w:ascii="Times New Roman" w:hAnsi="Times New Roman" w:cs="Times New Roman"/>
                <w:color w:val="000000" w:themeColor="text1"/>
                <w:spacing w:val="3"/>
                <w:sz w:val="24"/>
                <w:szCs w:val="24"/>
                <w:highlight w:val="none"/>
                <w:lang w:eastAsia="zh-CN"/>
                <w14:textFill>
                  <w14:solidFill>
                    <w14:schemeClr w14:val="tx1"/>
                  </w14:solidFill>
                </w14:textFill>
              </w:rPr>
              <w:t>高</w:t>
            </w:r>
            <w:r>
              <w:rPr>
                <w:rFonts w:ascii="Times New Roman" w:hAnsi="Times New Roman" w:eastAsia="Times New Roman" w:cs="Times New Roman"/>
                <w:color w:val="000000" w:themeColor="text1"/>
                <w:spacing w:val="3"/>
                <w:sz w:val="24"/>
                <w:szCs w:val="24"/>
                <w:highlight w:val="none"/>
                <w:lang w:eastAsia="zh-CN"/>
                <w14:textFill>
                  <w14:solidFill>
                    <w14:schemeClr w14:val="tx1"/>
                  </w14:solidFill>
                </w14:textFill>
              </w:rPr>
              <w:t>1.2m</w:t>
            </w:r>
            <w:r>
              <w:rPr>
                <w:rFonts w:ascii="Times New Roman" w:hAnsi="Times New Roman" w:cs="Times New Roman"/>
                <w:color w:val="000000" w:themeColor="text1"/>
                <w:spacing w:val="3"/>
                <w:sz w:val="24"/>
                <w:szCs w:val="24"/>
                <w:highlight w:val="none"/>
                <w:lang w:eastAsia="zh-CN"/>
                <w14:textFill>
                  <w14:solidFill>
                    <w14:schemeClr w14:val="tx1"/>
                  </w14:solidFill>
                </w14:textFill>
              </w:rPr>
              <w:t>的采油树池</w:t>
            </w:r>
            <w:r>
              <w:rPr>
                <w:rFonts w:ascii="Times New Roman" w:hAnsi="Times New Roman" w:cs="Times New Roman"/>
                <w:color w:val="000000" w:themeColor="text1"/>
                <w:spacing w:val="2"/>
                <w:sz w:val="24"/>
                <w:szCs w:val="24"/>
                <w:highlight w:val="none"/>
                <w:lang w:eastAsia="zh-CN"/>
                <w14:textFill>
                  <w14:solidFill>
                    <w14:schemeClr w14:val="tx1"/>
                  </w14:solidFill>
                </w14:textFill>
              </w:rPr>
              <w:t>，四壁及底部进行砖混加固，树池四周地</w:t>
            </w:r>
            <w:r>
              <w:rPr>
                <w:rFonts w:ascii="Times New Roman" w:hAnsi="Times New Roman" w:cs="Times New Roman"/>
                <w:color w:val="000000" w:themeColor="text1"/>
                <w:spacing w:val="1"/>
                <w:sz w:val="24"/>
                <w:szCs w:val="24"/>
                <w:highlight w:val="none"/>
                <w:lang w:eastAsia="zh-CN"/>
                <w14:textFill>
                  <w14:solidFill>
                    <w14:schemeClr w14:val="tx1"/>
                  </w14:solidFill>
                </w14:textFill>
              </w:rPr>
              <w:t>表建设围挡并张贴相关标识，封井后除井口相关设施占地区</w:t>
            </w:r>
            <w:r>
              <w:rPr>
                <w:rFonts w:ascii="Times New Roman" w:hAnsi="Times New Roman" w:cs="Times New Roman"/>
                <w:color w:val="000000" w:themeColor="text1"/>
                <w:sz w:val="24"/>
                <w:szCs w:val="24"/>
                <w:highlight w:val="none"/>
                <w:lang w:eastAsia="zh-CN"/>
                <w14:textFill>
                  <w14:solidFill>
                    <w14:schemeClr w14:val="tx1"/>
                  </w14:solidFill>
                </w14:textFill>
              </w:rPr>
              <w:t>域全部进行覆土回填、植被恢复，封井后移交公司统一管理，公司安排专职人员对勘探井定</w:t>
            </w:r>
            <w:r>
              <w:rPr>
                <w:rFonts w:ascii="Times New Roman" w:hAnsi="Times New Roman" w:cs="Times New Roman"/>
                <w:color w:val="000000" w:themeColor="text1"/>
                <w:spacing w:val="-6"/>
                <w:sz w:val="24"/>
                <w:szCs w:val="24"/>
                <w:highlight w:val="none"/>
                <w:lang w:eastAsia="zh-CN"/>
                <w14:textFill>
                  <w14:solidFill>
                    <w14:schemeClr w14:val="tx1"/>
                  </w14:solidFill>
                </w14:textFill>
              </w:rPr>
              <w:t>期巡视。不具备开采价值的井口进行永久封井，</w:t>
            </w:r>
            <w:r>
              <w:rPr>
                <w:rFonts w:ascii="Times New Roman" w:hAnsi="Times New Roman" w:cs="Times New Roman"/>
                <w:color w:val="000000" w:themeColor="text1"/>
                <w:sz w:val="24"/>
                <w:szCs w:val="24"/>
                <w:highlight w:val="none"/>
                <w:lang w:eastAsia="zh-CN"/>
                <w14:textFill>
                  <w14:solidFill>
                    <w14:schemeClr w14:val="tx1"/>
                  </w14:solidFill>
                </w14:textFill>
              </w:rPr>
              <w:t>对井口按照《吐哈油田报废井封井实施细则（试行）》进行封井作业</w:t>
            </w:r>
            <w:r>
              <w:rPr>
                <w:rFonts w:ascii="Times New Roman" w:hAnsi="Times New Roman" w:cs="Times New Roman"/>
                <w:color w:val="000000" w:themeColor="text1"/>
                <w:spacing w:val="1"/>
                <w:sz w:val="24"/>
                <w:szCs w:val="24"/>
                <w:highlight w:val="none"/>
                <w:lang w:eastAsia="zh-CN"/>
                <w14:textFill>
                  <w14:solidFill>
                    <w14:schemeClr w14:val="tx1"/>
                  </w14:solidFill>
                </w14:textFill>
              </w:rPr>
              <w:t>，然后用表层</w:t>
            </w:r>
            <w:r>
              <w:rPr>
                <w:rFonts w:ascii="Times New Roman" w:hAnsi="Times New Roman" w:cs="Times New Roman"/>
                <w:color w:val="000000" w:themeColor="text1"/>
                <w:sz w:val="24"/>
                <w:szCs w:val="24"/>
                <w:highlight w:val="none"/>
                <w:lang w:eastAsia="zh-CN"/>
                <w14:textFill>
                  <w14:solidFill>
                    <w14:schemeClr w14:val="tx1"/>
                  </w14:solidFill>
                </w14:textFill>
              </w:rPr>
              <w:t>土覆盖，井场进行植被</w:t>
            </w:r>
            <w:r>
              <w:rPr>
                <w:rFonts w:ascii="Times New Roman" w:hAnsi="Times New Roman" w:cs="Times New Roman"/>
                <w:color w:val="000000" w:themeColor="text1"/>
                <w:spacing w:val="-4"/>
                <w:sz w:val="24"/>
                <w:szCs w:val="24"/>
                <w:highlight w:val="none"/>
                <w:lang w:eastAsia="zh-CN"/>
                <w14:textFill>
                  <w14:solidFill>
                    <w14:schemeClr w14:val="tx1"/>
                  </w14:solidFill>
                </w14:textFill>
              </w:rPr>
              <w:t>恢复。</w:t>
            </w:r>
          </w:p>
          <w:p w14:paraId="4C26D14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封井后，其余设施将拆除、搬迁。钻井液材料将全部进行回</w:t>
            </w:r>
            <w:r>
              <w:rPr>
                <w:rFonts w:ascii="Times New Roman" w:hAnsi="Times New Roman" w:cs="Times New Roman"/>
                <w:color w:val="000000" w:themeColor="text1"/>
                <w:sz w:val="24"/>
                <w:szCs w:val="24"/>
                <w:highlight w:val="none"/>
                <w:lang w:eastAsia="zh-CN"/>
                <w14:textFill>
                  <w14:solidFill>
                    <w14:schemeClr w14:val="tx1"/>
                  </w14:solidFill>
                </w14:textFill>
              </w:rPr>
              <w:t>收。当气井</w:t>
            </w:r>
            <w:r>
              <w:rPr>
                <w:rFonts w:ascii="Times New Roman" w:hAnsi="Times New Roman" w:cs="Times New Roman"/>
                <w:color w:val="000000" w:themeColor="text1"/>
                <w:spacing w:val="1"/>
                <w:sz w:val="24"/>
                <w:szCs w:val="24"/>
                <w:highlight w:val="none"/>
                <w:lang w:eastAsia="zh-CN"/>
                <w14:textFill>
                  <w14:solidFill>
                    <w14:schemeClr w14:val="tx1"/>
                  </w14:solidFill>
                </w14:textFill>
              </w:rPr>
              <w:t>勘探接近尾声时，各种机械设备将停止使用，进驻其中的工</w:t>
            </w:r>
            <w:r>
              <w:rPr>
                <w:rFonts w:ascii="Times New Roman" w:hAnsi="Times New Roman" w:cs="Times New Roman"/>
                <w:color w:val="000000" w:themeColor="text1"/>
                <w:sz w:val="24"/>
                <w:szCs w:val="24"/>
                <w:highlight w:val="none"/>
                <w:lang w:eastAsia="zh-CN"/>
                <w14:textFill>
                  <w14:solidFill>
                    <w14:schemeClr w14:val="tx1"/>
                  </w14:solidFill>
                </w14:textFill>
              </w:rPr>
              <w:t>作人员将陆续撤</w:t>
            </w:r>
            <w:r>
              <w:rPr>
                <w:rFonts w:ascii="Times New Roman" w:hAnsi="Times New Roman" w:cs="Times New Roman"/>
                <w:color w:val="000000" w:themeColor="text1"/>
                <w:spacing w:val="1"/>
                <w:sz w:val="24"/>
                <w:szCs w:val="24"/>
                <w:highlight w:val="none"/>
                <w:lang w:eastAsia="zh-CN"/>
                <w14:textFill>
                  <w14:solidFill>
                    <w14:schemeClr w14:val="tx1"/>
                  </w14:solidFill>
                </w14:textFill>
              </w:rPr>
              <w:t>离井场区域，由此带来的大气污染物、生产废水、生活污水</w:t>
            </w:r>
            <w:r>
              <w:rPr>
                <w:rFonts w:ascii="Times New Roman" w:hAnsi="Times New Roman" w:cs="Times New Roman"/>
                <w:color w:val="000000" w:themeColor="text1"/>
                <w:sz w:val="24"/>
                <w:szCs w:val="24"/>
                <w:highlight w:val="none"/>
                <w:lang w:eastAsia="zh-CN"/>
                <w14:textFill>
                  <w14:solidFill>
                    <w14:schemeClr w14:val="tx1"/>
                  </w14:solidFill>
                </w14:textFill>
              </w:rPr>
              <w:t>、噪声及固体废</w:t>
            </w:r>
            <w:r>
              <w:rPr>
                <w:rFonts w:ascii="Times New Roman" w:hAnsi="Times New Roman" w:cs="Times New Roman"/>
                <w:color w:val="000000" w:themeColor="text1"/>
                <w:spacing w:val="-1"/>
                <w:sz w:val="24"/>
                <w:szCs w:val="24"/>
                <w:highlight w:val="none"/>
                <w:lang w:eastAsia="zh-CN"/>
                <w14:textFill>
                  <w14:solidFill>
                    <w14:schemeClr w14:val="tx1"/>
                  </w14:solidFill>
                </w14:textFill>
              </w:rPr>
              <w:t>物等对环境的影响将会消失。</w:t>
            </w:r>
          </w:p>
          <w:p w14:paraId="0836578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2"/>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封井期井</w:t>
            </w:r>
            <w:r>
              <w:rPr>
                <w:rFonts w:ascii="Times New Roman" w:hAnsi="Times New Roman" w:cs="Times New Roman"/>
                <w:color w:val="000000" w:themeColor="text1"/>
                <w:sz w:val="24"/>
                <w:szCs w:val="24"/>
                <w:highlight w:val="none"/>
                <w:lang w:eastAsia="zh-CN"/>
                <w14:textFill>
                  <w14:solidFill>
                    <w14:schemeClr w14:val="tx1"/>
                  </w14:solidFill>
                </w14:textFill>
              </w:rPr>
              <w:t>场进行一</w:t>
            </w:r>
            <w:r>
              <w:rPr>
                <w:rFonts w:ascii="Times New Roman" w:hAnsi="Times New Roman" w:cs="Times New Roman"/>
                <w:color w:val="000000" w:themeColor="text1"/>
                <w:spacing w:val="-4"/>
                <w:sz w:val="24"/>
                <w:szCs w:val="24"/>
                <w:highlight w:val="none"/>
                <w:lang w:eastAsia="zh-CN"/>
                <w14:textFill>
                  <w14:solidFill>
                    <w14:schemeClr w14:val="tx1"/>
                  </w14:solidFill>
                </w14:textFill>
              </w:rPr>
              <w:t>系列清理工作，包括地面设施拆除、水泥灌注封</w:t>
            </w:r>
            <w:r>
              <w:rPr>
                <w:rFonts w:ascii="Times New Roman" w:hAnsi="Times New Roman" w:cs="Times New Roman"/>
                <w:color w:val="000000" w:themeColor="text1"/>
                <w:spacing w:val="-5"/>
                <w:sz w:val="24"/>
                <w:szCs w:val="24"/>
                <w:highlight w:val="none"/>
                <w:lang w:eastAsia="zh-CN"/>
                <w14:textFill>
                  <w14:solidFill>
                    <w14:schemeClr w14:val="tx1"/>
                  </w14:solidFill>
                </w14:textFill>
              </w:rPr>
              <w:t>井、井场清理等。在这期间，</w:t>
            </w:r>
            <w:r>
              <w:rPr>
                <w:rFonts w:ascii="Times New Roman" w:hAnsi="Times New Roman" w:cs="Times New Roman"/>
                <w:color w:val="000000" w:themeColor="text1"/>
                <w:spacing w:val="1"/>
                <w:sz w:val="24"/>
                <w:szCs w:val="24"/>
                <w:highlight w:val="none"/>
                <w:lang w:eastAsia="zh-CN"/>
                <w14:textFill>
                  <w14:solidFill>
                    <w14:schemeClr w14:val="tx1"/>
                  </w14:solidFill>
                </w14:textFill>
              </w:rPr>
              <w:t>将会产生少量扬尘和固体废物，本项目办公用房、材料房区、录井</w:t>
            </w:r>
            <w:r>
              <w:rPr>
                <w:rFonts w:ascii="Times New Roman" w:hAnsi="Times New Roman" w:cs="Times New Roman"/>
                <w:color w:val="000000" w:themeColor="text1"/>
                <w:sz w:val="24"/>
                <w:szCs w:val="24"/>
                <w:highlight w:val="none"/>
                <w:lang w:eastAsia="zh-CN"/>
                <w14:textFill>
                  <w14:solidFill>
                    <w14:schemeClr w14:val="tx1"/>
                  </w14:solidFill>
                </w14:textFill>
              </w:rPr>
              <w:t>房主要为</w:t>
            </w:r>
            <w:r>
              <w:rPr>
                <w:rFonts w:ascii="Times New Roman" w:hAnsi="Times New Roman" w:cs="Times New Roman"/>
                <w:color w:val="000000" w:themeColor="text1"/>
                <w:spacing w:val="1"/>
                <w:sz w:val="24"/>
                <w:szCs w:val="24"/>
                <w:highlight w:val="none"/>
                <w:lang w:eastAsia="zh-CN"/>
                <w14:textFill>
                  <w14:solidFill>
                    <w14:schemeClr w14:val="tx1"/>
                  </w14:solidFill>
                </w14:textFill>
              </w:rPr>
              <w:t>集装箱房，各类罐区、泥浆岩屑不落地处理区均为成套设施，根据建设单位提供的资料，本项目建筑垃圾产生量最大为200m</w:t>
            </w:r>
            <w:r>
              <w:rPr>
                <w:rFonts w:ascii="Times New Roman" w:hAnsi="Times New Roman" w:cs="Times New Roman"/>
                <w:color w:val="000000" w:themeColor="text1"/>
                <w:spacing w:val="1"/>
                <w:sz w:val="24"/>
                <w:szCs w:val="24"/>
                <w:highlight w:val="none"/>
                <w:vertAlign w:val="superscript"/>
                <w:lang w:eastAsia="zh-CN"/>
                <w14:textFill>
                  <w14:solidFill>
                    <w14:schemeClr w14:val="tx1"/>
                  </w14:solidFill>
                </w14:textFill>
              </w:rPr>
              <w:t>3</w:t>
            </w:r>
            <w:r>
              <w:rPr>
                <w:rFonts w:ascii="Times New Roman" w:hAnsi="Times New Roman" w:cs="Times New Roman"/>
                <w:color w:val="000000" w:themeColor="text1"/>
                <w:spacing w:val="-1"/>
                <w:sz w:val="24"/>
                <w:szCs w:val="24"/>
                <w:highlight w:val="none"/>
                <w:lang w:eastAsia="zh-CN"/>
                <w14:textFill>
                  <w14:solidFill>
                    <w14:schemeClr w14:val="tx1"/>
                  </w14:solidFill>
                </w14:textFill>
              </w:rPr>
              <w:t>。</w:t>
            </w:r>
          </w:p>
          <w:p w14:paraId="27C77569">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4" w:firstLineChars="200"/>
              <w:jc w:val="both"/>
              <w:textAlignment w:val="baseline"/>
              <w:rPr>
                <w:rFonts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pacing w:val="1"/>
                <w:sz w:val="24"/>
                <w:szCs w:val="24"/>
                <w:highlight w:val="none"/>
                <w:lang w:eastAsia="zh-CN"/>
                <w14:textFill>
                  <w14:solidFill>
                    <w14:schemeClr w14:val="tx1"/>
                  </w14:solidFill>
                </w14:textFill>
              </w:rPr>
              <w:t>在这期间，将会产生少量扬尘和固体废物。在封井施工操作</w:t>
            </w:r>
            <w:r>
              <w:rPr>
                <w:rFonts w:hint="eastAsia" w:ascii="宋体" w:hAnsi="宋体" w:eastAsia="宋体" w:cs="宋体"/>
                <w:color w:val="000000" w:themeColor="text1"/>
                <w:sz w:val="24"/>
                <w:szCs w:val="24"/>
                <w:highlight w:val="none"/>
                <w:lang w:eastAsia="zh-CN"/>
                <w14:textFill>
                  <w14:solidFill>
                    <w14:schemeClr w14:val="tx1"/>
                  </w14:solidFill>
                </w14:textFill>
              </w:rPr>
              <w:t>中应注意采</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取降尘措施，文明施工，防止散装物料的洒落与飘散，同时</w:t>
            </w:r>
            <w:r>
              <w:rPr>
                <w:rFonts w:hint="eastAsia" w:ascii="宋体" w:hAnsi="宋体" w:eastAsia="宋体" w:cs="宋体"/>
                <w:color w:val="000000" w:themeColor="text1"/>
                <w:sz w:val="24"/>
                <w:szCs w:val="24"/>
                <w:highlight w:val="none"/>
                <w:lang w:eastAsia="zh-CN"/>
                <w14:textFill>
                  <w14:solidFill>
                    <w14:schemeClr w14:val="tx1"/>
                  </w14:solidFill>
                </w14:textFill>
              </w:rPr>
              <w:t>在清理井场时控</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制扬尘的产生，尽可能降低对周边大气环境的影响。另外，</w:t>
            </w:r>
            <w:r>
              <w:rPr>
                <w:rFonts w:hint="eastAsia" w:ascii="宋体" w:hAnsi="宋体" w:eastAsia="宋体" w:cs="宋体"/>
                <w:color w:val="000000" w:themeColor="text1"/>
                <w:sz w:val="24"/>
                <w:szCs w:val="24"/>
                <w:highlight w:val="none"/>
                <w:lang w:eastAsia="zh-CN"/>
                <w14:textFill>
                  <w14:solidFill>
                    <w14:schemeClr w14:val="tx1"/>
                  </w14:solidFill>
                </w14:textFill>
              </w:rPr>
              <w:t>井场清理等工作</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还会产生部分废弃管线、废弃建筑残渣等固体废物，对这些</w:t>
            </w:r>
            <w:r>
              <w:rPr>
                <w:rFonts w:hint="eastAsia" w:ascii="宋体" w:hAnsi="宋体" w:eastAsia="宋体" w:cs="宋体"/>
                <w:color w:val="000000" w:themeColor="text1"/>
                <w:sz w:val="24"/>
                <w:szCs w:val="24"/>
                <w:highlight w:val="none"/>
                <w:lang w:eastAsia="zh-CN"/>
                <w14:textFill>
                  <w14:solidFill>
                    <w14:schemeClr w14:val="tx1"/>
                  </w14:solidFill>
                </w14:textFill>
              </w:rPr>
              <w:t>废弃管线、残渣</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等进行集中清理收集，管线外运经清洗后可回收再利用，废</w:t>
            </w:r>
            <w:r>
              <w:rPr>
                <w:rFonts w:hint="eastAsia" w:ascii="宋体" w:hAnsi="宋体" w:eastAsia="宋体" w:cs="宋体"/>
                <w:color w:val="000000" w:themeColor="text1"/>
                <w:sz w:val="24"/>
                <w:szCs w:val="24"/>
                <w:highlight w:val="none"/>
                <w:lang w:eastAsia="zh-CN"/>
                <w14:textFill>
                  <w14:solidFill>
                    <w14:schemeClr w14:val="tx1"/>
                  </w14:solidFill>
                </w14:textFill>
              </w:rPr>
              <w:t>弃建筑残渣外运</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至指定处理场填埋处理。固体废物的妥善处理，可以有效控</w:t>
            </w:r>
            <w:r>
              <w:rPr>
                <w:rFonts w:hint="eastAsia" w:ascii="宋体" w:hAnsi="宋体" w:eastAsia="宋体" w:cs="宋体"/>
                <w:color w:val="000000" w:themeColor="text1"/>
                <w:sz w:val="24"/>
                <w:szCs w:val="24"/>
                <w:highlight w:val="none"/>
                <w:lang w:eastAsia="zh-CN"/>
                <w14:textFill>
                  <w14:solidFill>
                    <w14:schemeClr w14:val="tx1"/>
                  </w14:solidFill>
                </w14:textFill>
              </w:rPr>
              <w:t>制对区域环境的</w:t>
            </w:r>
            <w:r>
              <w:rPr>
                <w:rFonts w:hint="eastAsia" w:ascii="宋体" w:hAnsi="宋体" w:eastAsia="宋体" w:cs="宋体"/>
                <w:color w:val="000000" w:themeColor="text1"/>
                <w:spacing w:val="-3"/>
                <w:sz w:val="24"/>
                <w:szCs w:val="24"/>
                <w:highlight w:val="none"/>
                <w:lang w:eastAsia="zh-CN"/>
                <w14:textFill>
                  <w14:solidFill>
                    <w14:schemeClr w14:val="tx1"/>
                  </w14:solidFill>
                </w14:textFill>
              </w:rPr>
              <w:t>影响。</w:t>
            </w:r>
          </w:p>
        </w:tc>
      </w:tr>
      <w:tr w14:paraId="0C68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77787834">
            <w:pPr>
              <w:pStyle w:val="22"/>
              <w:widowControl w:val="0"/>
              <w:kinsoku/>
              <w:spacing w:before="65" w:line="228" w:lineRule="auto"/>
              <w:jc w:val="center"/>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3"/>
                <w:sz w:val="24"/>
                <w:szCs w:val="24"/>
                <w:highlight w:val="none"/>
                <w:lang w:eastAsia="zh-CN"/>
                <w14:textFill>
                  <w14:solidFill>
                    <w14:schemeClr w14:val="tx1"/>
                  </w14:solidFill>
                </w14:textFill>
              </w:rPr>
              <w:t>运营期</w:t>
            </w:r>
          </w:p>
          <w:p w14:paraId="63A85800">
            <w:pPr>
              <w:pStyle w:val="22"/>
              <w:widowControl w:val="0"/>
              <w:kinsoku/>
              <w:spacing w:before="23" w:line="230" w:lineRule="auto"/>
              <w:jc w:val="center"/>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2"/>
                <w:sz w:val="24"/>
                <w:szCs w:val="24"/>
                <w:highlight w:val="none"/>
                <w:lang w:eastAsia="zh-CN"/>
                <w14:textFill>
                  <w14:solidFill>
                    <w14:schemeClr w14:val="tx1"/>
                  </w14:solidFill>
                </w14:textFill>
              </w:rPr>
              <w:t>生态环</w:t>
            </w:r>
            <w:r>
              <w:rPr>
                <w:rFonts w:ascii="Times New Roman" w:hAnsi="Times New Roman" w:cs="Times New Roman"/>
                <w:color w:val="000000" w:themeColor="text1"/>
                <w:spacing w:val="13"/>
                <w:sz w:val="24"/>
                <w:szCs w:val="24"/>
                <w:highlight w:val="none"/>
                <w:lang w:eastAsia="zh-CN"/>
                <w14:textFill>
                  <w14:solidFill>
                    <w14:schemeClr w14:val="tx1"/>
                  </w14:solidFill>
                </w14:textFill>
              </w:rPr>
              <w:t>境影响</w:t>
            </w:r>
            <w:r>
              <w:rPr>
                <w:rFonts w:ascii="Times New Roman" w:hAnsi="Times New Roman" w:cs="Times New Roman"/>
                <w:color w:val="000000" w:themeColor="text1"/>
                <w:spacing w:val="9"/>
                <w:sz w:val="24"/>
                <w:szCs w:val="24"/>
                <w:highlight w:val="none"/>
                <w:lang w:eastAsia="zh-CN"/>
                <w14:textFill>
                  <w14:solidFill>
                    <w14:schemeClr w14:val="tx1"/>
                  </w14:solidFill>
                </w14:textFill>
              </w:rPr>
              <w:t>分析</w:t>
            </w:r>
          </w:p>
        </w:tc>
        <w:tc>
          <w:tcPr>
            <w:tcW w:w="8290" w:type="dxa"/>
            <w:vAlign w:val="center"/>
          </w:tcPr>
          <w:p w14:paraId="4C44F49B">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76" w:firstLineChars="200"/>
              <w:jc w:val="both"/>
              <w:textAlignment w:val="baseline"/>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
                <w:sz w:val="24"/>
                <w:szCs w:val="24"/>
                <w:highlight w:val="none"/>
                <w:lang w:eastAsia="zh-CN"/>
                <w14:textFill>
                  <w14:solidFill>
                    <w14:schemeClr w14:val="tx1"/>
                  </w14:solidFill>
                </w14:textFill>
              </w:rPr>
              <w:t>本项目无营运期，试油结束后视试油结果决定是否转为生产井，若可转为生产井，则应当在产能开发建设前开展其环境影响评价工作。如发现该井不具开发价值或目的层不含油，则进行封井，</w:t>
            </w:r>
            <w:r>
              <w:rPr>
                <w:rFonts w:ascii="Times New Roman" w:hAnsi="Times New Roman" w:cs="Times New Roman"/>
                <w:color w:val="000000" w:themeColor="text1"/>
                <w:sz w:val="24"/>
                <w:szCs w:val="24"/>
                <w:highlight w:val="none"/>
                <w:lang w:eastAsia="zh-CN"/>
                <w14:textFill>
                  <w14:solidFill>
                    <w14:schemeClr w14:val="tx1"/>
                  </w14:solidFill>
                </w14:textFill>
              </w:rPr>
              <w:t>对井口按照《吐哈油田报废井封井实施细则（试行）》进行封井作业。</w:t>
            </w:r>
            <w:r>
              <w:rPr>
                <w:rFonts w:ascii="Times New Roman" w:hAnsi="Times New Roman" w:cs="Times New Roman"/>
                <w:color w:val="000000" w:themeColor="text1"/>
                <w:spacing w:val="-1"/>
                <w:sz w:val="24"/>
                <w:szCs w:val="24"/>
                <w:highlight w:val="none"/>
                <w:lang w:eastAsia="zh-CN"/>
                <w14:textFill>
                  <w14:solidFill>
                    <w14:schemeClr w14:val="tx1"/>
                  </w14:solidFill>
                </w14:textFill>
              </w:rPr>
              <w:t>封井后，人员撤离，区域内没有了人为的扰动，井场范围内的自然植被会逐渐得以恢复，有助于区域生态环境的改善。</w:t>
            </w:r>
          </w:p>
        </w:tc>
      </w:tr>
      <w:tr w14:paraId="77597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28D1F6F4">
            <w:pPr>
              <w:pStyle w:val="22"/>
              <w:widowControl w:val="0"/>
              <w:kinsoku/>
              <w:spacing w:before="65" w:line="228" w:lineRule="auto"/>
              <w:jc w:val="center"/>
              <w:rPr>
                <w:rFonts w:ascii="Times New Roman" w:hAnsi="Times New Roman" w:cs="Times New Roman"/>
                <w:color w:val="000000" w:themeColor="text1"/>
                <w:sz w:val="24"/>
                <w:szCs w:val="24"/>
                <w:highlight w:val="none"/>
                <w:lang w:eastAsia="zh-CN"/>
                <w14:textFill>
                  <w14:solidFill>
                    <w14:schemeClr w14:val="tx1"/>
                  </w14:solidFill>
                </w14:textFill>
              </w:rPr>
            </w:pPr>
            <w:r>
              <w:rPr>
                <w:rFonts w:ascii="Times New Roman" w:hAnsi="Times New Roman" w:cs="Times New Roman"/>
                <w:color w:val="000000" w:themeColor="text1"/>
                <w:spacing w:val="13"/>
                <w:sz w:val="24"/>
                <w:szCs w:val="24"/>
                <w:highlight w:val="none"/>
                <w:lang w:eastAsia="zh-CN"/>
                <w14:textFill>
                  <w14:solidFill>
                    <w14:schemeClr w14:val="tx1"/>
                  </w14:solidFill>
                </w14:textFill>
              </w:rPr>
              <w:t>选址选线环境合理性分析</w:t>
            </w:r>
          </w:p>
        </w:tc>
        <w:tc>
          <w:tcPr>
            <w:tcW w:w="8290" w:type="dxa"/>
          </w:tcPr>
          <w:p w14:paraId="19FBAAE3">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根据现场踏勘及井场平面布置，本项目2口探井钻试工程项目井场选址均位于准噶尔盆地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吉康油田吉阜</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1块，道路选址已尽可能避开野生植物生长密集地带；井口距离75m范围内无高压线及其它永久性设施，100m范围内无民宅，200m范围内无铁路、高速公路，500m范围内无学校、医院和大型油库等人口密集型、高危性场所。项目选址符合《钻前工程及井场布置技术要求》（SY/T5466-2013）中的相关规定。</w:t>
            </w:r>
          </w:p>
          <w:p w14:paraId="66D77B70">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ascii="Times New Roman" w:hAnsi="Times New Roman" w:eastAsia="宋体" w:cs="Times New Roman"/>
                <w:color w:val="000000" w:themeColor="text1"/>
                <w:sz w:val="24"/>
                <w:szCs w:val="24"/>
                <w:highlight w:val="none"/>
                <w:lang w:eastAsia="zh-CN"/>
                <w14:textFill>
                  <w14:solidFill>
                    <w14:schemeClr w14:val="tx1"/>
                  </w14:solidFill>
                </w14:textFill>
              </w:rPr>
            </w:pPr>
            <w:r>
              <w:rPr>
                <w:rFonts w:ascii="Times New Roman" w:hAnsi="Times New Roman" w:eastAsia="宋体" w:cs="Times New Roman"/>
                <w:color w:val="000000" w:themeColor="text1"/>
                <w:sz w:val="24"/>
                <w:szCs w:val="24"/>
                <w:highlight w:val="none"/>
                <w:lang w:eastAsia="zh-CN"/>
                <w14:textFill>
                  <w14:solidFill>
                    <w14:schemeClr w14:val="tx1"/>
                  </w14:solidFill>
                </w14:textFill>
              </w:rPr>
              <w:t>各</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井</w:t>
            </w:r>
            <w:r>
              <w:rPr>
                <w:rFonts w:ascii="Times New Roman" w:hAnsi="Times New Roman" w:eastAsia="宋体" w:cs="Times New Roman"/>
                <w:color w:val="000000" w:themeColor="text1"/>
                <w:sz w:val="24"/>
                <w:szCs w:val="24"/>
                <w:highlight w:val="none"/>
                <w:lang w:eastAsia="zh-CN"/>
                <w14:textFill>
                  <w14:solidFill>
                    <w14:schemeClr w14:val="tx1"/>
                  </w14:solidFill>
                </w14:textFill>
              </w:rPr>
              <w:t>场周边未发现永久性建（构）筑物，周边无地表水体、集中饮用水源、文物保护单位等环境敏感目标。各井场东、西、南三侧均设有简易公路通达，交通便利。井场选址均与最近道路保持合理安全距离，并位于空旷区域，有利于事故状态下的应急疏散与扩散。</w:t>
            </w:r>
          </w:p>
          <w:p w14:paraId="73A761A2">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14:textFill>
                  <w14:solidFill>
                    <w14:schemeClr w14:val="tx1"/>
                  </w14:solidFill>
                </w14:textFill>
              </w:rPr>
            </w:pPr>
            <w:r>
              <w:rPr>
                <w:rFonts w:ascii="Times New Roman" w:hAnsi="Times New Roman" w:cs="Times New Roman"/>
                <w:color w:val="000000" w:themeColor="text1"/>
                <w:sz w:val="24"/>
                <w:szCs w:val="24"/>
                <w:highlight w:val="none"/>
                <w:lang w:eastAsia="zh-CN"/>
                <w14:textFill>
                  <w14:solidFill>
                    <w14:schemeClr w14:val="tx1"/>
                  </w14:solidFill>
                </w14:textFill>
              </w:rPr>
              <w:t>项目周边无其他自然保护区、风景名胜区、饮用水水源保护区、基本草原、沙化土地封禁保护区等，且无以居住、医疗卫生、文化教育、科研、行政办公等为主要功能的区域及文物保护单位，不存在环境制约因素。项目占地已尽量减少占用植被地带，且所在区域人类活动频繁，区域内野生动物数量较少，环境影响程度低，钻试工程结束后，临时占地均</w:t>
            </w:r>
            <w:r>
              <w:rPr>
                <w:rFonts w:hint="eastAsia" w:ascii="Times New Roman" w:hAnsi="Times New Roman" w:cs="Times New Roman"/>
                <w:color w:val="000000" w:themeColor="text1"/>
                <w:sz w:val="24"/>
                <w:szCs w:val="24"/>
                <w:highlight w:val="none"/>
                <w:lang w:eastAsia="zh-CN"/>
                <w14:textFill>
                  <w14:solidFill>
                    <w14:schemeClr w14:val="tx1"/>
                  </w14:solidFill>
                </w14:textFill>
              </w:rPr>
              <w:t>可得</w:t>
            </w:r>
            <w:r>
              <w:rPr>
                <w:rFonts w:ascii="Times New Roman" w:hAnsi="Times New Roman" w:cs="Times New Roman"/>
                <w:color w:val="000000" w:themeColor="text1"/>
                <w:sz w:val="24"/>
                <w:szCs w:val="24"/>
                <w:highlight w:val="none"/>
                <w:lang w:eastAsia="zh-CN"/>
                <w14:textFill>
                  <w14:solidFill>
                    <w14:schemeClr w14:val="tx1"/>
                  </w14:solidFill>
                </w14:textFill>
              </w:rPr>
              <w:t>到释放和恢复，建设期间产生的废气、废水和噪声消失。</w:t>
            </w:r>
            <w:r>
              <w:rPr>
                <w:rFonts w:ascii="Times New Roman" w:hAnsi="Times New Roman" w:cs="Times New Roman"/>
                <w:color w:val="000000" w:themeColor="text1"/>
                <w:sz w:val="24"/>
                <w:szCs w:val="24"/>
                <w:highlight w:val="none"/>
                <w14:textFill>
                  <w14:solidFill>
                    <w14:schemeClr w14:val="tx1"/>
                  </w14:solidFill>
                </w14:textFill>
              </w:rPr>
              <w:t>综上所述，项目选址合理。</w:t>
            </w:r>
          </w:p>
          <w:p w14:paraId="1DB38B6F">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14:textFill>
                  <w14:solidFill>
                    <w14:schemeClr w14:val="tx1"/>
                  </w14:solidFill>
                </w14:textFill>
              </w:rPr>
            </w:pPr>
          </w:p>
          <w:p w14:paraId="11D90770">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14:textFill>
                  <w14:solidFill>
                    <w14:schemeClr w14:val="tx1"/>
                  </w14:solidFill>
                </w14:textFill>
              </w:rPr>
            </w:pPr>
          </w:p>
          <w:p w14:paraId="14FB1E94">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14:textFill>
                  <w14:solidFill>
                    <w14:schemeClr w14:val="tx1"/>
                  </w14:solidFill>
                </w14:textFill>
              </w:rPr>
            </w:pPr>
          </w:p>
          <w:p w14:paraId="1AA3AAF3">
            <w:pPr>
              <w:pStyle w:val="22"/>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ascii="Times New Roman" w:hAnsi="Times New Roman" w:cs="Times New Roman"/>
                <w:color w:val="000000" w:themeColor="text1"/>
                <w:sz w:val="24"/>
                <w:szCs w:val="24"/>
                <w:highlight w:val="none"/>
                <w14:textFill>
                  <w14:solidFill>
                    <w14:schemeClr w14:val="tx1"/>
                  </w14:solidFill>
                </w14:textFill>
              </w:rPr>
            </w:pPr>
          </w:p>
        </w:tc>
      </w:tr>
    </w:tbl>
    <w:p w14:paraId="3F402970">
      <w:pPr>
        <w:kinsoku/>
        <w:spacing w:line="219" w:lineRule="auto"/>
        <w:rPr>
          <w:rFonts w:ascii="Times New Roman" w:hAnsi="Times New Roman" w:eastAsia="宋体" w:cs="Times New Roman"/>
          <w:color w:val="000000" w:themeColor="text1"/>
          <w:sz w:val="24"/>
          <w:szCs w:val="24"/>
          <w:highlight w:val="none"/>
          <w14:textFill>
            <w14:solidFill>
              <w14:schemeClr w14:val="tx1"/>
            </w14:solidFill>
          </w14:textFill>
        </w:rPr>
        <w:sectPr>
          <w:footerReference r:id="rId5" w:type="default"/>
          <w:pgSz w:w="11906" w:h="16840"/>
          <w:pgMar w:top="1440" w:right="1803" w:bottom="1440" w:left="1803" w:header="850" w:footer="992" w:gutter="0"/>
          <w:pgBorders>
            <w:top w:val="none" w:sz="0" w:space="0"/>
            <w:left w:val="none" w:sz="0" w:space="0"/>
            <w:bottom w:val="none" w:sz="0" w:space="0"/>
            <w:right w:val="none" w:sz="0" w:space="0"/>
          </w:pgBorders>
          <w:pgNumType w:start="1"/>
          <w:cols w:space="720" w:num="1"/>
        </w:sectPr>
      </w:pPr>
    </w:p>
    <w:p w14:paraId="1B8286C8">
      <w:pPr>
        <w:pStyle w:val="2"/>
        <w:kinsoku/>
        <w:rPr>
          <w:rFonts w:ascii="Times New Roman" w:hAnsi="Times New Roman" w:cs="Times New Roman" w:eastAsiaTheme="minorEastAsia"/>
          <w:color w:val="000000" w:themeColor="text1"/>
          <w:sz w:val="30"/>
          <w:szCs w:val="30"/>
          <w:highlight w:val="none"/>
          <w:lang w:eastAsia="zh-CN"/>
          <w14:textFill>
            <w14:solidFill>
              <w14:schemeClr w14:val="tx1"/>
            </w14:solidFill>
          </w14:textFill>
        </w:rPr>
      </w:pPr>
      <w:bookmarkStart w:id="21" w:name="_Hlk136794953"/>
      <w:r>
        <w:rPr>
          <w:rFonts w:ascii="Times New Roman" w:hAnsi="Times New Roman" w:cs="Times New Roman" w:eastAsiaTheme="minorEastAsia"/>
          <w:color w:val="000000" w:themeColor="text1"/>
          <w:sz w:val="30"/>
          <w:szCs w:val="30"/>
          <w:highlight w:val="none"/>
          <w:lang w:eastAsia="zh-CN"/>
          <w14:textFill>
            <w14:solidFill>
              <w14:schemeClr w14:val="tx1"/>
            </w14:solidFill>
          </w14:textFill>
        </w:rPr>
        <w:t>五、主要生态环境保护措施</w:t>
      </w:r>
    </w:p>
    <w:bookmarkEnd w:id="21"/>
    <w:tbl>
      <w:tblPr>
        <w:tblStyle w:val="17"/>
        <w:tblW w:w="52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8594"/>
      </w:tblGrid>
      <w:tr w14:paraId="65A4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79795901">
            <w:pPr>
              <w:widowControl w:val="0"/>
              <w:kinsoku/>
              <w:spacing w:line="360" w:lineRule="auto"/>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施工期生态环境保护措施</w:t>
            </w:r>
          </w:p>
        </w:tc>
        <w:tc>
          <w:tcPr>
            <w:tcW w:w="4728" w:type="pct"/>
          </w:tcPr>
          <w:p w14:paraId="3F587DF7">
            <w:pPr>
              <w:pStyle w:val="26"/>
              <w:keepNext w:val="0"/>
              <w:keepLines w:val="0"/>
              <w:pageBreakBefore w:val="0"/>
              <w:widowControl w:val="0"/>
              <w:numPr>
                <w:ilvl w:val="0"/>
                <w:numId w:val="8"/>
              </w:numPr>
              <w:kinsoku/>
              <w:wordWrap/>
              <w:overflowPunct/>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生态环境保护措施</w:t>
            </w:r>
          </w:p>
          <w:p w14:paraId="40E53749">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22" w:name="_Hlk189400813"/>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单位及施工单位应严格执行本次评价提出的生态环境保护措施，并确保各项保护措施与钻试工程同时设计、同时施工、同时使用。项目占地合理规划，尽量避让植被较多的区域；严格控制施工作业带宽度，减少临时占地面积；在工程施工过程中和施工结束后，及时对施工场地进行平整，以便后期自然恢复；工程结束后，做好施工场地的恢复工作。</w:t>
            </w:r>
          </w:p>
          <w:p w14:paraId="3486BB18">
            <w:pPr>
              <w:pStyle w:val="26"/>
              <w:keepNext w:val="0"/>
              <w:keepLines w:val="0"/>
              <w:pageBreakBefore w:val="0"/>
              <w:widowControl w:val="0"/>
              <w:kinsoku/>
              <w:wordWrap/>
              <w:overflowPunct/>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bookmarkStart w:id="23" w:name="_Hlk140837423"/>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1.1林地植被保护措施</w:t>
            </w:r>
          </w:p>
          <w:p w14:paraId="2FC45DD0">
            <w:pPr>
              <w:keepNext w:val="0"/>
              <w:keepLines w:val="0"/>
              <w:pageBreakBefore w:val="0"/>
              <w:widowControl/>
              <w:kinsoku/>
              <w:wordWrap/>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①项目生活营地及其进场道路等临时占地</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尽量</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避开植被较丰富的区域，避免破坏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林地</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植物。</w:t>
            </w:r>
          </w:p>
          <w:p w14:paraId="1B4FC317">
            <w:pPr>
              <w:keepNext w:val="0"/>
              <w:keepLines w:val="0"/>
              <w:pageBreakBefore w:val="0"/>
              <w:widowControl/>
              <w:kinsoku/>
              <w:wordWrap/>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②施工过程中严格规定各类工作人员的活动范围，使之限于在各工区和生活区范围内活动，最大限度减少对荒漠植物生存环境的践踏破坏。</w:t>
            </w:r>
          </w:p>
          <w:p w14:paraId="5DFC0A9E">
            <w:pPr>
              <w:keepNext w:val="0"/>
              <w:keepLines w:val="0"/>
              <w:pageBreakBefore w:val="0"/>
              <w:widowControl/>
              <w:kinsoku/>
              <w:wordWrap/>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确保各环保设施正常运行，避免各种污染物对土壤环境的影响从而进一步影响其上部生长的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林地</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植被。</w:t>
            </w:r>
          </w:p>
          <w:p w14:paraId="29303142">
            <w:pPr>
              <w:keepNext w:val="0"/>
              <w:keepLines w:val="0"/>
              <w:pageBreakBefore w:val="0"/>
              <w:widowControl/>
              <w:kinsoku/>
              <w:wordWrap/>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井场施工在开挖地表、平整土地时，临时堆土必须进行拦挡，施工完毕，应尽快整理施工现场。</w:t>
            </w:r>
          </w:p>
          <w:p w14:paraId="38DE6CFF">
            <w:pPr>
              <w:keepNext w:val="0"/>
              <w:keepLines w:val="0"/>
              <w:pageBreakBefore w:val="0"/>
              <w:widowControl/>
              <w:kinsoku/>
              <w:wordWrap/>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强化风险意识，制定切实可行的风险防范与应急预案，最大限度降低风险概率，避免可能发生的油品泄漏事故对荒漠野生植物生存环境造成威胁。</w:t>
            </w:r>
          </w:p>
          <w:p w14:paraId="48083912">
            <w:pPr>
              <w:keepNext w:val="0"/>
              <w:keepLines w:val="0"/>
              <w:pageBreakBefore w:val="0"/>
              <w:widowControl/>
              <w:kinsoku/>
              <w:wordWrap/>
              <w:overflowPunct/>
              <w:topLine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⑥</w:t>
            </w:r>
            <w:r>
              <w:rPr>
                <w:rFonts w:hint="default" w:ascii="Times New Roman" w:hAnsi="Times New Roman" w:eastAsia="宋体" w:cs="Times New Roman"/>
                <w:color w:val="000000" w:themeColor="text1"/>
                <w:sz w:val="24"/>
                <w:szCs w:val="24"/>
                <w:highlight w:val="none"/>
                <w:lang w:val="zh-CN" w:eastAsia="zh-CN"/>
                <w14:textFill>
                  <w14:solidFill>
                    <w14:schemeClr w14:val="tx1"/>
                  </w14:solidFill>
                </w14:textFill>
              </w:rPr>
              <w:t>加强对施工人员和职工的教育，强化保护野生植物的观念，不得随意踩踏野生植物。</w:t>
            </w:r>
          </w:p>
          <w:bookmarkEnd w:id="22"/>
          <w:bookmarkEnd w:id="23"/>
          <w:p w14:paraId="7E82377C">
            <w:pPr>
              <w:pStyle w:val="26"/>
              <w:keepNext w:val="0"/>
              <w:keepLines w:val="0"/>
              <w:pageBreakBefore w:val="0"/>
              <w:widowControl w:val="0"/>
              <w:kinsoku/>
              <w:wordWrap/>
              <w:overflowPunct/>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1.2对野生动物的生态环保措施要求</w:t>
            </w:r>
          </w:p>
          <w:p w14:paraId="649788FB">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本项目位于准噶尔盆地区域，地貌以沙丘为主，地表植被以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稀疏</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乔木、灌木和草本植物为主，野生动物资源有限，种类主要为适应干旱气候的小型鸟类（如麻雀）、啮齿类（如鼠类）、爬行动物（如荒漠沙蜥、快步麻蜥）和其他小型兽类。各井场周边人类活动较少，区域生态原貌保存较好，具备一定的野生动物栖息条件。因此，在项目施工过程中应特别注意对野生动物活动环境的保护，最大限度减缓人为施工干扰，落实以下生态保护措施：</w:t>
            </w:r>
          </w:p>
          <w:p w14:paraId="246EE59E">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①施工期避让原则</w:t>
            </w:r>
          </w:p>
          <w:p w14:paraId="4D6BAF78">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结合本区域主要野生动物（如小型鸟类、爬行类等）的活动特点及迁徙规律，施工单位在组织</w:t>
            </w:r>
            <w:r>
              <w:rPr>
                <w:rFonts w:hint="default" w:ascii="Times New Roman" w:hAnsi="Times New Roman" w:eastAsia="宋体" w:cs="Times New Roman"/>
                <w:color w:val="000000" w:themeColor="text1"/>
                <w:sz w:val="24"/>
                <w:szCs w:val="24"/>
                <w14:textFill>
                  <w14:solidFill>
                    <w14:schemeClr w14:val="tx1"/>
                  </w14:solidFill>
                </w14:textFill>
              </w:rPr>
              <w:t>钻前准备、设备进场和试油放喷等高强度、高噪声施工作业时，必须严格执行时间避让措施。明确要求施工须避开每年的3-5月以及9-10月（该时段为区域野生动物的主要繁殖期和部分物种的迁徙期）。严禁在上述生态敏感时段开展大范围土方剥</w:t>
            </w:r>
            <w:r>
              <w:rPr>
                <w:rFonts w:ascii="宋体" w:hAnsi="宋体" w:eastAsia="宋体" w:cs="宋体"/>
                <w:color w:val="000000" w:themeColor="text1"/>
                <w:sz w:val="24"/>
                <w:szCs w:val="24"/>
                <w14:textFill>
                  <w14:solidFill>
                    <w14:schemeClr w14:val="tx1"/>
                  </w14:solidFill>
                </w14:textFill>
              </w:rPr>
              <w:t>离、打桩及产生突发性强噪声的施工作业，以避免因施工噪声、照明、车辆进出等人为活动严重干扰野生动物的正常繁衍、营巢与迁徙节律</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7377CF7">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②噪声与光照控制</w:t>
            </w:r>
          </w:p>
          <w:p w14:paraId="66C1D88F">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施工期应优先采用低噪声设备。钻井设备夜间作业时应采用定向照明，避免强光直射周边自然区域，防止对野生动物视觉和作息造成干扰。</w:t>
            </w:r>
          </w:p>
          <w:p w14:paraId="451BBD6C">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③禁止捕猎及使用毒性化学物品</w:t>
            </w:r>
          </w:p>
          <w:p w14:paraId="543EC422">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严禁施工人员猎捕、驱赶野生动物，严禁私自携带犬类及其他宠物进场，严禁使用鼠药、杀虫剂等对野生动物构成直接毒害风险的药物。</w:t>
            </w:r>
          </w:p>
          <w:p w14:paraId="06F72C6A">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④运输及道路管理</w:t>
            </w:r>
          </w:p>
          <w:p w14:paraId="536F8CBD">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施工车辆运输应限速通行，夜间行车使用近光灯，防止惊扰动物或发生撞击事件。施工便道布设应避开动物活动通道，必要时设置临时警示标识。</w:t>
            </w:r>
          </w:p>
          <w:p w14:paraId="79770B45">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⑤加强环保教育与日常巡查</w:t>
            </w:r>
          </w:p>
          <w:p w14:paraId="66F84362">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施工单位应开展野生动物保护专题培训，</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增强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施工人员生态保护意识。项目管理单位应设立生态保护巡查岗，定期检查是否存在破坏野生动物生境行为，并建立违规问责机制。</w:t>
            </w:r>
          </w:p>
          <w:p w14:paraId="5D3E0767">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⑥生态恢复同步考虑</w:t>
            </w:r>
          </w:p>
          <w:p w14:paraId="2FAEDD79">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工程完工后，在实施土地恢复与植被恢复时，应优先恢复本地优势灌草植物种类，为小型野生动物提供可利用的觅食与隐蔽环境，促进区域生态功能的恢复。</w:t>
            </w:r>
          </w:p>
          <w:p w14:paraId="627349BD">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7BE0CF3E">
            <w:pPr>
              <w:pStyle w:val="26"/>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1.3井场、道路临时占地保护措施要求</w:t>
            </w:r>
          </w:p>
          <w:p w14:paraId="7A7B79D4">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①无道路区域作业车辆“一”字形行驶。</w:t>
            </w:r>
          </w:p>
          <w:p w14:paraId="6DFDA10A">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②加强对临时占地地表土的保护</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，对</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临时性占地进行合理规划，严格控制占地面积，尽量选择在植被稀少的区域。</w:t>
            </w:r>
          </w:p>
          <w:p w14:paraId="3617F38C">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③本项目临时占地期满后，占地单位需对临时占地进行清理，拆除临时建筑物，清除废弃材料，结合地形恢复场地并平整土地，做到工完料净场地清。</w:t>
            </w:r>
          </w:p>
          <w:p w14:paraId="4FE6FF86">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施工过程中严格规定车辆和各类工作人员的活动范围，所有车辆采用“一”字形作业法，严格控制和管理车辆及重型机械的运行范围，使之限于在施工区范围内活动，最大限度减少对植物生存环境的踩踏破坏，避免破坏植物。</w:t>
            </w:r>
          </w:p>
          <w:p w14:paraId="6BE5A453">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⑤做好施工场地的恢复工作，并按相关规定对植被损失进行生态经济补偿。</w:t>
            </w:r>
          </w:p>
          <w:p w14:paraId="426ACAB3">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w:t>
            </w:r>
            <w:r>
              <w:rPr>
                <w:rFonts w:hint="eastAsia" w:ascii="Times New Roman" w:hAnsi="Times New Roman" w:eastAsia="宋体" w:cs="Times New Roman"/>
                <w:color w:val="000000" w:themeColor="text1"/>
                <w:sz w:val="24"/>
                <w:szCs w:val="24"/>
                <w:lang w:eastAsia="zh-CN"/>
                <w14:textFill>
                  <w14:solidFill>
                    <w14:schemeClr w14:val="tx1"/>
                  </w14:solidFill>
                </w14:textFill>
              </w:rPr>
              <w:t>井场平整剥离的表土需单独集中堆放于临时堆土区。为防止风蚀起沙和水土流失，堆土场周边必须人工夯筑高度 ≥0.3m 的挡土围堰；同时，堆土表面必须采用密目防尘网进行100% 严密苫盖。该防护措施须严格维持至完井清场、表土回覆时方可拆除。</w:t>
            </w:r>
          </w:p>
          <w:p w14:paraId="63DDEC87">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⑦</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井场选址及井场布置严格按照《钻前工程及井场布置技术要求》（SY/T5466-2013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要求执行。</w:t>
            </w:r>
          </w:p>
          <w:p w14:paraId="53C7D1EE">
            <w:pPr>
              <w:pStyle w:val="26"/>
              <w:keepNext w:val="0"/>
              <w:keepLines w:val="0"/>
              <w:pageBreakBefore w:val="0"/>
              <w:widowControl w:val="0"/>
              <w:kinsoku/>
              <w:wordWrap/>
              <w:overflowPunct/>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1.4道路工程施工作业带、井场施工作业范围管控要求</w:t>
            </w:r>
          </w:p>
          <w:p w14:paraId="33CD7DF7">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①对油田内的道路合理规划，巡检道路严格控制施工作业带（开挖）面积，并尽量沿道路纵向平行布设，以减少地表破坏，减少土方的暴露面积。</w:t>
            </w:r>
          </w:p>
          <w:p w14:paraId="6D6632C9">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②尽量利用原有公路，沿已有车辙行驶，严格执行先修路，后开钻的原则进行勘探。杜绝车辆乱碾乱轧的情况发生。不随意开设便道。</w:t>
            </w:r>
          </w:p>
          <w:p w14:paraId="04B742DB">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③施工机械不得在道路以外行驶和作业，保持地表不被扰动。</w:t>
            </w:r>
          </w:p>
          <w:p w14:paraId="058C8C86">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④施工结束后，临时用地一律平整土地，清除用地范围内的一切固体废弃物。</w:t>
            </w:r>
          </w:p>
          <w:p w14:paraId="7BF7B6A9">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⑤道路施工的临时用地禁止设置在农田内。</w:t>
            </w:r>
          </w:p>
          <w:p w14:paraId="69276442">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⑥施工期间应划定施工活动范围，在施工作业带边界拉彩条旗</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以示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车辆行驶边界，严格控制和管理运输车辆及重型机械的运行线路和范围，不得离开运输道路及随意行驶，由专人负责，以防破坏土壤和植被，加剧土地荒漠化。</w:t>
            </w:r>
          </w:p>
          <w:p w14:paraId="273E235A">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⑦井场施工在开挖地表、平整土地时，临时堆土必须进行拦挡，施工完毕，应尽快整理施工现场。</w:t>
            </w:r>
          </w:p>
          <w:p w14:paraId="22A506FA">
            <w:pPr>
              <w:pStyle w:val="26"/>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生态恢复方案</w:t>
            </w:r>
          </w:p>
          <w:p w14:paraId="300957FF">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根据《关于加强沙区建设项目环境影响评价工作的通知》、《陆上石油天然气开采业绿色矿山建设规范》（DZ/T 0317-2018）的有关要求进行生态恢复。施工前需对占地范围内表土进行剥离，剥离后用砂石料对井场和探临道路进行铺垫，剥离表土单独堆放，用于完井后临时占地的恢复。施工结束后，施工单位应负责及时清理现场，做到井场整洁、无杂物，完井后施工机械、设备及时撤离，对生活营地和探临道路等占地进行清理平整，废水和固体废物全部妥善处置，禁止现场遗留；尽量利用井场及探临道路施工时产生的表层土对临时占地进行覆盖，植被主要靠自然恢复。施工为分段施工，建议“边施工、边修复”。具体措施如下：</w:t>
            </w:r>
          </w:p>
          <w:p w14:paraId="7181ADCC">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①井场生态恢复措施</w:t>
            </w:r>
          </w:p>
          <w:p w14:paraId="16F554FC">
            <w:pPr>
              <w:pStyle w:val="26"/>
              <w:widowControl w:val="0"/>
              <w:kinsoku/>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根据《陆上石油天然气开采业绿色矿山建设规范》（DZ/T0317-2018）所有施工范围需进行生态环境保护与恢复治理。</w:t>
            </w:r>
            <w:r>
              <w:rPr>
                <w:rFonts w:ascii="宋体" w:hAnsi="宋体" w:eastAsia="宋体" w:cs="宋体"/>
                <w:color w:val="000000" w:themeColor="text1"/>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lang w:eastAsia="zh-CN"/>
                <w14:textFill>
                  <w14:solidFill>
                    <w14:schemeClr w14:val="tx1"/>
                  </w14:solidFill>
                </w14:textFill>
              </w:rPr>
              <w:t>完井后，建设单位应严格按照“工完、料尽、场地清”的要求，彻底清除各类生产设施、防渗膜及建筑垃圾 。随后进行生态恢复，具体步骤如下：首先清除铺垫的砂石料，对被机械压实的场地进行深翻松土（深度约20-30cm），以消除土壤板结。随后，将前期集中保护的剥离表土（0.2m厚度）均匀回铺于井场和临时道路表面 。鉴于干旱区自然恢复极慢，严禁单纯依赖自然恢复。表土回铺后，应采用人工辅助撒播的方式恢复植被。草种必须选择适应当地耐旱、耐盐碱的乡土物种，建议采用本区域原生的白皮锦鸡儿（Reaumuria songarica）、骆驼蓬（Peganum harmala）种子，或搭配冰草、沙蒿等耐旱草籽进行混播。撒播后应进行轻度覆土耙平。播种结束后的 1~2 年内是植被定植的关键期，建设单位或其委托的管护方必须落实人工管护及定期浇水措施（每年至少集中浇水 2 次，建议安排在春旱萌芽期及秋季），以切实提高幼苗的成活率及抗逆性。在易发生风蚀的裸露起沙地段，播种后表面应铺设草方格或采用碎石、砾石进行覆盖，以重建地表砾幕层，达到防风固沙、保墒蓄水的作用 。</w:t>
            </w:r>
          </w:p>
          <w:p w14:paraId="5CCA1459">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②道路生态恢复措施</w:t>
            </w:r>
          </w:p>
          <w:p w14:paraId="4F7B7B24">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开挖路基及取弃土工程均应根据道路施工进度有计划地进行表土剥离并保存。工程结束后，弃土应及时回填、平整、压实，并利用堆存的表土对临时占地进行植被和景观恢复，与原有地貌和景观协调。临时占地的土壤恢复按照《土壤环境质量农用地土壤污染风险管控标准（试行）》（GB15618-2018）管理控制。</w:t>
            </w:r>
          </w:p>
          <w:p w14:paraId="4F2FE1A1">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③水土流失防治措施</w:t>
            </w:r>
          </w:p>
          <w:p w14:paraId="7AEFB740">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的施工范围进行施工作业，不得随意开辟施工便道。施工车辆不得随意驶离便道。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14:paraId="59560351">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④闭井期生态修复措施</w:t>
            </w:r>
          </w:p>
          <w:p w14:paraId="53CA1803">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根据《矿山生态环境保护与恢复治理技术规范（试行）》</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HJ651-2013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陆上石油天然气开采业绿色矿山建设规范》（DZ/T0317-2018）和《废弃井封井回填技术指南（试行）》中的相关要求，勘探活动结束后，应根据景观相似原则，对勘探活动造成的土壤、植被和地表景观破坏进行恢复。</w:t>
            </w:r>
          </w:p>
          <w:p w14:paraId="0B07FFEA">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1）对水文地质条件及道路安全有影响或重要建筑物附近的钻孔或坑井应予回填封闭，并恢复其原有生态功能。</w:t>
            </w:r>
          </w:p>
          <w:p w14:paraId="4CF158CC">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2）井场道路用地应严格控制占地面积和范围。</w:t>
            </w:r>
          </w:p>
          <w:p w14:paraId="61E86B11">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3）道路建设及取弃土工程，均应根据道路施工进度有计划地进行表土剥离并保存，必要时应设置截排水沟、挡土墙等相应保护措施。井场道路取弃土工程结束后，弃土场应及时回填、整平、压实，并利用堆存的表土进行植被和景观恢复。道路建设施工结束后，临时占地应及时恢复，与原有地貌和景观协调。</w:t>
            </w:r>
          </w:p>
          <w:p w14:paraId="2C6046AA">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4）对项目区域不再使用的各项临时建（构）筑物和基础设施应全部拆除，并进行景观和植被恢复。转为其他用途的，应开展污染场地调查、风险评估与修复治理。</w:t>
            </w:r>
          </w:p>
          <w:p w14:paraId="0483B949">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5）试油期伴生气燃烧放空应远离耕地、植被等。</w:t>
            </w:r>
          </w:p>
          <w:p w14:paraId="4C67CA9C">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6）勘探后的封闭井应将井口封堵完整，采取遮挡和防护措施，并设立警示牌。</w:t>
            </w:r>
          </w:p>
          <w:p w14:paraId="44D49924">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废弃井封井回填技术指南（试行）》中的相关要求，封井回填：回填前，资料不全的井，应根据现场情况，开展调查工作，摸清废弃井（筒）管现状。回填时，应根据不同环境风险等级对应的要求开展回填工作，或采用更严格的回填要求进行回填；回填材料应无污染，不得使用可能对地下水造成污染的材料。回填后，应开展井盖封堵或密闭填充，确保地表污染物不进入井内，各层位地下水不连通。建设单位将作为生态修复实施的主体。</w:t>
            </w:r>
          </w:p>
          <w:p w14:paraId="31E1439A">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⑤</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植被恢复</w:t>
            </w:r>
          </w:p>
          <w:p w14:paraId="36189A07">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项目区土壤及生态背景</w:t>
            </w:r>
          </w:p>
          <w:p w14:paraId="37872C9B">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土壤类型与性状：本项目建设区占地类型主要为其他草地，土壤存在不同程度的盐渍化现象 。</w:t>
            </w:r>
          </w:p>
          <w:p w14:paraId="021F5166">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植被现状：区域植被属于典型荒漠灌草植被带，覆盖度约为10%，主要物种为白皮锦鸡儿、骆驼蓬等耐旱植物。</w:t>
            </w:r>
          </w:p>
          <w:p w14:paraId="024C4C4B">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撒播草籽措施的可行性论证</w:t>
            </w:r>
          </w:p>
          <w:p w14:paraId="61D9CEA1">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人工辅助加速恢复：由于该区域气候干燥、自然恢复能力有限，单纯依靠自然恢复周期较长。通过在回铺表土后人工撒播当地优势物种（如骆驼蓬、白皮锦鸡儿等）的种子，可以有效提高地表植被的盖度。</w:t>
            </w:r>
          </w:p>
          <w:p w14:paraId="5812187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技术实施可行性：选择在春秋季降水相对较多的时段进行撒播，并利用回铺表土的松散结构进行覆土，能够显著提高种子的成活率。这种“自然恢复为主、人工辅助为辅”的策略，能够将生态恢复周期由原来的5-8 年缩短至3-5 年，技术上成熟可靠，经济上合理可行。</w:t>
            </w:r>
          </w:p>
          <w:p w14:paraId="2B03C515">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⑥</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补偿措施</w:t>
            </w:r>
          </w:p>
          <w:p w14:paraId="4AAC89A6">
            <w:pPr>
              <w:pStyle w:val="26"/>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依法依规办理用地审批手续，并对因项目实施造成的生态损失予以经济补偿，足额缴纳生态经济补偿费。</w:t>
            </w:r>
          </w:p>
          <w:p w14:paraId="58298908">
            <w:pPr>
              <w:keepNext w:val="0"/>
              <w:keepLines w:val="0"/>
              <w:pageBreakBefore w:val="0"/>
              <w:widowControl/>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上述生态环境保护措施均为技术可行、经济合理、稳定可靠、便于实施的成熟措施，在油气田勘探过程中得到广泛应用。采取上述措施后，可有效减轻对野生动植物及水土流失的不利影响，施工过程中对周围生态环境的破坏可降低至可接受水平。</w:t>
            </w:r>
          </w:p>
          <w:p w14:paraId="4C7AEF0B">
            <w:pPr>
              <w:keepNext w:val="0"/>
              <w:keepLines w:val="0"/>
              <w:pageBreakBefore w:val="0"/>
              <w:widowControl/>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2.井场防沙治沙防治措施</w:t>
            </w:r>
          </w:p>
          <w:p w14:paraId="23314B7F">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次评价要求建设单位严格按照《中华人民共和国防沙治沙法》（2018）、《关于加强沙区建设项目环境影响评价工作的通知》（新环环评发〔2020〕138号）和《新疆维吾尔自治区实施〈中华人民共和国防沙治沙法〉办法》中有关规定，执行以下防沙治沙措施：</w:t>
            </w:r>
          </w:p>
          <w:p w14:paraId="3529FA17">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①加强宣传《中华人民共和国防沙治沙法》和《新疆维吾尔自治区实施〈中华人民共和国防沙治沙法〉办法》，使施工人员知法、懂法、守法，自觉保护林草植被，自觉履行防治义务；</w:t>
            </w:r>
          </w:p>
          <w:p w14:paraId="266C0B9D">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②优化施工组织，缩短施工时间，避免在大风天气作业，避免造成土壤风蚀影响；</w:t>
            </w:r>
          </w:p>
          <w:p w14:paraId="1A0655E9">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③严格控制井场、道路等工程的临时占地，按施工方案严格控制扰动范围；</w:t>
            </w:r>
          </w:p>
          <w:p w14:paraId="001A9740">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④道路施工时，划定施工活动范围，严格控制和管理车辆及重型机械的运行范围，所有车辆采用“一”字型作业法，临探道路应选取最短路径与油田现有公路相连接，不开辟新路，以减少风蚀沙化活动的范围；</w:t>
            </w:r>
          </w:p>
          <w:p w14:paraId="6A8BDEDD">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⑤为减少因施工破坏植被造成局部区域的沙化，本环评要求建设单位和施工人员须征得当地林业管理部门的批准后方可开展施工作业。建议尽可能完整保存拟建选址区域的原生植株，在施工期结束后恢复原有植被或栽种同类沙地植物，最大限度减少沙化的可能性；</w:t>
            </w:r>
          </w:p>
          <w:p w14:paraId="12F1A40C">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⑥对于无植被生长的纯沙地区域，在施工结束时建议对遭受扰动的临时占地区域设置草方格进行固沙，阻止沙化进一步发展；</w:t>
            </w:r>
          </w:p>
          <w:p w14:paraId="5B2F1914">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⑦施工过程中及施工期结束土壤环境恢复过程中发现临时占用土地出现沙化或者沙化程度加重的，应当及时报告当地生态环境部门和人民政府，并根据专业意见开展防沙治沙措施；</w:t>
            </w:r>
          </w:p>
          <w:p w14:paraId="38E2015D">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通过采取上述措施，可将项目建设对所在区域土壤环境造成的水土流失和沙化影响降至可接受水平。</w:t>
            </w:r>
          </w:p>
          <w:p w14:paraId="515B123E">
            <w:pPr>
              <w:pStyle w:val="26"/>
              <w:keepNext w:val="0"/>
              <w:keepLines w:val="0"/>
              <w:pageBreakBefore w:val="0"/>
              <w:widowControl w:val="0"/>
              <w:kinsoku/>
              <w:wordWrap/>
              <w:overflowPunct/>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bookmarkStart w:id="24" w:name="OLE_LINK48"/>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3.大气污染防治措施</w:t>
            </w:r>
          </w:p>
          <w:bookmarkEnd w:id="24"/>
          <w:p w14:paraId="52D1C016">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bookmarkStart w:id="25" w:name="_Hlk176185340"/>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锅炉废气治理措施及有效性分析</w:t>
            </w:r>
          </w:p>
          <w:p w14:paraId="79D066D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采取措施：①源头控制：严格采购和使用低硫优质生物质成型颗粒燃料（根据检测报告，含硫量S控制在0.022%以内）；②燃烧控制： 采用低氮燃烧技术（优化风配、分级燃烧）；③末端治理：采用“水幕预除尘（湿法除尘）+耐高温布袋除尘器”组合处理工艺，尾气经30m高排气筒排放。</w:t>
            </w:r>
          </w:p>
          <w:p w14:paraId="77056833">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本项目二氧化硫达标的核心在于源头低硫燃料控制。末端配备的水幕预除尘设施主要功能为颗粒物的预处理，同时参考生态环境部《排放源统计调查产排污核算方法和系数手册》中4430工业锅炉行业系数，该湿法除尘过程对二氧化硫具有客观的协同脱除作用（核算效率取15%）。在“极低含硫量+协同脱除”的双重保障下，核算二氧化硫排放浓度可稳定满足《锅炉大气污染物排放标准》（GB13271-2014）中表3燃气锅炉特别排放限值要求（SO₂≤50mg/m³）。此外，低氮燃烧技术可有效削减热力型NOx产生；布袋除尘器对颗粒物的拦截效率高达99%以上，有效保障了各项污染物的全面达标排放。该组合工艺技术成熟、依据充分，治理措施切实有效。</w:t>
            </w:r>
          </w:p>
          <w:p w14:paraId="7998CC65">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施工扬尘治理措施及有效性分析</w:t>
            </w:r>
          </w:p>
          <w:p w14:paraId="2FE535B8">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采取措施：施工场地及进场道路定时洒水抑尘；易起尘物料（如土方堆场）采用防尘网或防尘布进行100%覆盖；施工车辆限制车速、按既定路线行驶；遇四级以上大风天气停止土方作业。</w:t>
            </w:r>
          </w:p>
          <w:p w14:paraId="1B67E93E">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上述措施为《防治城市扬尘污染技术规范》中推荐的标准防尘手段。洒水与物理遮盖相结合，可有效增加粉尘含水率及沉降速率，使起尘量削减70%以上。措施落实后，可确保厂界颗粒物无组织排放浓度满足《大气污染物综合排放标准》（GB16297-1996）限值要求，对周围环境空气影响较小，措施可行有效。</w:t>
            </w:r>
          </w:p>
          <w:p w14:paraId="74E8DCC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生物质燃料及灰渣储运环节颗粒物防治措施及有效性分析</w:t>
            </w:r>
          </w:p>
          <w:p w14:paraId="292859E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 xml:space="preserve">采取措施：①燃料储运控制：生物质成型燃料统一储存在封闭的燃料棚内，严禁露天堆放；装卸过程中尽量降低落差以减少粉尘逸散，运输车辆采用密闭车厢或覆盖严密的篷布。②灰渣及除尘灰密闭处理：布袋除尘器配套清灰连锁装置，确保粉尘在密封状态下进入集灰桶；灰渣在装卸与清运前必须进行洒水抑尘，使其含水率保持在15%-20%左右的润湿状态。③场区综合保洁：锅炉房及燃料储存区周边建立定期清扫与洒水制度，及时清理散落的燃料碎屑和灰渣；清灰作业时操作人员按规范佩戴防尘口罩。 </w:t>
            </w:r>
          </w:p>
          <w:p w14:paraId="7761D041">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上述措施涵盖了从燃料进场、储存到灰渣产出、清运的全过程扬尘管控。通过“封闭储存+密闭运输+降低落差”从物理空间上切断了风流起尘的途径；在灰渣处理环节采取的“密闭收集+洒水增湿（15%-20%含水率）”是防范二次扬尘的成熟工艺，能有效增加粉尘颗粒的粘附力与沉降率；配合厂区定期的清扫保洁，从源头极大削减了无组织颗粒物的产生量。各项防尘降尘措施协同发力，可确保厂界颗粒物无组织排放浓度稳定满足《大气污染物综合排放标准》（GB16297-1996）无组织排放监控限值要求，整体防治方案经济、技术可行且切实有效。</w:t>
            </w:r>
          </w:p>
          <w:p w14:paraId="43DDC1C3">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非甲烷总烃（NMHC）及伴生气治理措施及有效性分析</w:t>
            </w:r>
          </w:p>
          <w:p w14:paraId="0AEA2AEB">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采取措施：①试油阶段产生的伴生气通过专用排气管线引至放喷点，经充分点火燃烧后放空；②油基岩屑暂存管理：二开阶段产生的油基岩屑采用全密闭防渗的专用岩屑方罐暂存，严禁露天散堆，并做到及时清运；③原油临时储罐实行严格密闭管理，减少呼吸阀开启频次。</w:t>
            </w:r>
          </w:p>
          <w:p w14:paraId="6984439A">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试油伴生气点火燃烧是油气勘探行业标准的安全与环保处理工艺，可将98%以上的可燃烃类转化为无毒的二氧化碳和水；针对暂存期油基岩屑和原油储罐挥发的非甲烷总烃，采用全密闭专用容器从物理空间上彻底切断了VOCs的大面积逸散路径。在项目区开阔的大气扩散条件下，周界外非甲烷总烃浓度能够稳定满足《陆上石油天然气开采工业大气污染物排放标准》（GB39728-2020）无组织排放限值，防范措施严密有效。</w:t>
            </w:r>
          </w:p>
          <w:p w14:paraId="77C94AC2">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柴油发电机废气治理措施及有效性分析</w:t>
            </w:r>
          </w:p>
          <w:p w14:paraId="43B862E0">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采取措施：柴油发电机仅作为应急备用电源（非连续作业）；强制要求使用符合国家标准的低硫清洁柴油；定期对发电机进行维修保养，保证燃烧效率。</w:t>
            </w:r>
          </w:p>
          <w:p w14:paraId="6F2D3651">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有效性分析：发电机污染源强极小且属于偶发性、间歇性排放。通过源头提升油品质量，结合设备维护保持高燃烧效率，可大幅减少NOx、颗粒物等尾气产生。该措施从源头到运行管理落实了环保要求，能确保场界污染物满足《大气污染物综合排放标准》（GB16297-1996）无组织排放监控限值，治理措施简便有效。</w:t>
            </w:r>
          </w:p>
          <w:bookmarkEnd w:id="25"/>
          <w:p w14:paraId="3489A6BB">
            <w:pPr>
              <w:keepNext w:val="0"/>
              <w:keepLines w:val="0"/>
              <w:pageBreakBefore w:val="0"/>
              <w:widowControl/>
              <w:numPr>
                <w:ilvl w:val="0"/>
                <w:numId w:val="9"/>
              </w:numPr>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bookmarkStart w:id="26" w:name="_Hlk136795800"/>
            <w:r>
              <w:rPr>
                <w:rFonts w:hint="default" w:ascii="Times New Roman" w:hAnsi="Times New Roman" w:eastAsia="宋体" w:cs="Times New Roman"/>
                <w:b/>
                <w:bCs/>
                <w:color w:val="000000" w:themeColor="text1"/>
                <w:sz w:val="24"/>
                <w:szCs w:val="24"/>
                <w:highlight w:val="none"/>
                <w14:textFill>
                  <w14:solidFill>
                    <w14:schemeClr w14:val="tx1"/>
                  </w14:solidFill>
                </w14:textFill>
              </w:rPr>
              <w:t>水污染防治措施</w:t>
            </w:r>
          </w:p>
          <w:p w14:paraId="1FCE1D97">
            <w:pPr>
              <w:keepNext w:val="0"/>
              <w:keepLines w:val="0"/>
              <w:pageBreakBefore w:val="0"/>
              <w:widowControl/>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4.1生活污水</w:t>
            </w:r>
          </w:p>
          <w:p w14:paraId="4151F289">
            <w:pPr>
              <w:keepNext w:val="0"/>
              <w:keepLines w:val="0"/>
              <w:pageBreakBefore w:val="0"/>
              <w:widowControl/>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4.1.1生活污水基本情况及其去向</w:t>
            </w:r>
          </w:p>
          <w:p w14:paraId="7FD252F3">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施工期生活污水产生量约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307.2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排入</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防渗污水坑</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暂存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，定期由吸污罐车抽出后运至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污水处理厂处理。</w:t>
            </w:r>
          </w:p>
          <w:p w14:paraId="42C524AC">
            <w:pPr>
              <w:keepNext w:val="0"/>
              <w:keepLines w:val="0"/>
              <w:pageBreakBefore w:val="0"/>
              <w:widowControl/>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4.1.2生活污水拉运方案的可行性分析</w:t>
            </w:r>
          </w:p>
          <w:p w14:paraId="201C9FA5">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项目区域距离</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吉木萨尔县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市政污水处理厂运输距离较短，施工队操作较为方便，施工期生活污水主要污染物成分与污水处理厂处理污染物成分一致，同时避免了生活污水乱排，符合环保要求，因此生活污水拉运方案具有可行性。</w:t>
            </w:r>
          </w:p>
          <w:p w14:paraId="05254986">
            <w:pPr>
              <w:keepNext w:val="0"/>
              <w:keepLines w:val="0"/>
              <w:pageBreakBefore w:val="0"/>
              <w:widowControl/>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4.1.3市政污水处理厂的依托可行性分析</w:t>
            </w:r>
          </w:p>
          <w:p w14:paraId="02823F39">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本项目生活污水经收集后由拉运至吉木萨尔县污水处理厂。吉木萨尔县污水处理厂工程位于吉木萨尔县城东北15km处（张家庄子村北500m）。设计规模为处理污水量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/d处理设施，实际建设规模为处理污水量1万m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/d。污水处理工艺采用“强化脱氮改良A</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/O+絮凝沉淀滤布滤池工艺”，污泥处理工艺采用带式压榨脱水一体机浓缩脱水，消毒工艺采用紫外线消毒。项目处理能力1万m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/d，目前实际处理量在0.6～0.7万m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尾水输入北部荒漠地带做生态林用水。吉木萨尔县污水处理厂由新疆绿格洁瑞环境检测技术有限公司进行验收，验收监测期间，尾水排放浓度符合《城镇污水处理厂污染物排放标准》（GB18918-2002）中的一级A标准的要求。本项目施工期生活污水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总共为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307.2</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，吉木萨尔县污水处理厂剩余处理能力0.3～0.4万m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/d，可以满足本工程施工期生活污水处理需求。</w:t>
            </w:r>
          </w:p>
          <w:p w14:paraId="59C02142">
            <w:pPr>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4.2试油废水</w:t>
            </w:r>
          </w:p>
          <w:p w14:paraId="3AC8B99F">
            <w:pPr>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4.2.1试油废水基本情况及其去向</w:t>
            </w:r>
          </w:p>
          <w:p w14:paraId="4185CEAC">
            <w:pPr>
              <w:keepNext w:val="0"/>
              <w:keepLines w:val="0"/>
              <w:pageBreakBefore w:val="0"/>
              <w:widowControl w:val="0"/>
              <w:kinsoku/>
              <w:wordWrap/>
              <w:overflowPunct/>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试油期产生的洗井废水和压裂返排液产生量36150m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由专用方罐收集后，拉运至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吉康</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脱水站进行处理，处理达标后全部回注，不外排。</w:t>
            </w:r>
          </w:p>
          <w:p w14:paraId="45566205">
            <w:pPr>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4.2.2</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吉康</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脱水站的依托可行性分析</w:t>
            </w:r>
          </w:p>
          <w:p w14:paraId="6AF57A98">
            <w:pPr>
              <w:widowControl w:val="0"/>
              <w:numPr>
                <w:ilvl w:val="0"/>
                <w:numId w:val="10"/>
              </w:numPr>
              <w:snapToGrid w:val="0"/>
              <w:spacing w:line="500" w:lineRule="exact"/>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废水衔接方案</w:t>
            </w:r>
          </w:p>
          <w:p w14:paraId="33815F8B">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为油气勘探评价井，具有作业周期短、废水产生呈间歇性且试油结果存在不确定性的特点。因此，现阶段修建固定的废水输送管网不具备技术和经济可行性。本项目与吉康脱水站的废水衔接方案为“密闭防渗专用罐车拉运”：试油期产生的洗井废水和压裂返排液（总量约35150m³）首先由专用密闭防渗方罐在井场进行收集暂存，随后委托具有相应资质的专业运输车队，采用防渗防漏的专用罐车，每日高频次拉运至约9km外的吉康脱水站。运输全过程密闭，坚决杜绝跑冒滴漏现象，确保废水安全、无缝衔接入脱水站处理系统。</w:t>
            </w:r>
          </w:p>
          <w:p w14:paraId="1B68BBA1">
            <w:pPr>
              <w:widowControl w:val="0"/>
              <w:numPr>
                <w:ilvl w:val="0"/>
                <w:numId w:val="10"/>
              </w:numPr>
              <w:snapToGrid w:val="0"/>
              <w:spacing w:line="500" w:lineRule="exact"/>
              <w:ind w:left="0" w:leftChars="0"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容量匹配性验证分析</w:t>
            </w:r>
          </w:p>
          <w:p w14:paraId="6449D11D">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 xml:space="preserve"> ①依托站现状处理能力：吉康脱水站现有的一体化污水处理撬装装置设计处理规模为2000m³/d。根据吉康脱水站近期的实际运行及监测数据（调试运营期实测负荷记录），目前该站日均接收处理萨探1块周边井组的废水总量约为600~800m³/d。这意味着吉康脱水站目前的实际剩余有效处理能力大于1000m³/d，且系统运行稳定，出水水质达标。 ②本项目负荷匹配：本项目两口井试油期废水（主要为压裂返排液）总产生量约为35150m³。由于压裂返排具有明显的阶段性特征（约300天试油期内），经核算，本项目试油阶段废水最大日返排峰值约为120m³/d。③匹配性结论：本项目废水最大日产生量（120m³/d）远小于吉康脱水站的实际剩余处理能力（&gt;1000m³/d）。项目废水的并入不会对吉康脱水站的污水处理系统造成水力或负荷冲击。脱水站完全有充足的裕量接收并处理本项目的试油废水，容量匹配性验证充分，依托方案合理可行。</w:t>
            </w:r>
          </w:p>
          <w:p w14:paraId="57749638">
            <w:pPr>
              <w:widowControl w:val="0"/>
              <w:numPr>
                <w:ilvl w:val="0"/>
                <w:numId w:val="10"/>
              </w:numPr>
              <w:snapToGrid w:val="0"/>
              <w:spacing w:line="500" w:lineRule="exact"/>
              <w:ind w:left="0" w:leftChars="0"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依托吉康脱水站废水处理工艺适配性及转运管控要求</w:t>
            </w:r>
          </w:p>
          <w:p w14:paraId="5885E33E">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 吉康脱水站废水处理工艺适配性分析：本项目试油期产生的废水主要为洗井废水及压裂返排液，其主要污染因子为COD、石油类及悬浮物等。吉康脱水站现有的废水处理系统专门针对油田采出水及试油作业废水设计，采用“自然沉降除油+混凝气浮+多级过滤”的成熟工艺，对石油类及悬浮杂质具有极高的去除效率。经水质比对，本项目产生的废水水质特征与吉康脱水站常规处理介质完全相符，不涉及重金属或其他难降解有毒有害物质；因此，本项目废水依托吉康脱水站集中处理，在水质处理工艺及处理规模上均完全适配，依托切实可行。</w:t>
            </w:r>
          </w:p>
          <w:p w14:paraId="713E81B8">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 废水拉运罐车防渗、防漏及应急装置要求：为坚决杜绝废水在拉运途中发生跑冒滴漏等二次污染风险，本项目废水转运必须使用专用的密闭吸污罐车。明确要求拉运罐车罐体内部必须内衬 HDPE膜，以有效防止高盐、高矿化度废水对罐体的腐蚀渗漏。同时，每辆转运车必须随车配备专用的应急封堵工具（如木楔、橡胶垫、堵漏带等）以及吸油毡、铁锹等应急物资。出场前须严格检查卸料阀门密闭性，严禁车辆“带病”上路。</w:t>
            </w:r>
          </w:p>
          <w:p w14:paraId="1DFB22E0">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 落实严格的废水转运台账制度： 建设单位及运输单位必须建立严格的废水转运台账与联单管理制度，形成管理闭环。转运台账必须逐车、详细记录废水的运输时间、拉运数量（体积及吨位）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以及</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最终的接收单位（吉康脱水站）。台账需由发运方、运输司机及接收方三方签字确认存档，备生态环境部门日常监督检查，确保项目废水去向100%可追溯。</w:t>
            </w:r>
          </w:p>
          <w:p w14:paraId="4675A2AC">
            <w:pPr>
              <w:keepNext w:val="0"/>
              <w:keepLines w:val="0"/>
              <w:pageBreakBefore w:val="0"/>
              <w:widowControl w:val="0"/>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4.3废水运输至</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吉康</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脱水站处理后回注的保障性措施</w:t>
            </w:r>
          </w:p>
          <w:p w14:paraId="29EE7C46">
            <w:pPr>
              <w:keepNext w:val="0"/>
              <w:keepLines w:val="0"/>
              <w:pageBreakBefore w:val="0"/>
              <w:widowControl/>
              <w:kinsoku/>
              <w:wordWrap/>
              <w:overflowPunct/>
              <w:autoSpaceDE w:val="0"/>
              <w:autoSpaceDN w:val="0"/>
              <w:bidi w:val="0"/>
              <w:adjustRightInd w:val="0"/>
              <w:snapToGrid w:val="0"/>
              <w:spacing w:line="360" w:lineRule="auto"/>
              <w:ind w:left="0" w:right="0" w:firstLine="496"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据《关于进一步加强石油天然气行业环境影响评价管理的通知》（环办环评函</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〔2019〕910号）要求：“涉及废水回注的，应当论证回注的环境可行性，采取切实可</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行的地下水污染防治和监控措施，不得回注与油气开采无关的</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废水，严禁造成地下水</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污染。在相关行业污染控制标准发布前，回注的开采废水应当</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经处理并符合《碎屑岩</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油藏注水水质推荐指标及分析方法》（SY/T</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5329</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-2022</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中</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III</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级</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标准要求后回注，同步采取切</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实可行措施防治污染。回注目的层应当为地质构造封闭地层，</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一般应当回注到现役油</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气藏或枯竭废弃油气藏”。</w:t>
            </w:r>
          </w:p>
          <w:p w14:paraId="3D225076">
            <w:pPr>
              <w:keepNext w:val="0"/>
              <w:keepLines w:val="0"/>
              <w:pageBreakBefore w:val="0"/>
              <w:widowControl/>
              <w:kinsoku/>
              <w:wordWrap/>
              <w:overflowPunct/>
              <w:autoSpaceDE w:val="0"/>
              <w:autoSpaceDN w:val="0"/>
              <w:bidi w:val="0"/>
              <w:adjustRightInd w:val="0"/>
              <w:snapToGrid w:val="0"/>
              <w:spacing w:line="360" w:lineRule="auto"/>
              <w:ind w:left="0" w:right="0" w:firstLine="500" w:firstLineChars="200"/>
              <w:jc w:val="both"/>
              <w:textAlignment w:val="baseline"/>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本项目回注的采出水经</w:t>
            </w:r>
            <w:r>
              <w:rPr>
                <w:rFonts w:hint="eastAsia" w:ascii="Times New Roman" w:hAnsi="Times New Roman" w:eastAsia="宋体" w:cs="Times New Roman"/>
                <w:color w:val="000000" w:themeColor="text1"/>
                <w:spacing w:val="5"/>
                <w:sz w:val="24"/>
                <w:szCs w:val="24"/>
                <w:highlight w:val="none"/>
                <w:lang w:eastAsia="zh-CN"/>
                <w14:textFill>
                  <w14:solidFill>
                    <w14:schemeClr w14:val="tx1"/>
                  </w14:solidFill>
                </w14:textFill>
              </w:rPr>
              <w:t>吉康</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脱水站一体化污水撬装装置处理达到《碎屑岩油藏注</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水水质指标技术要求及分析方法》（</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SY</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/T5329</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-2022）</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中</w:t>
            </w:r>
            <w:r>
              <w:rPr>
                <w:rFonts w:hint="eastAsia" w:ascii="Times New Roman" w:hAnsi="Times New Roman" w:eastAsia="宋体" w:cs="Times New Roman"/>
                <w:color w:val="000000" w:themeColor="text1"/>
                <w:spacing w:val="-1"/>
                <w:sz w:val="24"/>
                <w:szCs w:val="24"/>
                <w:highlight w:val="none"/>
                <w:lang w:val="en-US" w:eastAsia="zh-CN"/>
                <w14:textFill>
                  <w14:solidFill>
                    <w14:schemeClr w14:val="tx1"/>
                  </w14:solidFill>
                </w14:textFill>
              </w:rPr>
              <w:t>III</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级</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标准要求，根据建设单位提供的</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开发利用方案，回注层系与本次拟开发含油层位于同一层系，属于</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现役油藏，地质构</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造封闭，回注深度可达到3500m</w:t>
            </w:r>
            <w:r>
              <w:rPr>
                <w:rFonts w:hint="eastAsia" w:ascii="Times New Roman" w:hAnsi="Times New Roman" w:eastAsia="宋体" w:cs="Times New Roman"/>
                <w:color w:val="000000" w:themeColor="text1"/>
                <w:spacing w:val="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3800m，回注油层与地下水处于不同层系，远远超出</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含水层的深度。本项目采取了切实可行的地下水污染防治措施，</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在钻井过程中对潜水</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所在的地层进行了水泥浆固井，固井深度远远超过了承压水埋深</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，可以确保井壁不会</w:t>
            </w: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发生侧漏，有效隔离含水层与井内回注水的交换，有效保护地下</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水层。</w:t>
            </w:r>
          </w:p>
          <w:bookmarkEnd w:id="26"/>
          <w:p w14:paraId="6875A032">
            <w:pPr>
              <w:keepNext w:val="0"/>
              <w:keepLines w:val="0"/>
              <w:pageBreakBefore w:val="0"/>
              <w:widowControl/>
              <w:tabs>
                <w:tab w:val="left" w:pos="4584"/>
              </w:tabs>
              <w:kinsoku/>
              <w:wordWrap/>
              <w:overflowPunct/>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pacing w:val="-2"/>
                <w:sz w:val="24"/>
                <w:szCs w:val="24"/>
                <w:highlight w:val="none"/>
                <w:lang w:eastAsia="zh-CN"/>
                <w14:textFill>
                  <w14:solidFill>
                    <w14:schemeClr w14:val="tx1"/>
                  </w14:solidFill>
                </w14:textFill>
              </w:rPr>
              <w:t>5.地下水和土壤环境保护措施</w:t>
            </w:r>
          </w:p>
          <w:p w14:paraId="038F9C7F">
            <w:pPr>
              <w:keepNext w:val="0"/>
              <w:keepLines w:val="0"/>
              <w:pageBreakBefore w:val="0"/>
              <w:widowControl/>
              <w:tabs>
                <w:tab w:val="left" w:pos="4584"/>
              </w:tabs>
              <w:kinsoku/>
              <w:wordWrap/>
              <w:overflowPunct/>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根据《环境影响评价技术导则 地下水环境》（HJ610-2016）和《石油化工工程防渗技术规范》（GB/T50934-2013）的相关规定，本工程拟对厂区进行分区地下水污染防治。</w:t>
            </w:r>
          </w:p>
          <w:p w14:paraId="3773710E">
            <w:pPr>
              <w:keepNext w:val="0"/>
              <w:keepLines w:val="0"/>
              <w:pageBreakBefore w:val="0"/>
              <w:widowControl/>
              <w:tabs>
                <w:tab w:val="left" w:pos="4584"/>
              </w:tabs>
              <w:kinsoku/>
              <w:wordWrap/>
              <w:overflowPunct/>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1）施工期间钻井井场分为重点防渗区、一般防渗区和简单防渗区。其中柴油储罐、发电房、废料场、不落地系统、泥浆储罐区、岩屑储罐区、钻井井口、危险废物及其油品储存区等区域为重点防渗区，采用防渗膜进行防渗，满足等效黏土防渗层Mb≥6.0m，K＜1×10</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-7</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cm/s的防渗性能；</w:t>
            </w:r>
            <w:r>
              <w:rPr>
                <w:rFonts w:hint="eastAsia" w:ascii="Times New Roman" w:hAnsi="Times New Roman" w:eastAsia="宋体" w:cs="Times New Roman"/>
                <w:color w:val="000000" w:themeColor="text1"/>
                <w:spacing w:val="-4"/>
                <w:sz w:val="24"/>
                <w:szCs w:val="24"/>
                <w:highlight w:val="none"/>
                <w:lang w:eastAsia="zh-CN"/>
                <w14:textFill>
                  <w14:solidFill>
                    <w14:schemeClr w14:val="tx1"/>
                  </w14:solidFill>
                </w14:textFill>
              </w:rPr>
              <w:t>防渗收集池</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为一般防渗区，铺设HDPE防渗膜（等效黏土防渗层Mb≥1.5m，K≤1×10</w:t>
            </w:r>
            <w:r>
              <w:rPr>
                <w:rFonts w:hint="default" w:ascii="Times New Roman" w:hAnsi="Times New Roman" w:eastAsia="宋体" w:cs="Times New Roman"/>
                <w:color w:val="000000" w:themeColor="text1"/>
                <w:spacing w:val="-4"/>
                <w:sz w:val="24"/>
                <w:szCs w:val="24"/>
                <w:highlight w:val="none"/>
                <w:vertAlign w:val="superscript"/>
                <w:lang w:eastAsia="zh-CN"/>
                <w14:textFill>
                  <w14:solidFill>
                    <w14:schemeClr w14:val="tx1"/>
                  </w14:solidFill>
                </w14:textFill>
              </w:rPr>
              <w:t>-7</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cm/s）；水罐区、库房和值班房等其他区域为简单防渗区。</w:t>
            </w:r>
          </w:p>
          <w:p w14:paraId="62C4F369">
            <w:pPr>
              <w:keepNext w:val="0"/>
              <w:keepLines w:val="0"/>
              <w:pageBreakBefore w:val="0"/>
              <w:widowControl/>
              <w:tabs>
                <w:tab w:val="left" w:pos="4584"/>
              </w:tabs>
              <w:kinsoku/>
              <w:wordWrap/>
              <w:overflowPunct/>
              <w:autoSpaceDE w:val="0"/>
              <w:autoSpaceDN w:val="0"/>
              <w:bidi w:val="0"/>
              <w:adjustRightInd w:val="0"/>
              <w:snapToGrid w:val="0"/>
              <w:spacing w:line="360" w:lineRule="auto"/>
              <w:ind w:left="0" w:right="0" w:firstLine="464" w:firstLineChars="200"/>
              <w:jc w:val="both"/>
              <w:textAlignment w:val="baseline"/>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试油井场分为重点防渗区和简单防渗区。其中发电房、采出液储罐、试油废水罐为重点防渗区，铺设HDPE防渗膜，值班房为简单防渗区。分区防渗情况详见表5-1。</w:t>
            </w:r>
          </w:p>
          <w:p w14:paraId="38BAEE5E">
            <w:pPr>
              <w:pStyle w:val="5"/>
              <w:keepNext/>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表5-1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lang w:eastAsia="zh-CN"/>
                <w14:textFill>
                  <w14:solidFill>
                    <w14:schemeClr w14:val="tx1"/>
                  </w14:solidFill>
                </w14:textFill>
              </w:rPr>
              <w:t>项目分区防渗表</w:t>
            </w:r>
          </w:p>
          <w:tbl>
            <w:tblPr>
              <w:tblStyle w:val="29"/>
              <w:tblW w:w="83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00"/>
              <w:gridCol w:w="1264"/>
              <w:gridCol w:w="2837"/>
              <w:gridCol w:w="3177"/>
            </w:tblGrid>
            <w:tr w14:paraId="56DEA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tcBorders>
                    <w:top w:val="single" w:color="auto" w:sz="4" w:space="0"/>
                    <w:left w:val="single" w:color="auto" w:sz="0" w:space="0"/>
                  </w:tcBorders>
                  <w:vAlign w:val="center"/>
                </w:tcPr>
                <w:p w14:paraId="76576336">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时期</w:t>
                  </w:r>
                </w:p>
              </w:tc>
              <w:tc>
                <w:tcPr>
                  <w:tcW w:w="1264" w:type="dxa"/>
                  <w:tcBorders>
                    <w:top w:val="single" w:color="auto" w:sz="4" w:space="0"/>
                  </w:tcBorders>
                  <w:vAlign w:val="center"/>
                </w:tcPr>
                <w:p w14:paraId="1186115F">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防渗分区</w:t>
                  </w:r>
                </w:p>
              </w:tc>
              <w:tc>
                <w:tcPr>
                  <w:tcW w:w="2837" w:type="dxa"/>
                  <w:tcBorders>
                    <w:top w:val="single" w:color="auto" w:sz="4" w:space="0"/>
                  </w:tcBorders>
                  <w:vAlign w:val="center"/>
                </w:tcPr>
                <w:p w14:paraId="5F551BA3">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生产单元</w:t>
                  </w:r>
                </w:p>
              </w:tc>
              <w:tc>
                <w:tcPr>
                  <w:tcW w:w="3177" w:type="dxa"/>
                  <w:tcBorders>
                    <w:top w:val="single" w:color="auto" w:sz="4" w:space="0"/>
                    <w:right w:val="single" w:color="auto" w:sz="4" w:space="0"/>
                  </w:tcBorders>
                  <w:vAlign w:val="center"/>
                </w:tcPr>
                <w:p w14:paraId="5F1229E9">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防渗性能要求</w:t>
                  </w:r>
                </w:p>
              </w:tc>
            </w:tr>
            <w:tr w14:paraId="46D7D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restart"/>
                  <w:tcBorders>
                    <w:left w:val="single" w:color="auto" w:sz="4" w:space="0"/>
                  </w:tcBorders>
                  <w:vAlign w:val="center"/>
                </w:tcPr>
                <w:p w14:paraId="33772F0C">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钻井井场</w:t>
                  </w:r>
                </w:p>
              </w:tc>
              <w:tc>
                <w:tcPr>
                  <w:tcW w:w="1264" w:type="dxa"/>
                  <w:vAlign w:val="center"/>
                </w:tcPr>
                <w:p w14:paraId="7E54BD8A">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重点防渗区</w:t>
                  </w:r>
                </w:p>
              </w:tc>
              <w:tc>
                <w:tcPr>
                  <w:tcW w:w="2837" w:type="dxa"/>
                  <w:vAlign w:val="center"/>
                </w:tcPr>
                <w:p w14:paraId="13F863B4">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柴油罐区、发电机房、不落地系统、泥浆罐区、岩屑罐区、危险废物、油品储存区</w:t>
                  </w:r>
                </w:p>
              </w:tc>
              <w:tc>
                <w:tcPr>
                  <w:tcW w:w="3177" w:type="dxa"/>
                  <w:tcBorders>
                    <w:right w:val="single" w:color="auto" w:sz="4" w:space="0"/>
                  </w:tcBorders>
                  <w:vAlign w:val="center"/>
                </w:tcPr>
                <w:p w14:paraId="3B159A93">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Cs w:val="18"/>
                      <w:highlight w:val="none"/>
                      <w:lang w:val="zh-CN" w:eastAsia="zh-CN"/>
                      <w14:textFill>
                        <w14:solidFill>
                          <w14:schemeClr w14:val="tx1"/>
                        </w14:solidFill>
                      </w14:textFill>
                    </w:rPr>
                    <w:t>等效黏土防渗层Mb≥</w:t>
                  </w:r>
                  <w:r>
                    <w:rPr>
                      <w:rFonts w:hint="default" w:ascii="Times New Roman" w:hAnsi="Times New Roman" w:eastAsia="宋体" w:cs="Times New Roman"/>
                      <w:color w:val="000000" w:themeColor="text1"/>
                      <w:szCs w:val="18"/>
                      <w:highlight w:val="none"/>
                      <w:lang w:eastAsia="zh-CN"/>
                      <w14:textFill>
                        <w14:solidFill>
                          <w14:schemeClr w14:val="tx1"/>
                        </w14:solidFill>
                      </w14:textFill>
                    </w:rPr>
                    <w:t>6.0</w:t>
                  </w:r>
                  <w:r>
                    <w:rPr>
                      <w:rFonts w:hint="default" w:ascii="Times New Roman" w:hAnsi="Times New Roman" w:eastAsia="宋体" w:cs="Times New Roman"/>
                      <w:color w:val="000000" w:themeColor="text1"/>
                      <w:szCs w:val="18"/>
                      <w:highlight w:val="none"/>
                      <w:lang w:val="zh-CN" w:eastAsia="zh-CN"/>
                      <w14:textFill>
                        <w14:solidFill>
                          <w14:schemeClr w14:val="tx1"/>
                        </w14:solidFill>
                      </w14:textFill>
                    </w:rPr>
                    <w:t>m，K＜1×10</w:t>
                  </w:r>
                  <w:r>
                    <w:rPr>
                      <w:rFonts w:hint="default" w:ascii="Times New Roman" w:hAnsi="Times New Roman" w:eastAsia="宋体" w:cs="Times New Roman"/>
                      <w:color w:val="000000" w:themeColor="text1"/>
                      <w:szCs w:val="18"/>
                      <w:highlight w:val="none"/>
                      <w:vertAlign w:val="superscript"/>
                      <w:lang w:val="zh-CN" w:eastAsia="zh-CN"/>
                      <w14:textFill>
                        <w14:solidFill>
                          <w14:schemeClr w14:val="tx1"/>
                        </w14:solidFill>
                      </w14:textFill>
                    </w:rPr>
                    <w:t>-7</w:t>
                  </w:r>
                  <w:r>
                    <w:rPr>
                      <w:rFonts w:hint="default" w:ascii="Times New Roman" w:hAnsi="Times New Roman" w:eastAsia="宋体" w:cs="Times New Roman"/>
                      <w:color w:val="000000" w:themeColor="text1"/>
                      <w:szCs w:val="18"/>
                      <w:highlight w:val="none"/>
                      <w:lang w:val="zh-CN" w:eastAsia="zh-CN"/>
                      <w14:textFill>
                        <w14:solidFill>
                          <w14:schemeClr w14:val="tx1"/>
                        </w14:solidFill>
                      </w14:textFill>
                    </w:rPr>
                    <w:t>cm/s，或参照GB</w:t>
                  </w:r>
                  <w:r>
                    <w:rPr>
                      <w:rFonts w:hint="default" w:ascii="Times New Roman" w:hAnsi="Times New Roman" w:eastAsia="宋体" w:cs="Times New Roman"/>
                      <w:color w:val="000000" w:themeColor="text1"/>
                      <w:szCs w:val="18"/>
                      <w:highlight w:val="none"/>
                      <w:lang w:eastAsia="zh-CN"/>
                      <w14:textFill>
                        <w14:solidFill>
                          <w14:schemeClr w14:val="tx1"/>
                        </w14:solidFill>
                      </w14:textFill>
                    </w:rPr>
                    <w:t>18598</w:t>
                  </w:r>
                  <w:r>
                    <w:rPr>
                      <w:rFonts w:hint="default" w:ascii="Times New Roman" w:hAnsi="Times New Roman" w:eastAsia="宋体" w:cs="Times New Roman"/>
                      <w:color w:val="000000" w:themeColor="text1"/>
                      <w:szCs w:val="18"/>
                      <w:highlight w:val="none"/>
                      <w:lang w:val="zh-CN" w:eastAsia="zh-CN"/>
                      <w14:textFill>
                        <w14:solidFill>
                          <w14:schemeClr w14:val="tx1"/>
                        </w14:solidFill>
                      </w14:textFill>
                    </w:rPr>
                    <w:t>执行</w:t>
                  </w:r>
                </w:p>
              </w:tc>
            </w:tr>
            <w:tr w14:paraId="725D55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continue"/>
                  <w:tcBorders>
                    <w:left w:val="single" w:color="auto" w:sz="4" w:space="0"/>
                  </w:tcBorders>
                  <w:vAlign w:val="center"/>
                </w:tcPr>
                <w:p w14:paraId="6253D1BC">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264" w:type="dxa"/>
                  <w:vAlign w:val="center"/>
                </w:tcPr>
                <w:p w14:paraId="44A205CB">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pacing w:val="-4"/>
                      <w:highlight w:val="none"/>
                      <w14:textFill>
                        <w14:solidFill>
                          <w14:schemeClr w14:val="tx1"/>
                        </w14:solidFill>
                      </w14:textFill>
                    </w:rPr>
                    <w:t>简单防渗区</w:t>
                  </w:r>
                </w:p>
              </w:tc>
              <w:tc>
                <w:tcPr>
                  <w:tcW w:w="2837" w:type="dxa"/>
                  <w:vAlign w:val="center"/>
                </w:tcPr>
                <w:p w14:paraId="16C51730">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水罐区、值班房、库房、材料储存区、钻井区</w:t>
                  </w:r>
                </w:p>
              </w:tc>
              <w:tc>
                <w:tcPr>
                  <w:tcW w:w="3177" w:type="dxa"/>
                  <w:tcBorders>
                    <w:right w:val="single" w:color="auto" w:sz="4" w:space="0"/>
                  </w:tcBorders>
                  <w:vAlign w:val="center"/>
                </w:tcPr>
                <w:p w14:paraId="22174922">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铺垫戈壁料</w:t>
                  </w:r>
                </w:p>
              </w:tc>
            </w:tr>
            <w:tr w14:paraId="37033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tcBorders>
                    <w:left w:val="single" w:color="auto" w:sz="4" w:space="0"/>
                  </w:tcBorders>
                  <w:vAlign w:val="center"/>
                </w:tcPr>
                <w:p w14:paraId="01B05E28">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生活营地</w:t>
                  </w:r>
                </w:p>
              </w:tc>
              <w:tc>
                <w:tcPr>
                  <w:tcW w:w="1264" w:type="dxa"/>
                  <w:vAlign w:val="center"/>
                </w:tcPr>
                <w:p w14:paraId="6618D41C">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一般防渗区</w:t>
                  </w:r>
                </w:p>
              </w:tc>
              <w:tc>
                <w:tcPr>
                  <w:tcW w:w="2837" w:type="dxa"/>
                  <w:vAlign w:val="center"/>
                </w:tcPr>
                <w:p w14:paraId="618E1D20">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highlight w:val="none"/>
                      <w:lang w:eastAsia="zh-CN"/>
                      <w14:textFill>
                        <w14:solidFill>
                          <w14:schemeClr w14:val="tx1"/>
                        </w14:solidFill>
                      </w14:textFill>
                    </w:rPr>
                    <w:t>防渗收集池</w:t>
                  </w:r>
                </w:p>
              </w:tc>
              <w:tc>
                <w:tcPr>
                  <w:tcW w:w="3177" w:type="dxa"/>
                  <w:tcBorders>
                    <w:right w:val="single" w:color="auto" w:sz="4" w:space="0"/>
                  </w:tcBorders>
                  <w:vAlign w:val="center"/>
                </w:tcPr>
                <w:p w14:paraId="24003522">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等效黏土防渗层MB≥1.5m，K≤1.0×10</w:t>
                  </w:r>
                  <w:r>
                    <w:rPr>
                      <w:rFonts w:hint="default" w:ascii="Times New Roman" w:hAnsi="Times New Roman" w:eastAsia="宋体" w:cs="Times New Roman"/>
                      <w:color w:val="000000" w:themeColor="text1"/>
                      <w:highlight w:val="none"/>
                      <w:vertAlign w:val="superscript"/>
                      <w:lang w:eastAsia="zh-CN"/>
                      <w14:textFill>
                        <w14:solidFill>
                          <w14:schemeClr w14:val="tx1"/>
                        </w14:solidFill>
                      </w14:textFill>
                    </w:rPr>
                    <w:t>-7</w:t>
                  </w:r>
                  <w:r>
                    <w:rPr>
                      <w:rFonts w:hint="default" w:ascii="Times New Roman" w:hAnsi="Times New Roman" w:eastAsia="宋体" w:cs="Times New Roman"/>
                      <w:color w:val="000000" w:themeColor="text1"/>
                      <w:highlight w:val="none"/>
                      <w:lang w:eastAsia="zh-CN"/>
                      <w14:textFill>
                        <w14:solidFill>
                          <w14:schemeClr w14:val="tx1"/>
                        </w14:solidFill>
                      </w14:textFill>
                    </w:rPr>
                    <w:t>cm/s</w:t>
                  </w:r>
                  <w:r>
                    <w:rPr>
                      <w:rFonts w:hint="default" w:ascii="Times New Roman" w:hAnsi="Times New Roman" w:eastAsia="宋体" w:cs="Times New Roman"/>
                      <w:color w:val="000000" w:themeColor="text1"/>
                      <w:szCs w:val="18"/>
                      <w:highlight w:val="none"/>
                      <w:lang w:val="zh-CN" w:eastAsia="zh-CN"/>
                      <w14:textFill>
                        <w14:solidFill>
                          <w14:schemeClr w14:val="tx1"/>
                        </w14:solidFill>
                      </w14:textFill>
                    </w:rPr>
                    <w:t>，或参照GB16889执行</w:t>
                  </w:r>
                </w:p>
              </w:tc>
            </w:tr>
            <w:tr w14:paraId="17A20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restart"/>
                  <w:tcBorders>
                    <w:left w:val="single" w:color="auto" w:sz="4" w:space="0"/>
                  </w:tcBorders>
                  <w:vAlign w:val="center"/>
                </w:tcPr>
                <w:p w14:paraId="108AB394">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试油井场</w:t>
                  </w:r>
                </w:p>
              </w:tc>
              <w:tc>
                <w:tcPr>
                  <w:tcW w:w="1264" w:type="dxa"/>
                  <w:vAlign w:val="center"/>
                </w:tcPr>
                <w:p w14:paraId="3417FDF9">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重点防渗区</w:t>
                  </w:r>
                </w:p>
              </w:tc>
              <w:tc>
                <w:tcPr>
                  <w:tcW w:w="2837" w:type="dxa"/>
                  <w:vAlign w:val="center"/>
                </w:tcPr>
                <w:p w14:paraId="1776FEB2">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发电房、采出液储罐区、试油废水罐、危险废物</w:t>
                  </w:r>
                </w:p>
              </w:tc>
              <w:tc>
                <w:tcPr>
                  <w:tcW w:w="3177" w:type="dxa"/>
                  <w:tcBorders>
                    <w:right w:val="single" w:color="auto" w:sz="4" w:space="0"/>
                  </w:tcBorders>
                  <w:vAlign w:val="center"/>
                </w:tcPr>
                <w:p w14:paraId="4B159FD8">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Cs w:val="18"/>
                      <w:highlight w:val="none"/>
                      <w:lang w:val="zh-CN" w:eastAsia="zh-CN"/>
                      <w14:textFill>
                        <w14:solidFill>
                          <w14:schemeClr w14:val="tx1"/>
                        </w14:solidFill>
                      </w14:textFill>
                    </w:rPr>
                    <w:t>等效黏土防渗层Mb≥</w:t>
                  </w:r>
                  <w:r>
                    <w:rPr>
                      <w:rFonts w:hint="default" w:ascii="Times New Roman" w:hAnsi="Times New Roman" w:eastAsia="宋体" w:cs="Times New Roman"/>
                      <w:color w:val="000000" w:themeColor="text1"/>
                      <w:szCs w:val="18"/>
                      <w:highlight w:val="none"/>
                      <w:lang w:eastAsia="zh-CN"/>
                      <w14:textFill>
                        <w14:solidFill>
                          <w14:schemeClr w14:val="tx1"/>
                        </w14:solidFill>
                      </w14:textFill>
                    </w:rPr>
                    <w:t>6.0</w:t>
                  </w:r>
                  <w:r>
                    <w:rPr>
                      <w:rFonts w:hint="default" w:ascii="Times New Roman" w:hAnsi="Times New Roman" w:eastAsia="宋体" w:cs="Times New Roman"/>
                      <w:color w:val="000000" w:themeColor="text1"/>
                      <w:szCs w:val="18"/>
                      <w:highlight w:val="none"/>
                      <w:lang w:val="zh-CN" w:eastAsia="zh-CN"/>
                      <w14:textFill>
                        <w14:solidFill>
                          <w14:schemeClr w14:val="tx1"/>
                        </w14:solidFill>
                      </w14:textFill>
                    </w:rPr>
                    <w:t>m，K＜1×10</w:t>
                  </w:r>
                  <w:r>
                    <w:rPr>
                      <w:rFonts w:hint="default" w:ascii="Times New Roman" w:hAnsi="Times New Roman" w:eastAsia="宋体" w:cs="Times New Roman"/>
                      <w:color w:val="000000" w:themeColor="text1"/>
                      <w:szCs w:val="18"/>
                      <w:highlight w:val="none"/>
                      <w:vertAlign w:val="superscript"/>
                      <w:lang w:val="zh-CN" w:eastAsia="zh-CN"/>
                      <w14:textFill>
                        <w14:solidFill>
                          <w14:schemeClr w14:val="tx1"/>
                        </w14:solidFill>
                      </w14:textFill>
                    </w:rPr>
                    <w:t>-7</w:t>
                  </w:r>
                  <w:r>
                    <w:rPr>
                      <w:rFonts w:hint="default" w:ascii="Times New Roman" w:hAnsi="Times New Roman" w:eastAsia="宋体" w:cs="Times New Roman"/>
                      <w:color w:val="000000" w:themeColor="text1"/>
                      <w:szCs w:val="18"/>
                      <w:highlight w:val="none"/>
                      <w:lang w:val="zh-CN" w:eastAsia="zh-CN"/>
                      <w14:textFill>
                        <w14:solidFill>
                          <w14:schemeClr w14:val="tx1"/>
                        </w14:solidFill>
                      </w14:textFill>
                    </w:rPr>
                    <w:t>cm/s，或参照GB</w:t>
                  </w:r>
                  <w:r>
                    <w:rPr>
                      <w:rFonts w:hint="default" w:ascii="Times New Roman" w:hAnsi="Times New Roman" w:eastAsia="宋体" w:cs="Times New Roman"/>
                      <w:color w:val="000000" w:themeColor="text1"/>
                      <w:szCs w:val="18"/>
                      <w:highlight w:val="none"/>
                      <w:lang w:eastAsia="zh-CN"/>
                      <w14:textFill>
                        <w14:solidFill>
                          <w14:schemeClr w14:val="tx1"/>
                        </w14:solidFill>
                      </w14:textFill>
                    </w:rPr>
                    <w:t>18598</w:t>
                  </w:r>
                  <w:r>
                    <w:rPr>
                      <w:rFonts w:hint="default" w:ascii="Times New Roman" w:hAnsi="Times New Roman" w:eastAsia="宋体" w:cs="Times New Roman"/>
                      <w:color w:val="000000" w:themeColor="text1"/>
                      <w:szCs w:val="18"/>
                      <w:highlight w:val="none"/>
                      <w:lang w:val="zh-CN" w:eastAsia="zh-CN"/>
                      <w14:textFill>
                        <w14:solidFill>
                          <w14:schemeClr w14:val="tx1"/>
                        </w14:solidFill>
                      </w14:textFill>
                    </w:rPr>
                    <w:t>执行</w:t>
                  </w:r>
                </w:p>
              </w:tc>
            </w:tr>
            <w:tr w14:paraId="35D27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1100" w:type="dxa"/>
                  <w:vMerge w:val="continue"/>
                  <w:tcBorders>
                    <w:left w:val="single" w:color="auto" w:sz="4" w:space="0"/>
                    <w:bottom w:val="single" w:color="auto" w:sz="4" w:space="0"/>
                  </w:tcBorders>
                  <w:vAlign w:val="center"/>
                </w:tcPr>
                <w:p w14:paraId="3F3DD453">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p>
              </w:tc>
              <w:tc>
                <w:tcPr>
                  <w:tcW w:w="1264" w:type="dxa"/>
                  <w:tcBorders>
                    <w:bottom w:val="single" w:color="auto" w:sz="4" w:space="0"/>
                  </w:tcBorders>
                  <w:vAlign w:val="center"/>
                </w:tcPr>
                <w:p w14:paraId="42074945">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highlight w:val="none"/>
                      <w:lang w:eastAsia="zh-CN"/>
                      <w14:textFill>
                        <w14:solidFill>
                          <w14:schemeClr w14:val="tx1"/>
                        </w14:solidFill>
                      </w14:textFill>
                    </w:rPr>
                    <w:t>简单防渗区</w:t>
                  </w:r>
                </w:p>
              </w:tc>
              <w:tc>
                <w:tcPr>
                  <w:tcW w:w="2837" w:type="dxa"/>
                  <w:tcBorders>
                    <w:bottom w:val="single" w:color="auto" w:sz="4" w:space="0"/>
                  </w:tcBorders>
                  <w:vAlign w:val="center"/>
                </w:tcPr>
                <w:p w14:paraId="2C92C318">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库房、值班房</w:t>
                  </w:r>
                </w:p>
              </w:tc>
              <w:tc>
                <w:tcPr>
                  <w:tcW w:w="3177" w:type="dxa"/>
                  <w:tcBorders>
                    <w:bottom w:val="single" w:color="auto" w:sz="4" w:space="0"/>
                    <w:right w:val="single" w:color="auto" w:sz="4" w:space="0"/>
                  </w:tcBorders>
                  <w:vAlign w:val="center"/>
                </w:tcPr>
                <w:p w14:paraId="15534032">
                  <w:pPr>
                    <w:pStyle w:val="27"/>
                    <w:keepNext w:val="0"/>
                    <w:keepLines w:val="0"/>
                    <w:pageBreakBefore w:val="0"/>
                    <w:widowControl/>
                    <w:kinsoku/>
                    <w:wordWrap/>
                    <w:overflowPunct/>
                    <w:topLinePunct w:val="0"/>
                    <w:autoSpaceDE w:val="0"/>
                    <w:autoSpaceDN w:val="0"/>
                    <w:bidi w:val="0"/>
                    <w:adjustRightInd w:val="0"/>
                    <w:snapToGrid w:val="0"/>
                    <w:spacing w:line="240" w:lineRule="auto"/>
                    <w:contextualSpacing/>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铺垫戈壁料</w:t>
                  </w:r>
                </w:p>
              </w:tc>
            </w:tr>
          </w:tbl>
          <w:p w14:paraId="40F58B0E">
            <w:pPr>
              <w:widowControl/>
              <w:tabs>
                <w:tab w:val="left" w:pos="4584"/>
              </w:tabs>
              <w:kinsoku/>
              <w:spacing w:line="500" w:lineRule="exact"/>
              <w:ind w:firstLine="464" w:firstLineChars="200"/>
              <w:jc w:val="both"/>
              <w:rPr>
                <w:rFonts w:hint="default" w:ascii="Times New Roman" w:hAnsi="Times New Roman" w:eastAsia="宋体" w:cs="Times New Roman"/>
                <w:color w:val="000000" w:themeColor="text1"/>
                <w:spacing w:val="-4"/>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分区防渗验收标准与施工质量控制要求：为切实阻断污染物下渗途径，保护区域地下水及土壤环境，本项目严格落实分区防渗，并明确以下验收及施工质控标准：</w:t>
            </w:r>
          </w:p>
          <w:p w14:paraId="1B334102">
            <w:pPr>
              <w:widowControl/>
              <w:tabs>
                <w:tab w:val="left" w:pos="4584"/>
              </w:tabs>
              <w:kinsoku/>
              <w:spacing w:line="500" w:lineRule="exact"/>
              <w:ind w:firstLine="464" w:firstLineChars="200"/>
              <w:jc w:val="both"/>
              <w:rPr>
                <w:rFonts w:hint="default" w:ascii="Times New Roman" w:hAnsi="Times New Roman" w:eastAsia="宋体" w:cs="Times New Roman"/>
                <w:color w:val="000000" w:themeColor="text1"/>
                <w:spacing w:val="-4"/>
                <w:sz w:val="24"/>
                <w:szCs w:val="24"/>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①明确分区防渗验收标准： 泥浆不落地系统设备区、危废暂存间、油罐区及废水罐区等高风险涉油、涉水区域划定为重点防渗区，其防渗层结构必须等效于厚度≥6.0m的黏土防渗层，严格规定重点防渗区渗透系数验收标准为 ≤10⁻¹⁰ cm/s；井场其他一般施工作业区域、材料堆放区等划分为一般防渗区，其防渗层需等效于厚度≥1.5m的黏土防渗层，规定一般防渗区渗透系数验收标准为 ≤10⁻⁷ cm/s。</w:t>
            </w:r>
          </w:p>
          <w:p w14:paraId="65D72CD1">
            <w:pPr>
              <w:keepNext w:val="0"/>
              <w:keepLines w:val="0"/>
              <w:pageBreakBefore w:val="0"/>
              <w:widowControl/>
              <w:tabs>
                <w:tab w:val="left" w:pos="4584"/>
              </w:tabs>
              <w:kinsoku/>
              <w:wordWrap/>
              <w:overflowPunct/>
              <w:topLinePunct w:val="0"/>
              <w:autoSpaceDE w:val="0"/>
              <w:autoSpaceDN w:val="0"/>
              <w:bidi w:val="0"/>
              <w:adjustRightInd w:val="0"/>
              <w:snapToGrid w:val="0"/>
              <w:spacing w:before="157" w:beforeLines="50" w:line="360" w:lineRule="auto"/>
              <w:ind w:left="0" w:right="0" w:firstLine="464" w:firstLineChars="200"/>
              <w:jc w:val="both"/>
              <w:textAlignment w:val="baseline"/>
              <w:rPr>
                <w:rFonts w:hint="default" w:ascii="Times New Roman" w:hAnsi="Times New Roman" w:eastAsia="宋体" w:cs="Times New Roman"/>
                <w:color w:val="000000" w:themeColor="text1"/>
                <w:spacing w:val="-4"/>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pacing w:val="-4"/>
                <w:sz w:val="24"/>
                <w:szCs w:val="24"/>
                <w:lang w:eastAsia="zh-CN"/>
                <w14:textFill>
                  <w14:solidFill>
                    <w14:schemeClr w14:val="tx1"/>
                  </w14:solidFill>
                </w14:textFill>
              </w:rPr>
              <w:t>②规定防渗施工质量控制要求： 防渗工程施工期间必须实施质量监控。在铺设HDPE防渗膜前，基层必须平整压实并清除所有尖锐石块及根茬。铺设过程中，必须保证防渗膜铺设无破损、无折皱、贴合紧密；对于膜与膜之间的拼接缝，必须采用专业的双缝热熔焊接工艺，严格规定其搭接宽度必须 ≥10cm。施工完毕后，所有焊缝必须100%通过气密性（如真空充气法）检测验收，确保防渗体系的绝对密封与工程质量。</w:t>
            </w:r>
          </w:p>
          <w:p w14:paraId="0ADF3A0D">
            <w:pPr>
              <w:pStyle w:val="2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（2）钻井时采用套管与地层隔离开、并在套管与地层之间注入水泥进行固井，水泥浆返至地面，封隔疏松地层和水层。</w:t>
            </w:r>
          </w:p>
          <w:p w14:paraId="30C2BC52">
            <w:pPr>
              <w:pStyle w:val="2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3）本项目钻井过程中采用下套管注水泥固井的完井方式进行水泥固井，将含水层与井筒分隔开，一开环空水泥浆均返至地面，对含水层进行了固封处理，同时严格要求套管下入深度、确保固井质量等措施，可有效控制钻井液在含水层中的漏失。钻井时严格落实套管下入深度合格和固井质量合格，同时定期检查固井质量，发现固井质量不合格应及时采取措施，保证固井质量合格，可有效防止地下水污染。</w:t>
            </w:r>
          </w:p>
          <w:p w14:paraId="39BF6716">
            <w:pPr>
              <w:pStyle w:val="2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（4）对产生的洗井废水、压裂返排液、生活污水、钻井岩屑、沾油废防渗材料、废润滑油、废润滑油桶及生活垃圾严格管理，禁止乱排。</w:t>
            </w:r>
          </w:p>
          <w:p w14:paraId="7EE293E6">
            <w:pPr>
              <w:pStyle w:val="2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水均得以妥善处置，最终实现达标排放或回用，固体废物均得到妥善处置。地下水、土壤环境保护措施均为技术可行、经济合理、稳定可靠、便于实施的成熟措施，在钻井过程中得到广泛应用。采取上述措施后，钻试工程不会对地下水环境和土壤环境造成不利影响。</w:t>
            </w:r>
          </w:p>
          <w:p w14:paraId="5550E7BF">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5.1废（污）水拉运处理管控措施和要求</w:t>
            </w:r>
          </w:p>
          <w:p w14:paraId="1BD77AB5">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（1）台账管理：必须建立废（污）水处理台账，详细记录废水来源、处理时间、处理方法、处理效果等信息。台账应由专人负责管理，并保证其真实性和完整性。</w:t>
            </w:r>
          </w:p>
          <w:p w14:paraId="348B2FF2">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全过程控制：应严格控制废（污）水处理的全过程，确保不出现二次污染，对于每一环节，应有明确的处理标准和操作规程，并设立专门的监测点进行质量抽查，一旦发现异常，立即进行处理，防止问题扩大。</w:t>
            </w:r>
          </w:p>
          <w:p w14:paraId="5ABB279C">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（3）防止肆意排放：所有废（污）水在拉运和处理过程中，必须按照国家或地方的相关法规和标准进行，防止肆意排放，应设立专门的排放管道或区域，确保废水不直接排入环境。</w:t>
            </w:r>
          </w:p>
          <w:p w14:paraId="58EB7D90">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（4）人员培训：对从事废（污）水处理的人员进行专业培训确保他们了解处理流程和处理设备的使用方法，能够独立处理常见问题，</w:t>
            </w:r>
          </w:p>
          <w:p w14:paraId="5D3CDABF">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（5）安全防护：处理废（污）水时，应做好安全防护工作，如佩戴专门的面具、手套等防护用具，避免直接接触废水。另外，应定期检查处理设备的运行状况，确保其正常运行。</w:t>
            </w:r>
          </w:p>
          <w:p w14:paraId="02A0BEA3">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（6）应急预案：制定废（污）水处理的应急预案，对于突发情况，有相应的应对措施应急预案应定期进行演练，确保预案的有效性。</w:t>
            </w:r>
          </w:p>
          <w:p w14:paraId="6BBE203F">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（7）记录保存：对废水处理的各个阶段都应有相应的记录并加以保存，以便日后查看和跟踪。</w:t>
            </w:r>
          </w:p>
          <w:p w14:paraId="77E7F118">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综上所述，项目废水在采取上述措施后不会对水环境产生不利影响。</w:t>
            </w:r>
          </w:p>
          <w:p w14:paraId="18191F55">
            <w:pPr>
              <w:pStyle w:val="26"/>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6.噪声污染防治措施</w:t>
            </w:r>
          </w:p>
          <w:p w14:paraId="16D3ABDD">
            <w:pPr>
              <w:pStyle w:val="26"/>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机械采用低噪声设备；加强设备维护及保养，对噪声较大的设备采取基础减震措施；加强施工场地管理，合理疏导进入施工区的车辆，禁止运输车辆随意高声鸣笛。在采取上述措施后，施工场界噪声可满足《建筑施工噪声排放标准》（GB12523-2025）中表1的噪声排放限值要求</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昼间70dB（A），夜间55dB（A）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，不会对区域声环境产生明显影响。</w:t>
            </w:r>
          </w:p>
          <w:p w14:paraId="517508AA">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bookmarkStart w:id="27" w:name="_Hlk183349956"/>
            <w:bookmarkStart w:id="28" w:name="_Hlk143015311"/>
            <w:bookmarkStart w:id="29" w:name="_Hlk136795812"/>
            <w:r>
              <w:rPr>
                <w:rFonts w:hint="default" w:ascii="Times New Roman" w:hAnsi="Times New Roman" w:eastAsia="宋体" w:cs="Times New Roman"/>
                <w:b/>
                <w:bCs/>
                <w:color w:val="000000" w:themeColor="text1"/>
                <w:sz w:val="24"/>
                <w:szCs w:val="24"/>
                <w:highlight w:val="none"/>
                <w:lang w:eastAsia="zh-CN" w:bidi="ar"/>
                <w14:textFill>
                  <w14:solidFill>
                    <w14:schemeClr w14:val="tx1"/>
                  </w14:solidFill>
                </w14:textFill>
              </w:rPr>
              <w:t>7.固体废物处置措施</w:t>
            </w:r>
          </w:p>
          <w:bookmarkEnd w:id="27"/>
          <w:bookmarkEnd w:id="28"/>
          <w:p w14:paraId="11DA3143">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本项目产生的固体废物主要为生活垃圾、水基钻井泥浆岩屑、落地油、废防渗材料、废润滑油、废润滑油桶、机械设备废油等。</w:t>
            </w:r>
          </w:p>
          <w:p w14:paraId="7AA08019">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7.1</w:t>
            </w:r>
            <w: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t>固体废物</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产生及其处置情况</w:t>
            </w:r>
          </w:p>
          <w:p w14:paraId="7A5F3817">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7.1.1生活垃圾</w:t>
            </w:r>
          </w:p>
          <w:p w14:paraId="35BDDAFE">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井场和生活营地设置生活垃圾集中收集后委托第三方拉运至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吉木萨尔县</w:t>
            </w:r>
            <w:r>
              <w:rPr>
                <w:rFonts w:hint="default" w:ascii="Times New Roman" w:hAnsi="Times New Roman" w:eastAsia="宋体" w:cs="Times New Roman"/>
                <w:color w:val="000000" w:themeColor="text1"/>
                <w:sz w:val="24"/>
                <w:szCs w:val="24"/>
                <w:lang w:eastAsia="zh-CN"/>
                <w14:textFill>
                  <w14:solidFill>
                    <w14:schemeClr w14:val="tx1"/>
                  </w14:solidFill>
                </w14:textFill>
              </w:rPr>
              <w:t>垃圾场处理。吉木萨尔县生活垃圾填埋场位于吉木萨尔县城西北约9.5km处，距离本项目仅约12km，运输距离较近，清运十分便捷。该填埋场已于2010年8月取得自治区环保厅环评批复（新环函评价[2010]452号），2014年11月建成投用，并于2015年9月顺利通过昌吉州环保局的竣工环保验收（昌州环函〔2015〕358号），属于合法合规、环保手续完全齐备的正规市政生活垃圾处置场所。该填埋场采用成熟规范的“卫生填埋”处理工艺，设计生活垃圾清运处理量高达 100t/d，总有效库容达 63万m³。本项目不设永久性生活营地，仅产生极少量的常规生活垃圾。相较于该填埋场每日100吨的处理规模与庞大库容，本项目微量的生活垃圾并入其环卫受纳系统，不会对其日常运行负荷与剩余服务年限造成任何实质性冲击。</w:t>
            </w:r>
          </w:p>
          <w:p w14:paraId="31F7B1AF">
            <w:pPr>
              <w:pStyle w:val="22"/>
              <w:widowControl w:val="0"/>
              <w:kinsoku/>
              <w:spacing w:before="38" w:line="359" w:lineRule="auto"/>
              <w:ind w:left="3" w:right="4" w:firstLine="480"/>
              <w:jc w:val="both"/>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本项目施工期生活垃圾共产生</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3.84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t，占填埋场填埋量比例极小，</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垃圾场可以满足本工程施工期生活垃圾填埋需求。</w:t>
            </w:r>
          </w:p>
          <w:p w14:paraId="06684CA3">
            <w:pPr>
              <w:keepNext w:val="0"/>
              <w:keepLines w:val="0"/>
              <w:pageBreakBefore w:val="0"/>
              <w:widowControl w:val="0"/>
              <w:kinsoku/>
              <w:wordWrap/>
              <w:overflowPunct/>
              <w:topLinePunct w:val="0"/>
              <w:autoSpaceDE w:val="0"/>
              <w:autoSpaceDN w:val="0"/>
              <w:bidi w:val="0"/>
              <w:adjustRightInd w:val="0"/>
              <w:snapToGrid w:val="0"/>
              <w:spacing w:line="360" w:lineRule="auto"/>
              <w:ind w:left="0" w:righ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7.1.2钻井泥浆、钻井岩屑</w:t>
            </w:r>
          </w:p>
          <w:p w14:paraId="5403849A">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钻井过程中井筒返出的钻井液（含钻井泥浆）及岩屑全部进入“钻井液不落地”系统，实现固液分离与分级处理。该不落地系统处理工艺采用多级物理机械分离模块，通过逐级筛分和离心沉降实现钻井液中泥砂与有效液相的深度剥离。经多级固控设备连续处理后，系统的综合固液分离效率须达到 85%以上，有效降低固相含水率及液相含固率。 分离出的液相（主要是水和部分化学处理剂）打回泥浆罐，优先回用于钻井液配制与循环使用，液相回用率考核目标为≥95%。</w:t>
            </w:r>
          </w:p>
          <w:p w14:paraId="6A50B652">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分离出的液相优先回用于钻井液配制及循环使用；确需更换或无法回用的废液按钻井液体系分类收集，委托有相应处置能力的单位规范转运处置。分离出的固相岩屑按钻井阶段及钻井液类型分类管理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。钻井泥浆及岩屑处理工艺流程如下图所示。</w:t>
            </w:r>
          </w:p>
          <w:p w14:paraId="356F4EF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drawing>
                <wp:inline distT="0" distB="0" distL="0" distR="0">
                  <wp:extent cx="4924425" cy="1295400"/>
                  <wp:effectExtent l="0" t="0" r="9525" b="0"/>
                  <wp:docPr id="10253604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60433" name="图片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924425" cy="1295400"/>
                          </a:xfrm>
                          <a:prstGeom prst="rect">
                            <a:avLst/>
                          </a:prstGeom>
                          <a:noFill/>
                          <a:ln>
                            <a:noFill/>
                          </a:ln>
                        </pic:spPr>
                      </pic:pic>
                    </a:graphicData>
                  </a:graphic>
                </wp:inline>
              </w:drawing>
            </w:r>
          </w:p>
          <w:p w14:paraId="0A353825">
            <w:pPr>
              <w:pStyle w:val="5"/>
              <w:keepNext/>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图5-1</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lang w:eastAsia="zh-CN"/>
                <w14:textFill>
                  <w14:solidFill>
                    <w14:schemeClr w14:val="tx1"/>
                  </w14:solidFill>
                </w14:textFill>
              </w:rPr>
              <w:t>钻井泥浆及岩屑处理工艺流程图</w:t>
            </w:r>
          </w:p>
          <w:p w14:paraId="36B791D3">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7.1.3沾油废防渗材料</w:t>
            </w:r>
          </w:p>
          <w:p w14:paraId="3B620FD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施工结束后清理场地时产生的未沾油防渗材料由施工单位集中回收利用，</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沾油的</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废防渗材料属于《国家危险废物名录》（2025年版）中的</w:t>
            </w:r>
            <w:r>
              <w:rPr>
                <w:rFonts w:hint="default" w:ascii="Times New Roman" w:hAnsi="Times New Roman" w:eastAsia="宋体" w:cs="Times New Roman"/>
                <w:color w:val="000000" w:themeColor="text1"/>
                <w:spacing w:val="-1"/>
                <w:sz w:val="24"/>
                <w:szCs w:val="24"/>
                <w:highlight w:val="none"/>
                <w:lang w:eastAsia="zh-CN"/>
                <w14:textFill>
                  <w14:solidFill>
                    <w14:schemeClr w14:val="tx1"/>
                  </w14:solidFill>
                </w14:textFill>
              </w:rPr>
              <w:t>HW08废矿物油与含矿物油类危险废物（废物代码为900-249-08，危险特</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性为毒性和易燃性</w:t>
            </w:r>
            <w:r>
              <w:rPr>
                <w:rFonts w:hint="default" w:ascii="Times New Roman" w:hAnsi="Times New Roman" w:eastAsia="宋体" w:cs="Times New Roman"/>
                <w:color w:val="000000" w:themeColor="text1"/>
                <w:spacing w:val="4"/>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收集后委托具有相应危险废物处置资质的单位进行接收、转运和处置。</w:t>
            </w:r>
          </w:p>
          <w:p w14:paraId="3C0669D2">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7.1.4废润滑油、废润滑油桶</w:t>
            </w:r>
          </w:p>
          <w:p w14:paraId="5D16786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钻井期间使用的机械设备运行过程中需进行维护、保养、维修等工作，以使其能正常运转，此过程中将产生少量的废油，如废润滑油等。施工过程中机械、设备检修和维护过程中产生的废润滑油、废润滑油桶分区暂存在危废贮存点，委托有资质单位定期进行处置。</w:t>
            </w:r>
          </w:p>
          <w:p w14:paraId="4215DC76">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7.1.5落地油</w:t>
            </w:r>
          </w:p>
          <w:p w14:paraId="5BB77AE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本工程钻井期和试油期间事故状态下可能产生少量落地原油和含油污泥，落地油要求100%回收，按照《国家危险废物名录》（2025年版）、《危险废物环境管理指南 陆上石油天然气开采》（生态环境部公告2021年第74号），落地油泥属于《国家危险废物名录》（2025年）中的HW08废矿物油与含矿物油类危险废物，废物代码为071-001-08，落地油100%回收。</w:t>
            </w:r>
          </w:p>
          <w:p w14:paraId="28F3AAB2">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7.1.6机械设备废油</w:t>
            </w:r>
          </w:p>
          <w:p w14:paraId="26E824E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钻井期间使用的机械设备运行过程中需进行维护、保养、维修等工作，以使其能正常运转，此过程中将产生少量的废油，如废液压油、废润滑油、废机油等。钻井期间产生的废油由建设单位委托有危险废物处理资质单位进行处置。</w:t>
            </w:r>
          </w:p>
          <w:p w14:paraId="0EA856D9">
            <w:pPr>
              <w:widowControl w:val="0"/>
              <w:kinsoku/>
              <w:spacing w:line="500" w:lineRule="exact"/>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7.1.7 锅炉灰渣及除尘灰暂存与处置</w:t>
            </w:r>
          </w:p>
          <w:p w14:paraId="44310499">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暂存方式：</w:t>
            </w:r>
          </w:p>
          <w:p w14:paraId="2A11FB2F">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锅炉灰渣</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在锅炉房外设置专门的灰渣堆放点，四周设置围挡，上方加盖防雨棚。灰渣在清理前应进行适量喷水增湿，防止二次扬尘。</w:t>
            </w:r>
          </w:p>
          <w:p w14:paraId="462E2E99">
            <w:pPr>
              <w:widowControl w:val="0"/>
              <w:kinsoku/>
              <w:spacing w:line="500" w:lineRule="exact"/>
              <w:ind w:firstLine="480" w:firstLineChars="200"/>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除尘灰：布袋除尘器收集的干粉尘应直接通过密封管道排入集灰袋或密闭集灰桶中，严禁露天散堆</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清理后直接委托处置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不在现场暂存</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B4A574F">
            <w:pPr>
              <w:widowControl w:val="0"/>
              <w:kinsoku/>
              <w:spacing w:line="500" w:lineRule="exact"/>
              <w:ind w:firstLine="480" w:firstLineChars="200"/>
              <w:jc w:val="both"/>
              <w:rPr>
                <w:rFonts w:hint="default"/>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处置去向：锅炉灰渣及除尘灰富含钾、磷等元素，优先委托当地农户拉运用于耕地肥田；无法利用的部分委托</w:t>
            </w:r>
            <w:r>
              <w:rPr>
                <w:rFonts w:hint="default" w:ascii="Times New Roman" w:hAnsi="Times New Roman" w:eastAsia="宋体" w:cs="Times New Roman"/>
                <w:color w:val="000000" w:themeColor="text1"/>
                <w:sz w:val="24"/>
                <w:szCs w:val="24"/>
                <w14:textFill>
                  <w14:solidFill>
                    <w14:schemeClr w14:val="tx1"/>
                  </w14:solidFill>
                </w14:textFill>
              </w:rPr>
              <w:t>具有相应环保处理能力的第三方单位进行集中处置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14:paraId="32DCEBF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7.2危险废物处置措施</w:t>
            </w:r>
          </w:p>
          <w:p w14:paraId="60553D1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在各井场内设置危险废物贮存点，其选址符合《危险废物贮存污染控制标准》（GB18597-2023）中的相关要求，具体要求如下：</w:t>
            </w:r>
            <w:bookmarkEnd w:id="29"/>
            <w:bookmarkStart w:id="30" w:name="_Hlk183361156"/>
            <w:bookmarkStart w:id="31" w:name="_Hlk136792721"/>
          </w:p>
          <w:p w14:paraId="41159DC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①贮存点应具有固定的区域边界，并应采取与其他区域进行隔离的措施。</w:t>
            </w:r>
          </w:p>
          <w:p w14:paraId="7553CAB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②贮存点应采取防风、防雨、防晒和防止危险废物流失、扬散等措施。</w:t>
            </w:r>
          </w:p>
          <w:p w14:paraId="2A95ABD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③贮存点贮存的危险废物应置于容器或包装物中，不应直接散堆。</w:t>
            </w:r>
          </w:p>
          <w:p w14:paraId="4AEF638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④贮存点应根据危险废物的形态、物理化学性质、包装形式等，采取防渗、防漏等污染防治措施。</w:t>
            </w:r>
          </w:p>
          <w:p w14:paraId="5CCAF46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⑤贮存点应及时清运贮存的危险废物，实时贮存量不应超过3吨。</w:t>
            </w:r>
          </w:p>
          <w:p w14:paraId="710E3D79">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7.4一般工业固体废物环境管理要求</w:t>
            </w:r>
          </w:p>
          <w:p w14:paraId="4A593E0C">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建设单位应落实污染环境防治责任制度，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5CAE2C32">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②水基岩屑综合利用不畅时，建设单位应与具有固体废物处置资质的单位签订书面合同，在合同中约定污染防治要求，由受托方负责处置水基岩屑。</w:t>
            </w:r>
          </w:p>
          <w:p w14:paraId="20E27234">
            <w:pPr>
              <w:pStyle w:val="26"/>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bookmarkStart w:id="32" w:name="_Hlk183363774"/>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7.5危险废物环境管理要求</w:t>
            </w:r>
            <w:bookmarkEnd w:id="32"/>
          </w:p>
          <w:bookmarkEnd w:id="30"/>
          <w:bookmarkEnd w:id="31"/>
          <w:p w14:paraId="1225AC4C">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建设单位应对废润滑油、废润滑油桶和沾油的废防渗材料按照《危险废物环境管理指南 陆上石油天然气开采》中的危险废物环境管理要求进行管理，具体如下：</w:t>
            </w:r>
          </w:p>
          <w:p w14:paraId="6E006A82">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①落实污染环境防治责任制度，建立健全工业危险废物产生、收集、贮存、运输、利用、处置全过程的污染环境防治责任制度。</w:t>
            </w:r>
          </w:p>
          <w:p w14:paraId="5E6340F1">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②落实危险废物识别标志制度，按照《环境保护图形标志固体废物贮存（处置）场》（GB15562.2）修改单、《危险废物识别标志设置技术规范》（HJ1276-2022）等有关规定，对危险废物的容器和收集、贮存、危险废物的场所设置危险废物识别标志。</w:t>
            </w:r>
          </w:p>
          <w:p w14:paraId="5C223708">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③落实危险废物管理计划制度，按照《</w:t>
            </w:r>
            <w:r>
              <w:rPr>
                <w:rFonts w:hint="default" w:ascii="Times New Roman" w:hAnsi="Times New Roman" w:eastAsia="宋体" w:cs="Times New Roman"/>
                <w:color w:val="000000" w:themeColor="text1"/>
                <w14:textFill>
                  <w14:solidFill>
                    <w14:schemeClr w14:val="tx1"/>
                  </w14:solidFill>
                </w14:textFill>
              </w:rPr>
              <w:fldChar w:fldCharType="begin"/>
            </w:r>
            <w:r>
              <w:rPr>
                <w:rFonts w:hint="default" w:ascii="Times New Roman" w:hAnsi="Times New Roman" w:eastAsia="宋体" w:cs="Times New Roman"/>
                <w:color w:val="000000" w:themeColor="text1"/>
                <w14:textFill>
                  <w14:solidFill>
                    <w14:schemeClr w14:val="tx1"/>
                  </w14:solidFill>
                </w14:textFill>
              </w:rPr>
              <w:instrText xml:space="preserve"> HYPERLINK "https://www.mee.gov.cn/gkml/hbb/bgg/201601/W020160128385366835993.pdf" </w:instrText>
            </w:r>
            <w:r>
              <w:rPr>
                <w:rFonts w:hint="default" w:ascii="Times New Roman" w:hAnsi="Times New Roman" w:eastAsia="宋体" w:cs="Times New Roman"/>
                <w:color w:val="000000" w:themeColor="text1"/>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eastAsia="zh-CN"/>
                <w14:textFill>
                  <w14:solidFill>
                    <w14:schemeClr w14:val="tx1"/>
                  </w14:solidFill>
                </w14:textFill>
              </w:rPr>
              <w:t>危险废物管理计划和</w:t>
            </w:r>
            <w:r>
              <w:rPr>
                <w:rFonts w:hint="default" w:ascii="Times New Roman" w:hAnsi="Times New Roman" w:eastAsia="宋体" w:cs="Times New Roman"/>
                <w:color w:val="000000" w:themeColor="text1"/>
                <w:sz w:val="24"/>
                <w:szCs w:val="24"/>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eastAsia="zh-CN"/>
                <w14:textFill>
                  <w14:solidFill>
                    <w14:schemeClr w14:val="tx1"/>
                  </w14:solidFill>
                </w14:textFill>
              </w:rPr>
              <w:t>管理台账制定技术导则》（HJ1259-2022）等有关要求制定危险废物管理计划，并报所在地生态环境主管部门备案。</w:t>
            </w:r>
          </w:p>
          <w:p w14:paraId="6CB8BDD7">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④落实危险废物管理台账及申报制度，建立危险废物管理台账，如实记录有关信息，并通过国家危险废物信息管理系统向所在地生态环境主管部门申报危险废物的种类、产生量、流向、贮存、处置等有关资料。</w:t>
            </w:r>
          </w:p>
          <w:p w14:paraId="6E84ACD0">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⑤落实危险废物转移联单制度，转移危险废物的，应当按照《危险废物转移管理办法》的有关规定填写、运行危险废物转移联单。</w:t>
            </w:r>
          </w:p>
          <w:p w14:paraId="14F01A42">
            <w:pPr>
              <w:pStyle w:val="26"/>
              <w:widowControl w:val="0"/>
              <w:kinsoku/>
              <w:jc w:val="both"/>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⑥各类危险废物分区暂存在井场设置的危险废物贮存点，贮存点建设须满足《危险废物贮存污染控制标准》（GB18597-2023）中的相关要求，具体如下：井场危废贮存库应采取防风、防雨、防晒和防止危险废物流失、扬散等措施；贮存库贮存的危险废物应置于容器或包装物中，不应直接散堆；应根据危险废物的形态、物理化学性质、包装形式等，采取防渗、防漏等污染防治措施；贮存库应及时清运贮存的危险废物，实时贮存量不应超过3t。各类危险废物定期由依法签订书面合同具有相应危险废物处置资质的单位（受托方）进行接收、转运和处置。</w:t>
            </w:r>
          </w:p>
          <w:p w14:paraId="40D931A7">
            <w:pPr>
              <w:pStyle w:val="26"/>
              <w:widowControl w:val="0"/>
              <w:kinsoku/>
              <w:jc w:val="both"/>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上述固体废物处置措施均为技术可行和稳定可靠的成熟措施，钻试工程产生的固体废物均得到妥善处置，不会对环境造成不利影响。</w:t>
            </w:r>
          </w:p>
          <w:p w14:paraId="6752B4A0">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bookmarkStart w:id="33" w:name="OLE_LINK66"/>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8.环境风险应急措施及应急要求</w:t>
            </w:r>
          </w:p>
          <w:bookmarkEnd w:id="33"/>
          <w:p w14:paraId="6AE8399C">
            <w:pPr>
              <w:pStyle w:val="26"/>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8.1管理要求</w:t>
            </w:r>
          </w:p>
          <w:p w14:paraId="69F70D8E">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建设单位以及施工钻井队结合行业作业规范，设置有专职安全环保管理人员，把安全、环境管理纳入生产管理的各个环节，对防止事故的发生能起到非常积极的作用。</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现场作业严格按照</w:t>
            </w:r>
            <w:r>
              <w:rPr>
                <w:rFonts w:hint="eastAsia"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Q/SY08002-2022《健康安全环境管理体系》</w:t>
            </w:r>
            <w:r>
              <w:rPr>
                <w:rFonts w:hint="default" w:ascii="Times New Roman" w:hAnsi="Times New Roman" w:eastAsia="宋体" w:cs="Times New Roman"/>
                <w:snapToGrid w:val="0"/>
                <w:color w:val="000000" w:themeColor="text1"/>
                <w:sz w:val="24"/>
                <w:szCs w:val="24"/>
                <w:highlight w:val="none"/>
                <w:lang w:val="en-US" w:eastAsia="zh-CN" w:bidi="ar-SA"/>
                <w14:textFill>
                  <w14:solidFill>
                    <w14:schemeClr w14:val="tx1"/>
                  </w14:solidFill>
                </w14:textFill>
              </w:rPr>
              <w:t>的要求执行</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45CFF267">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8.2井喷环境风险防范措施</w:t>
            </w:r>
          </w:p>
          <w:p w14:paraId="55932FE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设有井控装置，钻井工程中各岗位必须严格分工，定期对井控装置进行维护、保养、检查，保证井控装置及工具灵活可用、始终处于待命状态；落实溢流监测岗位、关井操作岗位和钻井队干部值班制度。</w:t>
            </w:r>
          </w:p>
          <w:p w14:paraId="0AA0E27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钻开油层后：落实专人坐岗，观察井口和循环池液面变化，发现溢流、井漏及油气显示等异常情况应立即报告司钻；钻开油层后，每次起下钻（离上次活动时间超过5d）对闸板防喷器及手动锁紧装置开关活动一次，定期对井控装置进行试压；起钻杆时每3～5柱向环空灌满泥浆，起钻铤要连续灌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做好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记录、校核，若灌入泥浆量大于或小于应灌入量，均应停止起钻作业并进行观察。如有溢流，应立即关井求压。如有井漏，应及时采取相应措施。安排专人观察出口管钻井液返出情况，严禁在空井情况下检修设备；钻开油层后，所有车辆应停放在距井口以外30m，必须进入距井口30m以内的车辆，应安装阻火器，车头朝外停放。</w:t>
            </w:r>
          </w:p>
          <w:p w14:paraId="591CE89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③溢流处理和压井措施：最大允许关井压力应考虑井口装置额定工作压力、套管抗内压强度的80%和薄弱地层破裂压力所允许的关井压力。在允许关井套压内严禁放喷。天然气溢流不允许长时间关井而不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做</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处理。在等候加重材料或在加重过程中，应采取井筒压力控制措施防止井口压力过高。空井溢流关井后，根据溢流的严重程度，可采用置换法和压回法等方法进行处理。</w:t>
            </w:r>
          </w:p>
          <w:p w14:paraId="4514B2C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测井、固井、完井等作业时，要严格执行安全操作规程和井控措施，避免发生井下复杂情况和井喷失控事故。电测前井内情况应正常、稳定；测井队到井后应向井队了解井况，确认油气上窜安全作业时间，若电测时间超过等值时间，应中途通井循环再电测。测井队专用剪切工具应放置在钻台上，随时处于待命状态。发生溢流征兆应立即停止电测，尽快起出井内电缆，当危及井控安全时，立即实施剪断电缆并关井。由钻井队队长决定何时切断电缆并进行关井作业，测井队队长负责实施剪断电缆工作。不允许用关闭环形防喷器的方法起电缆。</w:t>
            </w:r>
          </w:p>
          <w:p w14:paraId="461AD9F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bookmarkStart w:id="34" w:name="_Hlk183350582"/>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⑤一旦发生井喷突发事件，应立即启动相应的环境突发事件专项应急预案，立即关闭井口切断污染源，控制原油污染面积，对放喷液进行集中收集处理，同时及时通知可能受影响的人员进行疏散；切断一切可能扩大污染范围的环节，严防污染区域的扩大。采取围、堵等措施限制固体废弃物和溢油扩散范围；</w:t>
            </w:r>
            <w:bookmarkStart w:id="35" w:name="_Hlk183363993"/>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将溢油最大限度地回收，对少量确实无法回收的油以及受污染的土壤形成的落地油，采用铲除油泥层等有效方法，落地油泥用专用罐收集，最终交由有危险废物处置资质的单位处置，以降低残油对生态环境的污染程度；</w:t>
            </w:r>
            <w:bookmarkEnd w:id="35"/>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同时迅速布点监测，在第一时间确定污染物种类和浓度，出具监测数据，评估污染物转移、扩散速率；对污染状况进行跟踪调查，根据监测数据分析，预测污染迁移强度、速度和影响范围，及时调整对策。</w:t>
            </w:r>
            <w:bookmarkEnd w:id="34"/>
          </w:p>
          <w:p w14:paraId="0F291E5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井喷后土壤污染修复措施主要包括物理修复、化学修复和生物修复三大类，具体措施需根据污染类型和严重程度选择。实施流程如下：</w:t>
            </w:r>
          </w:p>
          <w:p w14:paraId="377CE2B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污染评估：通过网格采样分析污染物类型及浓度分布，确定风险等级。‌</w:t>
            </w:r>
          </w:p>
          <w:p w14:paraId="4D135A4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方案设计：比选3种以上技术路线，制定工程量及预算。</w:t>
            </w:r>
          </w:p>
          <w:p w14:paraId="7A7B4C0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施工监测：实施过程中定期检测效果，确保达标后再利用。</w:t>
            </w:r>
          </w:p>
          <w:p w14:paraId="67209A8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⑥试油期产生的伴生气气量不稳定，不具备回收利用条件，经放喷管线充分燃烧后排放；建设单位应定期检查伴生气燃烧设备，加强燃烧设备的运营维护，确保伴生气充分燃烧，减少污染物的排放。</w:t>
            </w:r>
          </w:p>
          <w:p w14:paraId="68D451B4">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bookmarkStart w:id="36" w:name="OLE_LINK67"/>
            <w:bookmarkStart w:id="37" w:name="_Hlk187171839"/>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8.3储罐泄漏防范措施</w:t>
            </w:r>
          </w:p>
          <w:p w14:paraId="344F567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①选用质量、防腐措施合格的储罐。安装过程中焊接要经过100%的探伤，安装时应选择刚性不燃的坚固基础作为罐体基础。储罐在投用前，必须严格按照《压力容器安全技术监察规程》进行强度和气密性试验。</w:t>
            </w:r>
          </w:p>
          <w:p w14:paraId="62B5A2B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②储罐区应严格用火管理，采用有效的避雷装置和接地装置等防止雷电的措施。</w:t>
            </w:r>
          </w:p>
          <w:p w14:paraId="6D2F63B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③加强储罐和管线接口的检查工作，防止腐蚀穿孔。定期进行壁厚检测，腐蚀余量低于规定的允许值时，要及时进行检修和更换。</w:t>
            </w:r>
          </w:p>
          <w:p w14:paraId="4E11A0F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38" w:name="_Hlk183350612"/>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④</w:t>
            </w:r>
            <w:bookmarkStart w:id="39" w:name="_Hlk183364061"/>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井场各类储罐、特别是油类物质及危险废物储罐底部均应铺设符合要求的防渗材料，一旦发生泄漏须及时发现并采取有效的堵漏措施，同时对产生的落地油泥用专用罐收集，最终交由有危险废物处置资质的单位处置；加强储罐运输环节的管理，避免出现储罐泄漏风险事故发生。</w:t>
            </w:r>
            <w:bookmarkEnd w:id="38"/>
            <w:bookmarkEnd w:id="39"/>
          </w:p>
          <w:p w14:paraId="1559588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⑤加强消防安全管理</w:t>
            </w:r>
          </w:p>
          <w:p w14:paraId="1FA63EB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定期进行消防培训与实战演练，要求岗位工作人员具有较强的消防安全意识，加强巡检，确保无异常情况出现。</w:t>
            </w:r>
          </w:p>
          <w:bookmarkEnd w:id="36"/>
          <w:p w14:paraId="47C095C6">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8.4井漏防范措施</w:t>
            </w:r>
          </w:p>
          <w:p w14:paraId="423E959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①建立、健全各项安全管理制度以及配套的工艺、设备安全操作规程并严格执行，确保施工质量，防漏、防窜，做好防腐工作。</w:t>
            </w:r>
          </w:p>
          <w:p w14:paraId="75FE62D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②操作人员应密切注意设备运行状况，发现管件破裂刺漏等问题及时处理；作业现场应配备消防设备以备应急救援。</w:t>
            </w:r>
          </w:p>
          <w:p w14:paraId="3B23359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③严格要求套管下入深度、确保固井质量。</w:t>
            </w:r>
          </w:p>
          <w:p w14:paraId="50CBA70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④工程施工单位需具备相应资质，加强对施工现场的安全组织管理和监督。</w:t>
            </w:r>
          </w:p>
          <w:p w14:paraId="2FD31108">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8.5硫化氢防范措施</w:t>
            </w:r>
          </w:p>
          <w:p w14:paraId="4F412BC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①在钻井、试油作业过程中配备便携式硫化氢监测仪，做好硫化氢监测预警工作，并制定防硫化氢应急预案。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根据《含硫油气井钻井作业规程（Q/SY 1115-2014）》，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当监测到硫化氢浓度大于75mg/m</w:t>
            </w:r>
            <w:r>
              <w:rPr>
                <w:rFonts w:hint="default" w:ascii="Times New Roman" w:hAnsi="Times New Roman" w:eastAsia="宋体" w:cs="Times New Roman"/>
                <w:color w:val="000000" w:themeColor="text1"/>
                <w:sz w:val="24"/>
                <w:szCs w:val="24"/>
                <w:highlight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钻井时根据《含硫油气井钻井作业规程（Q/SY0215-2019）》、试油时根据SY/T6610-2017《硫化氢环境井下作业场所作业安全规范》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执行。</w:t>
            </w:r>
          </w:p>
          <w:p w14:paraId="123A7E1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②钻井期在作业现场显著位置设置5处风向标；试油期设置2处风向标，并在不同方向上划定2个紧急集合点，并规划撤离路线，发生紧急情况时向上风向撤离。</w:t>
            </w:r>
          </w:p>
          <w:p w14:paraId="6904F72C">
            <w:pPr>
              <w:pStyle w:val="26"/>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bookmarkStart w:id="40" w:name="OLE_LINK68"/>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8.6物料运输环境风险防范措施</w:t>
            </w:r>
          </w:p>
          <w:bookmarkEnd w:id="37"/>
          <w:bookmarkEnd w:id="40"/>
          <w:p w14:paraId="7E8B4E9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加强各类储罐运输环节的管理，避免出现储罐泄漏风险事故发生。各类罐车装卸作业过程中，必须严格遵守操作规程，轻装、轻卸、严禁摔碰撞击、重压、倒置，防止钻井废水、柴油等污染物撒漏；使用的工具不得损伤罐体</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不能粘有与所装货物相抵触的污染物。操作过程中，有关人员不能擅自离岗，机动车辆排气管安装有效的隔热和熄灭火星装置，电路系统应有切断总电源和隔离电火花装置，配备相应的消防器材和工具，防止柴油罐发生火灾爆炸事故。</w:t>
            </w:r>
          </w:p>
          <w:p w14:paraId="4153D20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运输途中，司机时刻要谨慎行驶，注意适当限速，保持安全车距。危险废物在储存、转移、处理过程中应严格执行《危险废物转移管理办法》（部令第23号）并制定内部转移、转运制度。确保危险废物的运输安全可靠，减少或避免运输过程中的二次污染和可能造成的环境风险。</w:t>
            </w:r>
          </w:p>
          <w:p w14:paraId="47AC124E">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8.7环境风险应急预案</w:t>
            </w:r>
          </w:p>
          <w:p w14:paraId="2F471F0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本项目归属中国石油天然气股份有限公司吐哈油田分公司准东采油管理区管辖，应将项目实施区域纳入《中国石油天然气股份有限公司吐哈油田分公司准东采油管理区突发环境事件应急预案》。</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《中国石油天然气股份有限公司吐哈油田分公司准东采油管理区突发环境事件应急预案》</w:t>
            </w:r>
            <w:r>
              <w:rPr>
                <w:rFonts w:hint="eastAsia" w:ascii="Times New Roman" w:hAnsi="Times New Roman" w:eastAsia="宋体" w:cs="Times New Roman"/>
                <w:color w:val="000000" w:themeColor="text1"/>
                <w:spacing w:val="0"/>
                <w:w w:val="100"/>
                <w:position w:val="0"/>
                <w:sz w:val="24"/>
                <w:szCs w:val="24"/>
                <w:highlight w:val="none"/>
                <w:lang w:val="en-US" w:eastAsia="zh-CN"/>
                <w14:textFill>
                  <w14:solidFill>
                    <w14:schemeClr w14:val="tx1"/>
                  </w14:solidFill>
                </w14:textFill>
              </w:rPr>
              <w:t>已</w:t>
            </w:r>
            <w:r>
              <w:rPr>
                <w:rFonts w:hint="default" w:ascii="Times New Roman" w:hAnsi="Times New Roman" w:eastAsia="宋体" w:cs="Times New Roman"/>
                <w:color w:val="000000" w:themeColor="text1"/>
                <w:spacing w:val="0"/>
                <w:w w:val="100"/>
                <w:position w:val="0"/>
                <w:sz w:val="24"/>
                <w:szCs w:val="24"/>
                <w:highlight w:val="none"/>
                <w14:textFill>
                  <w14:solidFill>
                    <w14:schemeClr w14:val="tx1"/>
                  </w14:solidFill>
                </w14:textFill>
              </w:rPr>
              <w:t>于2023年7月17日在第六师生态环境局备案，备案证编号660600-2023-039-L。</w:t>
            </w:r>
          </w:p>
          <w:p w14:paraId="567EA144">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9.结论</w:t>
            </w:r>
          </w:p>
          <w:p w14:paraId="52FD975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施工期发生风险事故的概率较小，且制定了较为周全的风险事故防范措施和事故应急预案，当发生风险事故时立即启动事故应急预案，确保事故不扩大，避免对周边环境造成较大危害。在采取严格的安全防护和风险防范措施后，环境风险可控。</w:t>
            </w:r>
          </w:p>
        </w:tc>
      </w:tr>
      <w:tr w14:paraId="195D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 w:type="pct"/>
            <w:vAlign w:val="center"/>
          </w:tcPr>
          <w:p w14:paraId="67B3DEF0">
            <w:pPr>
              <w:widowControl w:val="0"/>
              <w:kinsoku/>
              <w:spacing w:line="360" w:lineRule="auto"/>
              <w:jc w:val="center"/>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lang w:eastAsia="zh-CN"/>
                <w14:textFill>
                  <w14:solidFill>
                    <w14:schemeClr w14:val="tx1"/>
                  </w14:solidFill>
                </w14:textFill>
              </w:rPr>
              <w:t>运营期生态环境保护措施</w:t>
            </w:r>
          </w:p>
        </w:tc>
        <w:tc>
          <w:tcPr>
            <w:tcW w:w="4728" w:type="pct"/>
            <w:vAlign w:val="center"/>
          </w:tcPr>
          <w:p w14:paraId="7A7C9418">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41" w:name="_Hlk189409650"/>
            <w:bookmarkStart w:id="42" w:name="OLE_LINK30"/>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根据试采结果决定新钻井是否转为生产井，若可转为生产井，则应当在产能开发建设前对其开展环境影响评价工作，编制环境影响评价文件；若不具备转产条件，则应根据《废弃井封井回填技术指南（试行）》《废弃井及长停井处置指南》（SY/T6646-2017）《吐哈油田报废井封井实施细则（试行）》《陆上石油天然气生产环境保护推荐作法》（SY/T6628-2005）《矿山生态环境保护与恢复治理技术规范（试行）》（HJ651-2013）和中国石油天然气股份有限公司吐哈油田分公司的相关要求对新钻井进行封堵，并拆除相关设施，确保无土壤及地下水环境污染遗留问题、废弃物均得到妥善处置，制定生态恢复方案，并做好以下生态保护措施：</w:t>
            </w:r>
          </w:p>
          <w:bookmarkEnd w:id="41"/>
          <w:p w14:paraId="184A670A">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（1）封井材料应无污染，不得使用可能对地下水造成污染的材料。</w:t>
            </w:r>
          </w:p>
          <w:p w14:paraId="795FAA18">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（2）应开展井盖封堵或密闭填充，对废弃井进行封井回填并做好井口处置，确保地表污染物不进入井内，各层位地下水不连通。</w:t>
            </w:r>
          </w:p>
          <w:p w14:paraId="660D5526">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（3）确保封井质量合格。</w:t>
            </w:r>
          </w:p>
          <w:p w14:paraId="28888B84">
            <w:pPr>
              <w:pStyle w:val="26"/>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4）封井作业结束后及时清理作业现场，各个建构筑物和基础设施应全部拆除，做到“工完、料尽、场地清”，确保采取的封井措施有效可行。施工区域采用临时占地剥离表土对其进行覆盖，以便植被自然恢复。各个建构筑物和基础设施拆除过程中会产生一定扬尘，应避开大风天气施工。</w:t>
            </w:r>
            <w:bookmarkEnd w:id="42"/>
          </w:p>
        </w:tc>
      </w:tr>
      <w:tr w14:paraId="2DE43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271" w:type="pct"/>
            <w:vAlign w:val="center"/>
          </w:tcPr>
          <w:p w14:paraId="22951661">
            <w:pPr>
              <w:widowControl w:val="0"/>
              <w:kinsoku/>
              <w:spacing w:line="360" w:lineRule="auto"/>
              <w:jc w:val="center"/>
              <w:rPr>
                <w:rFonts w:hint="default" w:ascii="Times New Roman" w:hAnsi="Times New Roman" w:eastAsia="宋体" w:cs="Times New Roman"/>
                <w:bCs/>
                <w:color w:val="000000" w:themeColor="text1"/>
                <w:spacing w:val="10"/>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其他</w:t>
            </w:r>
          </w:p>
        </w:tc>
        <w:tc>
          <w:tcPr>
            <w:tcW w:w="4728" w:type="pct"/>
            <w:vAlign w:val="center"/>
          </w:tcPr>
          <w:p w14:paraId="4C88565D">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1.环境管理</w:t>
            </w:r>
          </w:p>
          <w:p w14:paraId="2566006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项目实施过程中，在环境管理上建立的健康、安全与环境管理体系（HSE管理体系），落实各项环保和安全措施，减少项目开发对周围环境的影响。本报告提出的环境管理主要内容见下表5-2。</w:t>
            </w:r>
          </w:p>
          <w:p w14:paraId="552B6336">
            <w:pPr>
              <w:pStyle w:val="5"/>
              <w:keepNext/>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表5-2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lang w:eastAsia="zh-CN"/>
                <w14:textFill>
                  <w14:solidFill>
                    <w14:schemeClr w14:val="tx1"/>
                  </w14:solidFill>
                </w14:textFill>
              </w:rPr>
              <w:t>施工期环境保护行动计划表</w:t>
            </w:r>
          </w:p>
          <w:tbl>
            <w:tblPr>
              <w:tblStyle w:val="16"/>
              <w:tblW w:w="497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20"/>
              <w:gridCol w:w="1101"/>
              <w:gridCol w:w="6607"/>
            </w:tblGrid>
            <w:tr w14:paraId="12D16D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2" w:type="pct"/>
                  <w:tcBorders>
                    <w:top w:val="single" w:color="auto" w:sz="4" w:space="0"/>
                    <w:left w:val="single" w:color="auto" w:sz="0" w:space="0"/>
                  </w:tcBorders>
                  <w:tcMar>
                    <w:left w:w="0" w:type="dxa"/>
                    <w:right w:w="0" w:type="dxa"/>
                  </w:tcMar>
                  <w:vAlign w:val="center"/>
                </w:tcPr>
                <w:p w14:paraId="7C89F3FE">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序号</w:t>
                  </w:r>
                </w:p>
              </w:tc>
              <w:tc>
                <w:tcPr>
                  <w:tcW w:w="661" w:type="pct"/>
                  <w:tcBorders>
                    <w:top w:val="single" w:color="auto" w:sz="4" w:space="0"/>
                  </w:tcBorders>
                  <w:tcMar>
                    <w:left w:w="0" w:type="dxa"/>
                    <w:right w:w="0" w:type="dxa"/>
                  </w:tcMar>
                  <w:vAlign w:val="center"/>
                </w:tcPr>
                <w:p w14:paraId="53624E42">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影响因素</w:t>
                  </w:r>
                </w:p>
              </w:tc>
              <w:tc>
                <w:tcPr>
                  <w:tcW w:w="3966" w:type="pct"/>
                  <w:tcBorders>
                    <w:top w:val="single" w:color="auto" w:sz="4" w:space="0"/>
                    <w:right w:val="single" w:color="auto" w:sz="4" w:space="0"/>
                  </w:tcBorders>
                  <w:tcMar>
                    <w:left w:w="0" w:type="dxa"/>
                    <w:right w:w="0" w:type="dxa"/>
                  </w:tcMar>
                  <w:vAlign w:val="center"/>
                </w:tcPr>
                <w:p w14:paraId="7D6124E5">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环保措施</w:t>
                  </w:r>
                </w:p>
              </w:tc>
            </w:tr>
            <w:tr w14:paraId="458300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72" w:type="pct"/>
                  <w:tcBorders>
                    <w:left w:val="single" w:color="auto" w:sz="4" w:space="0"/>
                  </w:tcBorders>
                  <w:tcMar>
                    <w:left w:w="0" w:type="dxa"/>
                    <w:right w:w="0" w:type="dxa"/>
                  </w:tcMar>
                  <w:vAlign w:val="center"/>
                </w:tcPr>
                <w:p w14:paraId="0753B832">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p>
              </w:tc>
              <w:tc>
                <w:tcPr>
                  <w:tcW w:w="661" w:type="pct"/>
                  <w:tcMar>
                    <w:left w:w="0" w:type="dxa"/>
                    <w:right w:w="0" w:type="dxa"/>
                  </w:tcMar>
                  <w:vAlign w:val="center"/>
                </w:tcPr>
                <w:p w14:paraId="31CE14A8">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大气环境</w:t>
                  </w:r>
                </w:p>
              </w:tc>
              <w:tc>
                <w:tcPr>
                  <w:tcW w:w="3966" w:type="pct"/>
                  <w:tcBorders>
                    <w:right w:val="single" w:color="auto" w:sz="4" w:space="0"/>
                  </w:tcBorders>
                  <w:tcMar>
                    <w:left w:w="0" w:type="dxa"/>
                    <w:right w:w="0" w:type="dxa"/>
                  </w:tcMar>
                  <w:vAlign w:val="center"/>
                </w:tcPr>
                <w:p w14:paraId="49FB373D">
                  <w:pPr>
                    <w:pStyle w:val="31"/>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施工单位在钻井时应使用符合国家标准的油品，并定期对设备进行保养维护，采出液采用密闭装载方式，柴油储罐采用固定顶罐。</w:t>
                  </w:r>
                </w:p>
              </w:tc>
            </w:tr>
            <w:tr w14:paraId="4FE58F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372" w:type="pct"/>
                  <w:tcBorders>
                    <w:left w:val="single" w:color="auto" w:sz="4" w:space="0"/>
                  </w:tcBorders>
                  <w:tcMar>
                    <w:left w:w="0" w:type="dxa"/>
                    <w:right w:w="0" w:type="dxa"/>
                  </w:tcMar>
                  <w:vAlign w:val="center"/>
                </w:tcPr>
                <w:p w14:paraId="4DB9999C">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w:t>
                  </w:r>
                </w:p>
              </w:tc>
              <w:tc>
                <w:tcPr>
                  <w:tcW w:w="661" w:type="pct"/>
                  <w:tcMar>
                    <w:left w:w="0" w:type="dxa"/>
                    <w:right w:w="0" w:type="dxa"/>
                  </w:tcMar>
                  <w:vAlign w:val="center"/>
                </w:tcPr>
                <w:p w14:paraId="6446D4D4">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声环境</w:t>
                  </w:r>
                </w:p>
              </w:tc>
              <w:tc>
                <w:tcPr>
                  <w:tcW w:w="3966" w:type="pct"/>
                  <w:tcBorders>
                    <w:right w:val="single" w:color="auto" w:sz="4" w:space="0"/>
                  </w:tcBorders>
                  <w:tcMar>
                    <w:left w:w="0" w:type="dxa"/>
                    <w:right w:w="0" w:type="dxa"/>
                  </w:tcMar>
                  <w:vAlign w:val="center"/>
                </w:tcPr>
                <w:p w14:paraId="0C5FBD15">
                  <w:pPr>
                    <w:pStyle w:val="31"/>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施工单位应使用低噪声的施工设备、机械，并定期进行检修和维护，使其处于运行良好的状态。</w:t>
                  </w:r>
                </w:p>
              </w:tc>
            </w:tr>
            <w:tr w14:paraId="552807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0" w:hRule="atLeast"/>
                <w:jc w:val="center"/>
              </w:trPr>
              <w:tc>
                <w:tcPr>
                  <w:tcW w:w="372" w:type="pct"/>
                  <w:tcBorders>
                    <w:left w:val="single" w:color="auto" w:sz="4" w:space="0"/>
                  </w:tcBorders>
                  <w:tcMar>
                    <w:left w:w="0" w:type="dxa"/>
                    <w:right w:w="0" w:type="dxa"/>
                  </w:tcMar>
                  <w:vAlign w:val="center"/>
                </w:tcPr>
                <w:p w14:paraId="34D0DF8E">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w:t>
                  </w:r>
                </w:p>
              </w:tc>
              <w:tc>
                <w:tcPr>
                  <w:tcW w:w="661" w:type="pct"/>
                  <w:tcMar>
                    <w:left w:w="0" w:type="dxa"/>
                    <w:right w:w="0" w:type="dxa"/>
                  </w:tcMar>
                  <w:vAlign w:val="center"/>
                </w:tcPr>
                <w:p w14:paraId="4C1D28D8">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水环境和土壤环境</w:t>
                  </w:r>
                </w:p>
              </w:tc>
              <w:tc>
                <w:tcPr>
                  <w:tcW w:w="3966" w:type="pct"/>
                  <w:tcBorders>
                    <w:right w:val="single" w:color="auto" w:sz="4" w:space="0"/>
                  </w:tcBorders>
                  <w:tcMar>
                    <w:left w:w="0" w:type="dxa"/>
                    <w:right w:w="0" w:type="dxa"/>
                  </w:tcMar>
                  <w:vAlign w:val="center"/>
                </w:tcPr>
                <w:p w14:paraId="15B4D3A4">
                  <w:pPr>
                    <w:pStyle w:val="31"/>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钻井液</w:t>
                  </w:r>
                  <w:r>
                    <w:rPr>
                      <w:rFonts w:hint="default" w:ascii="Times New Roman" w:hAnsi="Times New Roman" w:eastAsia="宋体" w:cs="Times New Roman"/>
                      <w:color w:val="000000" w:themeColor="text1"/>
                      <w:highlight w:val="none"/>
                      <w:lang w:val="en-US" w:eastAsia="zh-CN"/>
                      <w14:textFill>
                        <w14:solidFill>
                          <w14:schemeClr w14:val="tx1"/>
                        </w14:solidFill>
                      </w14:textFill>
                    </w:rPr>
                    <w:t>外运处置</w:t>
                  </w:r>
                  <w:r>
                    <w:rPr>
                      <w:rFonts w:hint="default" w:ascii="Times New Roman" w:hAnsi="Times New Roman" w:eastAsia="宋体" w:cs="Times New Roman"/>
                      <w:color w:val="000000" w:themeColor="text1"/>
                      <w:highlight w:val="none"/>
                      <w:lang w:eastAsia="zh-CN"/>
                      <w14:textFill>
                        <w14:solidFill>
                          <w14:schemeClr w14:val="tx1"/>
                        </w14:solidFill>
                      </w14:textFill>
                    </w:rPr>
                    <w:t>不外排；试油期产生的废水收集至地面储罐后由罐车拉运至</w:t>
                  </w:r>
                  <w:r>
                    <w:rPr>
                      <w:rFonts w:hint="eastAsia" w:ascii="Times New Roman" w:hAnsi="Times New Roman" w:eastAsia="宋体" w:cs="Times New Roman"/>
                      <w:color w:val="000000" w:themeColor="text1"/>
                      <w:highlight w:val="none"/>
                      <w:lang w:eastAsia="zh-CN"/>
                      <w14:textFill>
                        <w14:solidFill>
                          <w14:schemeClr w14:val="tx1"/>
                        </w14:solidFill>
                      </w14:textFill>
                    </w:rPr>
                    <w:t>吉康</w:t>
                  </w:r>
                  <w:r>
                    <w:rPr>
                      <w:rFonts w:hint="default" w:ascii="Times New Roman" w:hAnsi="Times New Roman" w:eastAsia="宋体" w:cs="Times New Roman"/>
                      <w:color w:val="000000" w:themeColor="text1"/>
                      <w:highlight w:val="none"/>
                      <w:lang w:eastAsia="zh-CN"/>
                      <w14:textFill>
                        <w14:solidFill>
                          <w14:schemeClr w14:val="tx1"/>
                        </w14:solidFill>
                      </w14:textFill>
                    </w:rPr>
                    <w:t>脱水站处理；生活污水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经防渗污水坑</w:t>
                  </w:r>
                  <w:r>
                    <w:rPr>
                      <w:rFonts w:hint="default" w:ascii="Times New Roman" w:hAnsi="Times New Roman" w:eastAsia="宋体" w:cs="Times New Roman"/>
                      <w:color w:val="000000" w:themeColor="text1"/>
                      <w:highlight w:val="none"/>
                      <w:lang w:eastAsia="zh-CN"/>
                      <w14:textFill>
                        <w14:solidFill>
                          <w14:schemeClr w14:val="tx1"/>
                        </w14:solidFill>
                      </w14:textFill>
                    </w:rPr>
                    <w:t>收集暂存，定期由吸污车抽出后拉运至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highlight w:val="none"/>
                      <w:lang w:eastAsia="zh-CN"/>
                      <w14:textFill>
                        <w14:solidFill>
                          <w14:schemeClr w14:val="tx1"/>
                        </w14:solidFill>
                      </w14:textFill>
                    </w:rPr>
                    <w:t>污水处理厂处理。关键区域做好符合相关环保要求的防渗措施；提高施工效率，缩短施工时间；工程结束后，做好施工场地的恢复工作。</w:t>
                  </w:r>
                </w:p>
              </w:tc>
            </w:tr>
            <w:tr w14:paraId="6EB32F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74" w:hRule="atLeast"/>
                <w:jc w:val="center"/>
              </w:trPr>
              <w:tc>
                <w:tcPr>
                  <w:tcW w:w="372" w:type="pct"/>
                  <w:tcBorders>
                    <w:left w:val="single" w:color="auto" w:sz="4" w:space="0"/>
                  </w:tcBorders>
                  <w:tcMar>
                    <w:left w:w="0" w:type="dxa"/>
                    <w:right w:w="0" w:type="dxa"/>
                  </w:tcMar>
                  <w:vAlign w:val="center"/>
                </w:tcPr>
                <w:p w14:paraId="7BA195B0">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w:t>
                  </w:r>
                </w:p>
              </w:tc>
              <w:tc>
                <w:tcPr>
                  <w:tcW w:w="661" w:type="pct"/>
                  <w:tcMar>
                    <w:left w:w="0" w:type="dxa"/>
                    <w:right w:w="0" w:type="dxa"/>
                  </w:tcMar>
                  <w:vAlign w:val="center"/>
                </w:tcPr>
                <w:p w14:paraId="00F88976">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固体废物</w:t>
                  </w:r>
                </w:p>
              </w:tc>
              <w:tc>
                <w:tcPr>
                  <w:tcW w:w="3966" w:type="pct"/>
                  <w:tcBorders>
                    <w:right w:val="single" w:color="auto" w:sz="4" w:space="0"/>
                  </w:tcBorders>
                  <w:tcMar>
                    <w:left w:w="0" w:type="dxa"/>
                    <w:right w:w="0" w:type="dxa"/>
                  </w:tcMar>
                  <w:vAlign w:val="center"/>
                </w:tcPr>
                <w:p w14:paraId="59BE258B">
                  <w:pPr>
                    <w:pStyle w:val="31"/>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生活垃圾集中收集后委托第三方拉运至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highlight w:val="none"/>
                      <w:lang w:eastAsia="zh-CN"/>
                      <w14:textFill>
                        <w14:solidFill>
                          <w14:schemeClr w14:val="tx1"/>
                        </w14:solidFill>
                      </w14:textFill>
                    </w:rPr>
                    <w:t>垃圾场处理。水基岩屑、泥浆在井口采用“振动筛+除砂器+除泥器+离心分离”工艺固液分离后，液相循环使用，分离出固相暂存于专用岩屑方罐中，由具备资质的单位及时转运处理。油基岩屑、粘油废防渗材料、落地油、机械设备废油与废润滑油桶委托有资质单位进行妥善处理。</w:t>
                  </w:r>
                </w:p>
              </w:tc>
            </w:tr>
            <w:tr w14:paraId="38B05E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4" w:hRule="atLeast"/>
                <w:jc w:val="center"/>
              </w:trPr>
              <w:tc>
                <w:tcPr>
                  <w:tcW w:w="372" w:type="pct"/>
                  <w:tcBorders>
                    <w:left w:val="single" w:color="auto" w:sz="4" w:space="0"/>
                  </w:tcBorders>
                  <w:tcMar>
                    <w:left w:w="0" w:type="dxa"/>
                    <w:right w:w="0" w:type="dxa"/>
                  </w:tcMar>
                  <w:vAlign w:val="center"/>
                </w:tcPr>
                <w:p w14:paraId="6B3B870E">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w:t>
                  </w:r>
                </w:p>
              </w:tc>
              <w:tc>
                <w:tcPr>
                  <w:tcW w:w="661" w:type="pct"/>
                  <w:tcMar>
                    <w:left w:w="0" w:type="dxa"/>
                    <w:right w:w="0" w:type="dxa"/>
                  </w:tcMar>
                  <w:vAlign w:val="center"/>
                </w:tcPr>
                <w:p w14:paraId="65B907D0">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生态环境</w:t>
                  </w:r>
                </w:p>
              </w:tc>
              <w:tc>
                <w:tcPr>
                  <w:tcW w:w="3966" w:type="pct"/>
                  <w:tcBorders>
                    <w:right w:val="single" w:color="auto" w:sz="4" w:space="0"/>
                  </w:tcBorders>
                  <w:tcMar>
                    <w:left w:w="0" w:type="dxa"/>
                    <w:right w:w="0" w:type="dxa"/>
                  </w:tcMar>
                  <w:vAlign w:val="center"/>
                </w:tcPr>
                <w:p w14:paraId="066DADC7">
                  <w:pPr>
                    <w:pStyle w:val="31"/>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用地面积按实际征地面积划定，不得超过规定面积；施工车辆严格按规定路线行驶，严禁随意开道，碾压植被、破坏周边农作物、野生植被、扰动土壤，严禁捕杀野生动物；施工结束后应对临时占地进行清理、平整，植被自然恢复。</w:t>
                  </w:r>
                </w:p>
              </w:tc>
            </w:tr>
            <w:tr w14:paraId="706EBB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08" w:hRule="atLeast"/>
                <w:jc w:val="center"/>
              </w:trPr>
              <w:tc>
                <w:tcPr>
                  <w:tcW w:w="372" w:type="pct"/>
                  <w:tcBorders>
                    <w:left w:val="single" w:color="auto" w:sz="4" w:space="0"/>
                  </w:tcBorders>
                  <w:tcMar>
                    <w:left w:w="0" w:type="dxa"/>
                    <w:right w:w="0" w:type="dxa"/>
                  </w:tcMar>
                  <w:vAlign w:val="center"/>
                </w:tcPr>
                <w:p w14:paraId="61221DE2">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w:t>
                  </w:r>
                </w:p>
              </w:tc>
              <w:tc>
                <w:tcPr>
                  <w:tcW w:w="661" w:type="pct"/>
                  <w:tcMar>
                    <w:left w:w="0" w:type="dxa"/>
                    <w:right w:w="0" w:type="dxa"/>
                  </w:tcMar>
                  <w:vAlign w:val="center"/>
                </w:tcPr>
                <w:p w14:paraId="74E15518">
                  <w:pPr>
                    <w:pStyle w:val="31"/>
                    <w:keepNext w:val="0"/>
                    <w:keepLines w:val="0"/>
                    <w:pageBreakBefore w:val="0"/>
                    <w:widowControl/>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环境管理</w:t>
                  </w:r>
                </w:p>
              </w:tc>
              <w:tc>
                <w:tcPr>
                  <w:tcW w:w="3966" w:type="pct"/>
                  <w:tcBorders>
                    <w:right w:val="single" w:color="auto" w:sz="4" w:space="0"/>
                  </w:tcBorders>
                  <w:tcMar>
                    <w:left w:w="0" w:type="dxa"/>
                    <w:right w:w="0" w:type="dxa"/>
                  </w:tcMar>
                  <w:vAlign w:val="center"/>
                </w:tcPr>
                <w:p w14:paraId="038A6C70">
                  <w:pPr>
                    <w:pStyle w:val="31"/>
                    <w:keepNext w:val="0"/>
                    <w:keepLines w:val="0"/>
                    <w:pageBreakBefore w:val="0"/>
                    <w:widowControl/>
                    <w:kinsoku/>
                    <w:wordWrap/>
                    <w:overflowPunct/>
                    <w:topLinePunct w:val="0"/>
                    <w:autoSpaceDE w:val="0"/>
                    <w:autoSpaceDN w:val="0"/>
                    <w:bidi w:val="0"/>
                    <w:adjustRightInd w:val="0"/>
                    <w:snapToGrid w:val="0"/>
                    <w:spacing w:line="240" w:lineRule="auto"/>
                    <w:jc w:val="both"/>
                    <w:textAlignment w:val="baseline"/>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施工单位应建立环境保护档案，保存施工前后项目区的影像资料，使施工全过程各类污染物产生、去向和各个污染防治措施及实施情况均记录在案。建设单位要求施工单位在钻井工程开工前进行环保自查，建设单位对施工单位钻井期间进行环保日常检查并做好记录；完工交井前，建设单位主管部门现场验收，合格后方可记录为完工，做到工完料净场地清，并做好记录。</w:t>
                  </w:r>
                </w:p>
              </w:tc>
            </w:tr>
          </w:tbl>
          <w:p w14:paraId="6325EEB8">
            <w:pPr>
              <w:pStyle w:val="22"/>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jc w:val="both"/>
              <w:textAlignment w:val="baseline"/>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2.环境监测计划</w:t>
            </w:r>
          </w:p>
          <w:p w14:paraId="414402C1">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77"/>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根据《</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排污许可证申请与核发技术规范总则》（HJ942-2018）及《排污单位自行监测技术指南总则》（HJ819-2017</w:t>
            </w:r>
            <w:r>
              <w:rPr>
                <w:rFonts w:hint="default" w:ascii="Times New Roman" w:hAnsi="Times New Roman" w:eastAsia="宋体" w:cs="Times New Roman"/>
                <w:color w:val="000000" w:themeColor="text1"/>
                <w:spacing w:val="-15"/>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并参照《排污单位自行监测技术指南 陆上石油天</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然气开采工业</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》（HJ 1248—2022）制定自行监测方案并开展监测。</w:t>
            </w:r>
          </w:p>
          <w:p w14:paraId="692A6DE4">
            <w:pPr>
              <w:pStyle w:val="22"/>
              <w:keepNext w:val="0"/>
              <w:keepLines w:val="0"/>
              <w:pageBreakBefore w:val="0"/>
              <w:widowControl w:val="0"/>
              <w:kinsoku/>
              <w:wordWrap/>
              <w:overflowPunct/>
              <w:topLinePunct w:val="0"/>
              <w:autoSpaceDE w:val="0"/>
              <w:autoSpaceDN w:val="0"/>
              <w:bidi w:val="0"/>
              <w:adjustRightInd w:val="0"/>
              <w:snapToGrid w:val="0"/>
              <w:spacing w:line="360" w:lineRule="auto"/>
              <w:ind w:left="0" w:firstLine="430"/>
              <w:jc w:val="both"/>
              <w:textAlignment w:val="baseline"/>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lang w:eastAsia="zh-CN"/>
                <w14:textFill>
                  <w14:solidFill>
                    <w14:schemeClr w14:val="tx1"/>
                  </w14:solidFill>
                </w14:textFill>
              </w:rPr>
              <w:t>每次监测都应有完整地记录。监测数据应及时整理、统计，</w:t>
            </w:r>
            <w:r>
              <w:rPr>
                <w:rFonts w:hint="default" w:ascii="Times New Roman" w:hAnsi="Times New Roman" w:eastAsia="宋体" w:cs="Times New Roman"/>
                <w:color w:val="000000" w:themeColor="text1"/>
                <w:spacing w:val="-3"/>
                <w:sz w:val="24"/>
                <w:szCs w:val="24"/>
                <w:highlight w:val="none"/>
                <w:lang w:eastAsia="zh-CN"/>
                <w14:textFill>
                  <w14:solidFill>
                    <w14:schemeClr w14:val="tx1"/>
                  </w14:solidFill>
                </w14:textFill>
              </w:rPr>
              <w:t>做好监测资料的归档工作。</w:t>
            </w:r>
          </w:p>
          <w:p w14:paraId="1BC6C47C">
            <w:pPr>
              <w:pStyle w:val="22"/>
              <w:keepNext w:val="0"/>
              <w:keepLines w:val="0"/>
              <w:pageBreakBefore w:val="0"/>
              <w:widowControl w:val="0"/>
              <w:kinsoku/>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5"/>
                <w:sz w:val="21"/>
                <w:szCs w:val="21"/>
                <w:highlight w:val="none"/>
                <w14:textFill>
                  <w14:solidFill>
                    <w14:schemeClr w14:val="tx1"/>
                  </w14:solidFill>
                </w14:textFill>
              </w:rPr>
              <w:t>表</w:t>
            </w:r>
            <w:r>
              <w:rPr>
                <w:rFonts w:hint="default" w:ascii="Times New Roman" w:hAnsi="Times New Roman" w:eastAsia="宋体" w:cs="Times New Roman"/>
                <w:b/>
                <w:bCs/>
                <w:color w:val="000000" w:themeColor="text1"/>
                <w:spacing w:val="5"/>
                <w:sz w:val="21"/>
                <w:szCs w:val="21"/>
                <w:highlight w:val="none"/>
                <w:lang w:eastAsia="zh-CN"/>
                <w14:textFill>
                  <w14:solidFill>
                    <w14:schemeClr w14:val="tx1"/>
                  </w14:solidFill>
                </w14:textFill>
              </w:rPr>
              <w:t>5-3</w:t>
            </w:r>
            <w:r>
              <w:rPr>
                <w:rFonts w:hint="eastAsia" w:ascii="Times New Roman" w:hAnsi="Times New Roman" w:cs="Times New Roman"/>
                <w:b/>
                <w:bCs/>
                <w:color w:val="000000" w:themeColor="text1"/>
                <w:spacing w:val="5"/>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pacing w:val="5"/>
                <w:sz w:val="21"/>
                <w:szCs w:val="21"/>
                <w:highlight w:val="none"/>
                <w14:textFill>
                  <w14:solidFill>
                    <w14:schemeClr w14:val="tx1"/>
                  </w14:solidFill>
                </w14:textFill>
              </w:rPr>
              <w:t>环境监测计划表</w:t>
            </w:r>
          </w:p>
          <w:tbl>
            <w:tblPr>
              <w:tblStyle w:val="21"/>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9"/>
              <w:gridCol w:w="2227"/>
              <w:gridCol w:w="958"/>
              <w:gridCol w:w="2111"/>
              <w:gridCol w:w="2103"/>
            </w:tblGrid>
            <w:tr w14:paraId="0DBD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19" w:type="dxa"/>
                  <w:vAlign w:val="center"/>
                </w:tcPr>
                <w:p w14:paraId="52E4D1F4">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监测要素</w:t>
                  </w:r>
                </w:p>
              </w:tc>
              <w:tc>
                <w:tcPr>
                  <w:tcW w:w="2227" w:type="dxa"/>
                  <w:vAlign w:val="center"/>
                </w:tcPr>
                <w:p w14:paraId="1D8B6605">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监测点位</w:t>
                  </w:r>
                </w:p>
              </w:tc>
              <w:tc>
                <w:tcPr>
                  <w:tcW w:w="958" w:type="dxa"/>
                  <w:vAlign w:val="center"/>
                </w:tcPr>
                <w:p w14:paraId="6121EB98">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监测项目/因子</w:t>
                  </w:r>
                </w:p>
              </w:tc>
              <w:tc>
                <w:tcPr>
                  <w:tcW w:w="2111" w:type="dxa"/>
                  <w:vAlign w:val="center"/>
                </w:tcPr>
                <w:p w14:paraId="77B1BCC3">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监测频次与周期</w:t>
                  </w:r>
                </w:p>
              </w:tc>
              <w:tc>
                <w:tcPr>
                  <w:tcW w:w="2103" w:type="dxa"/>
                  <w:vAlign w:val="center"/>
                </w:tcPr>
                <w:p w14:paraId="042AE1DA">
                  <w:pPr>
                    <w:keepNext w:val="0"/>
                    <w:keepLines w:val="0"/>
                    <w:widowControl/>
                    <w:suppressLineNumbers w:val="0"/>
                    <w:bidi w:val="0"/>
                    <w:jc w:val="center"/>
                    <w:textAlignment w:val="bottom"/>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0"/>
                      <w:sz w:val="20"/>
                      <w:szCs w:val="20"/>
                      <w:lang w:val="en-US" w:eastAsia="zh-CN" w:bidi="ar"/>
                      <w14:textFill>
                        <w14:solidFill>
                          <w14:schemeClr w14:val="tx1"/>
                        </w14:solidFill>
                      </w14:textFill>
                    </w:rPr>
                    <w:t>执行标准</w:t>
                  </w:r>
                </w:p>
              </w:tc>
            </w:tr>
            <w:tr w14:paraId="051C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0" w:hRule="atLeast"/>
                <w:jc w:val="center"/>
              </w:trPr>
              <w:tc>
                <w:tcPr>
                  <w:tcW w:w="619" w:type="dxa"/>
                  <w:vAlign w:val="center"/>
                </w:tcPr>
                <w:p w14:paraId="6D6D2338">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环境空气</w:t>
                  </w:r>
                </w:p>
              </w:tc>
              <w:tc>
                <w:tcPr>
                  <w:tcW w:w="2227" w:type="dxa"/>
                  <w:vAlign w:val="center"/>
                </w:tcPr>
                <w:p w14:paraId="2EBCA6E1">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井场上风向、下风向各设 1 个监测点（共2个点位）</w:t>
                  </w:r>
                </w:p>
              </w:tc>
              <w:tc>
                <w:tcPr>
                  <w:tcW w:w="958" w:type="dxa"/>
                  <w:vAlign w:val="center"/>
                </w:tcPr>
                <w:p w14:paraId="1DABC8D9">
                  <w:pPr>
                    <w:keepNext w:val="0"/>
                    <w:keepLines w:val="0"/>
                    <w:widowControl/>
                    <w:suppressLineNumbers w:val="0"/>
                    <w:bidi w:val="0"/>
                    <w:jc w:val="center"/>
                    <w:textAlignment w:val="bottom"/>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非甲烷总烃、H₂S</w:t>
                  </w:r>
                </w:p>
              </w:tc>
              <w:tc>
                <w:tcPr>
                  <w:tcW w:w="2111" w:type="dxa"/>
                  <w:vAlign w:val="center"/>
                </w:tcPr>
                <w:p w14:paraId="2FFF2192">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试油期监测 1 次，监测持续 2~3 天。</w:t>
                  </w:r>
                </w:p>
              </w:tc>
              <w:tc>
                <w:tcPr>
                  <w:tcW w:w="2103" w:type="dxa"/>
                  <w:vAlign w:val="center"/>
                </w:tcPr>
                <w:p w14:paraId="08DB48D2">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《大气污染物综合排放标准》(GB16297</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-1996</w:t>
                  </w: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 / 《恶臭污染物排放标准》(GB14554</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-2018</w:t>
                  </w: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w:t>
                  </w:r>
                </w:p>
              </w:tc>
            </w:tr>
            <w:tr w14:paraId="72D3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 w:hRule="atLeast"/>
                <w:jc w:val="center"/>
              </w:trPr>
              <w:tc>
                <w:tcPr>
                  <w:tcW w:w="619" w:type="dxa"/>
                  <w:vAlign w:val="center"/>
                </w:tcPr>
                <w:p w14:paraId="5C7CE00C">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声环境</w:t>
                  </w:r>
                </w:p>
              </w:tc>
              <w:tc>
                <w:tcPr>
                  <w:tcW w:w="2227" w:type="dxa"/>
                  <w:vAlign w:val="center"/>
                </w:tcPr>
                <w:p w14:paraId="396EE0A8">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井场边界东、南、西、北四方位各设 1 个监测点（外1m处，共4个点位）</w:t>
                  </w:r>
                </w:p>
              </w:tc>
              <w:tc>
                <w:tcPr>
                  <w:tcW w:w="958" w:type="dxa"/>
                  <w:vAlign w:val="center"/>
                </w:tcPr>
                <w:p w14:paraId="21044ED5">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等效连续A声级 (Leq)</w:t>
                  </w:r>
                </w:p>
              </w:tc>
              <w:tc>
                <w:tcPr>
                  <w:tcW w:w="2111" w:type="dxa"/>
                  <w:vAlign w:val="center"/>
                </w:tcPr>
                <w:p w14:paraId="066BB50B">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钻井期、试油期各监测 1 次；每次昼间、夜间各监测2个时段。</w:t>
                  </w:r>
                </w:p>
              </w:tc>
              <w:tc>
                <w:tcPr>
                  <w:tcW w:w="2103" w:type="dxa"/>
                  <w:vAlign w:val="center"/>
                </w:tcPr>
                <w:p w14:paraId="76F2F192">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w:hAnsi="Times New Roman" w:eastAsia="宋体" w:cs="Times New Roman"/>
                      <w:color w:val="000000" w:themeColor="text1"/>
                      <w:highlight w:val="none"/>
                      <w:lang w:val="en-US"/>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《建筑施工场界环境噪声排放标准》（GB12523</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-2025</w:t>
                  </w: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w:t>
                  </w:r>
                </w:p>
              </w:tc>
            </w:tr>
            <w:tr w14:paraId="20ABB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619" w:type="dxa"/>
                  <w:vAlign w:val="center"/>
                </w:tcPr>
                <w:p w14:paraId="0645FE2B">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土壤环境</w:t>
                  </w:r>
                </w:p>
              </w:tc>
              <w:tc>
                <w:tcPr>
                  <w:tcW w:w="2227" w:type="dxa"/>
                  <w:vAlign w:val="center"/>
                </w:tcPr>
                <w:p w14:paraId="421713C4">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重点防渗区周边设置 3 个土壤监测点</w:t>
                  </w:r>
                </w:p>
              </w:tc>
              <w:tc>
                <w:tcPr>
                  <w:tcW w:w="958" w:type="dxa"/>
                  <w:vAlign w:val="center"/>
                </w:tcPr>
                <w:p w14:paraId="41FA7BF7">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pH、石油烃（C10-C40）</w:t>
                  </w:r>
                </w:p>
              </w:tc>
              <w:tc>
                <w:tcPr>
                  <w:tcW w:w="2111" w:type="dxa"/>
                  <w:vAlign w:val="center"/>
                </w:tcPr>
                <w:p w14:paraId="26953CF0">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完井清场及封井后补充 1 次监测。</w:t>
                  </w:r>
                </w:p>
              </w:tc>
              <w:tc>
                <w:tcPr>
                  <w:tcW w:w="2103" w:type="dxa"/>
                  <w:vAlign w:val="center"/>
                </w:tcPr>
                <w:p w14:paraId="448F1817">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《土壤环境质量 农用地土壤污染风险管控标准》</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（GB15618-2018）</w:t>
                  </w:r>
                </w:p>
              </w:tc>
            </w:tr>
            <w:tr w14:paraId="0EC63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619" w:type="dxa"/>
                  <w:vAlign w:val="center"/>
                </w:tcPr>
                <w:p w14:paraId="2FFDE569">
                  <w:pPr>
                    <w:keepNext w:val="0"/>
                    <w:keepLines w:val="0"/>
                    <w:widowControl/>
                    <w:suppressLineNumbers w:val="0"/>
                    <w:bidi w:val="0"/>
                    <w:jc w:val="center"/>
                    <w:textAlignment w:val="bottom"/>
                    <w:rPr>
                      <w:rFonts w:hint="default" w:ascii="Times New Roman" w:hAnsi="Times New Roman" w:eastAsia="宋体" w:cs="Times New Roman"/>
                      <w:color w:val="000000" w:themeColor="text1"/>
                      <w:spacing w:val="4"/>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地下水环境</w:t>
                  </w:r>
                </w:p>
              </w:tc>
              <w:tc>
                <w:tcPr>
                  <w:tcW w:w="2227" w:type="dxa"/>
                  <w:vAlign w:val="center"/>
                </w:tcPr>
                <w:p w14:paraId="0C33F3CE">
                  <w:pPr>
                    <w:keepNext w:val="0"/>
                    <w:keepLines w:val="0"/>
                    <w:widowControl/>
                    <w:suppressLineNumbers w:val="0"/>
                    <w:bidi w:val="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井场周边设置 2 个地下水监测井（涵盖浅层、深层含水层）</w:t>
                  </w:r>
                </w:p>
              </w:tc>
              <w:tc>
                <w:tcPr>
                  <w:tcW w:w="958" w:type="dxa"/>
                  <w:vAlign w:val="center"/>
                </w:tcPr>
                <w:p w14:paraId="094EB456">
                  <w:pPr>
                    <w:keepNext w:val="0"/>
                    <w:keepLines w:val="0"/>
                    <w:widowControl/>
                    <w:suppressLineNumbers w:val="0"/>
                    <w:bidi w:val="0"/>
                    <w:jc w:val="center"/>
                    <w:textAlignment w:val="bottom"/>
                    <w:rPr>
                      <w:rFonts w:hint="default" w:ascii="Times New Roman" w:hAnsi="Times New Roman" w:eastAsia="宋体" w:cs="Times New Roman"/>
                      <w:color w:val="000000" w:themeColor="text1"/>
                      <w:spacing w:val="6"/>
                      <w:sz w:val="21"/>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pH、石油烃、COD</w:t>
                  </w:r>
                </w:p>
              </w:tc>
              <w:tc>
                <w:tcPr>
                  <w:tcW w:w="2111" w:type="dxa"/>
                  <w:vAlign w:val="center"/>
                </w:tcPr>
                <w:p w14:paraId="31557745">
                  <w:pPr>
                    <w:keepNext w:val="0"/>
                    <w:keepLines w:val="0"/>
                    <w:widowControl/>
                    <w:suppressLineNumbers w:val="0"/>
                    <w:bidi w:val="0"/>
                    <w:jc w:val="center"/>
                    <w:textAlignment w:val="bottom"/>
                    <w:rPr>
                      <w:rFonts w:hint="default" w:ascii="Times New Roman" w:hAnsi="Times New Roman" w:eastAsia="宋体" w:cs="Times New Roman"/>
                      <w:color w:val="000000" w:themeColor="text1"/>
                      <w:spacing w:val="7"/>
                      <w:sz w:val="21"/>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施工期、封井后各监测 1 次。</w:t>
                  </w:r>
                </w:p>
              </w:tc>
              <w:tc>
                <w:tcPr>
                  <w:tcW w:w="2103" w:type="dxa"/>
                  <w:vAlign w:val="center"/>
                </w:tcPr>
                <w:p w14:paraId="6C906B1B">
                  <w:pPr>
                    <w:keepNext w:val="0"/>
                    <w:keepLines w:val="0"/>
                    <w:widowControl/>
                    <w:suppressLineNumbers w:val="0"/>
                    <w:pBdr>
                      <w:top w:val="none" w:color="auto" w:sz="0" w:space="0"/>
                      <w:left w:val="none" w:color="auto" w:sz="0" w:space="0"/>
                      <w:bottom w:val="none" w:color="auto" w:sz="0" w:space="0"/>
                      <w:right w:val="none" w:color="auto" w:sz="0" w:space="0"/>
                    </w:pBdr>
                    <w:bidi w:val="0"/>
                    <w:jc w:val="center"/>
                    <w:textAlignment w:val="bottom"/>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《地下水质量标准》(GB/T14848</w:t>
                  </w:r>
                  <w:r>
                    <w:rPr>
                      <w:rFonts w:hint="eastAsia"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-2024</w:t>
                  </w:r>
                  <w:r>
                    <w:rPr>
                      <w:rFonts w:hint="default" w:ascii="Times New Roman" w:hAnsi="Times New Roman" w:eastAsia="宋体" w:cs="Times New Roman"/>
                      <w:snapToGrid w:val="0"/>
                      <w:color w:val="000000" w:themeColor="text1"/>
                      <w:kern w:val="0"/>
                      <w:sz w:val="20"/>
                      <w:szCs w:val="20"/>
                      <w:lang w:val="en-US" w:eastAsia="zh-CN" w:bidi="ar"/>
                      <w14:textFill>
                        <w14:solidFill>
                          <w14:schemeClr w14:val="tx1"/>
                        </w14:solidFill>
                      </w14:textFill>
                    </w:rPr>
                    <w:t>)</w:t>
                  </w:r>
                </w:p>
              </w:tc>
            </w:tr>
          </w:tbl>
          <w:p w14:paraId="4A9AD265">
            <w:pPr>
              <w:pStyle w:val="26"/>
              <w:widowControl w:val="0"/>
              <w:kinsoku/>
              <w:ind w:firstLine="0" w:firstLineChars="0"/>
              <w:jc w:val="both"/>
              <w:rPr>
                <w:rFonts w:hint="default" w:ascii="Times New Roman" w:hAnsi="Times New Roman" w:eastAsia="宋体" w:cs="Times New Roman"/>
                <w:color w:val="000000" w:themeColor="text1"/>
                <w:highlight w:val="none"/>
                <w:lang w:eastAsia="zh-CN"/>
                <w14:textFill>
                  <w14:solidFill>
                    <w14:schemeClr w14:val="tx1"/>
                  </w14:solidFill>
                </w14:textFill>
              </w:rPr>
            </w:pPr>
          </w:p>
        </w:tc>
      </w:tr>
      <w:tr w14:paraId="727E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3" w:hRule="atLeast"/>
          <w:jc w:val="center"/>
        </w:trPr>
        <w:tc>
          <w:tcPr>
            <w:tcW w:w="271" w:type="pct"/>
            <w:vAlign w:val="center"/>
          </w:tcPr>
          <w:p w14:paraId="28463F4E">
            <w:pPr>
              <w:widowControl w:val="0"/>
              <w:kinsoku/>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环保投资</w:t>
            </w:r>
          </w:p>
        </w:tc>
        <w:tc>
          <w:tcPr>
            <w:tcW w:w="4728" w:type="pct"/>
            <w:vAlign w:val="center"/>
          </w:tcPr>
          <w:p w14:paraId="29F76AD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bookmarkStart w:id="43" w:name="_Hlk136795979"/>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项目总投资38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65.5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万元，其中环保投资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万元，占工程总投资的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6.34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%。环保投资详见表5-4。</w:t>
            </w:r>
          </w:p>
          <w:p w14:paraId="13CB0D08">
            <w:pPr>
              <w:pStyle w:val="5"/>
              <w:keepNext/>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 xml:space="preserve">表5-4 </w:t>
            </w: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lang w:eastAsia="zh-CN"/>
                <w14:textFill>
                  <w14:solidFill>
                    <w14:schemeClr w14:val="tx1"/>
                  </w14:solidFill>
                </w14:textFill>
              </w:rPr>
              <w:t>环保投资一览表</w:t>
            </w:r>
          </w:p>
          <w:bookmarkEnd w:id="43"/>
          <w:tbl>
            <w:tblPr>
              <w:tblStyle w:val="16"/>
              <w:tblW w:w="83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1624"/>
              <w:gridCol w:w="4711"/>
              <w:gridCol w:w="963"/>
              <w:gridCol w:w="557"/>
            </w:tblGrid>
            <w:tr w14:paraId="5DD364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73" w:type="pct"/>
                  <w:gridSpan w:val="2"/>
                  <w:tcBorders>
                    <w:top w:val="single" w:color="auto" w:sz="4" w:space="0"/>
                    <w:left w:val="single" w:color="auto" w:sz="0" w:space="0"/>
                  </w:tcBorders>
                  <w:tcMar>
                    <w:left w:w="0" w:type="dxa"/>
                    <w:right w:w="0" w:type="dxa"/>
                  </w:tcMar>
                  <w:vAlign w:val="center"/>
                </w:tcPr>
                <w:p w14:paraId="6FBFAB98">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工程名称</w:t>
                  </w:r>
                </w:p>
              </w:tc>
              <w:tc>
                <w:tcPr>
                  <w:tcW w:w="2816" w:type="pct"/>
                  <w:tcBorders>
                    <w:top w:val="single" w:color="auto" w:sz="4" w:space="0"/>
                  </w:tcBorders>
                  <w:tcMar>
                    <w:left w:w="0" w:type="dxa"/>
                    <w:right w:w="0" w:type="dxa"/>
                  </w:tcMar>
                  <w:vAlign w:val="center"/>
                </w:tcPr>
                <w:p w14:paraId="2726CF32">
                  <w:pPr>
                    <w:kinsoku/>
                    <w:spacing w:line="300" w:lineRule="exact"/>
                    <w:jc w:val="center"/>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拟采取的环保措施</w:t>
                  </w:r>
                </w:p>
              </w:tc>
              <w:tc>
                <w:tcPr>
                  <w:tcW w:w="576" w:type="pct"/>
                  <w:tcBorders>
                    <w:top w:val="single" w:color="auto" w:sz="4" w:space="0"/>
                  </w:tcBorders>
                  <w:tcMar>
                    <w:left w:w="0" w:type="dxa"/>
                    <w:right w:w="0" w:type="dxa"/>
                  </w:tcMar>
                  <w:vAlign w:val="center"/>
                </w:tcPr>
                <w:p w14:paraId="16E77713">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环保投资</w:t>
                  </w:r>
                </w:p>
                <w:p w14:paraId="48CFD970">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（万元）</w:t>
                  </w:r>
                </w:p>
              </w:tc>
              <w:tc>
                <w:tcPr>
                  <w:tcW w:w="333" w:type="pct"/>
                  <w:tcBorders>
                    <w:top w:val="single" w:color="auto" w:sz="4" w:space="0"/>
                    <w:right w:val="single" w:color="auto" w:sz="4" w:space="0"/>
                  </w:tcBorders>
                  <w:tcMar>
                    <w:left w:w="0" w:type="dxa"/>
                    <w:right w:w="0" w:type="dxa"/>
                  </w:tcMar>
                  <w:vAlign w:val="center"/>
                </w:tcPr>
                <w:p w14:paraId="68D566BE">
                  <w:pPr>
                    <w:kinsoku/>
                    <w:spacing w:line="300" w:lineRule="exact"/>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实施时间</w:t>
                  </w:r>
                </w:p>
              </w:tc>
            </w:tr>
            <w:tr w14:paraId="081E5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302" w:type="pct"/>
                  <w:vMerge w:val="restart"/>
                  <w:tcBorders>
                    <w:left w:val="single" w:color="auto" w:sz="4" w:space="0"/>
                  </w:tcBorders>
                  <w:tcMar>
                    <w:left w:w="0" w:type="dxa"/>
                    <w:right w:w="0" w:type="dxa"/>
                  </w:tcMar>
                  <w:vAlign w:val="center"/>
                </w:tcPr>
                <w:p w14:paraId="11CA695D">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bookmarkStart w:id="44" w:name="_Hlk180059680"/>
                  <w:r>
                    <w:rPr>
                      <w:rFonts w:hint="default" w:ascii="Times New Roman" w:hAnsi="Times New Roman" w:eastAsia="宋体" w:cs="Times New Roman"/>
                      <w:color w:val="000000" w:themeColor="text1"/>
                      <w14:textFill>
                        <w14:solidFill>
                          <w14:schemeClr w14:val="tx1"/>
                        </w14:solidFill>
                      </w14:textFill>
                    </w:rPr>
                    <w:t>废气</w:t>
                  </w:r>
                </w:p>
              </w:tc>
              <w:tc>
                <w:tcPr>
                  <w:tcW w:w="970" w:type="pct"/>
                  <w:vAlign w:val="center"/>
                </w:tcPr>
                <w:p w14:paraId="1D38DBD2">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试油伴生气</w:t>
                  </w:r>
                </w:p>
              </w:tc>
              <w:tc>
                <w:tcPr>
                  <w:tcW w:w="2816" w:type="pct"/>
                  <w:tcMar>
                    <w:left w:w="0" w:type="dxa"/>
                    <w:right w:w="0" w:type="dxa"/>
                  </w:tcMar>
                  <w:vAlign w:val="center"/>
                </w:tcPr>
                <w:p w14:paraId="2955C242">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经排气管线充分燃烧后排放。</w:t>
                  </w:r>
                </w:p>
              </w:tc>
              <w:tc>
                <w:tcPr>
                  <w:tcW w:w="576" w:type="pct"/>
                  <w:tcMar>
                    <w:left w:w="0" w:type="dxa"/>
                    <w:right w:w="0" w:type="dxa"/>
                  </w:tcMar>
                  <w:vAlign w:val="center"/>
                </w:tcPr>
                <w:p w14:paraId="5A0A35F1">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eastAsia" w:ascii="Times New Roman" w:hAnsi="Times New Roman" w:eastAsia="宋体" w:cs="Times New Roman"/>
                      <w:color w:val="000000" w:themeColor="text1"/>
                      <w:lang w:val="en-US" w:eastAsia="zh-CN"/>
                      <w14:textFill>
                        <w14:solidFill>
                          <w14:schemeClr w14:val="tx1"/>
                        </w14:solidFill>
                      </w14:textFill>
                    </w:rPr>
                    <w:t>0</w:t>
                  </w:r>
                </w:p>
              </w:tc>
              <w:tc>
                <w:tcPr>
                  <w:tcW w:w="333" w:type="pct"/>
                  <w:vMerge w:val="restart"/>
                  <w:tcBorders>
                    <w:right w:val="single" w:color="auto" w:sz="4" w:space="0"/>
                  </w:tcBorders>
                  <w:tcMar>
                    <w:left w:w="0" w:type="dxa"/>
                    <w:right w:w="0" w:type="dxa"/>
                  </w:tcMar>
                  <w:vAlign w:val="center"/>
                </w:tcPr>
                <w:p w14:paraId="54C441D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与钻井、试油期同步</w:t>
                  </w:r>
                </w:p>
              </w:tc>
            </w:tr>
            <w:tr w14:paraId="34E59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02" w:type="pct"/>
                  <w:vMerge w:val="continue"/>
                  <w:tcBorders>
                    <w:left w:val="single" w:color="auto" w:sz="4" w:space="0"/>
                  </w:tcBorders>
                  <w:tcMar>
                    <w:left w:w="0" w:type="dxa"/>
                    <w:right w:w="0" w:type="dxa"/>
                  </w:tcMar>
                  <w:vAlign w:val="center"/>
                </w:tcPr>
                <w:p w14:paraId="0ECAC59E">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vAlign w:val="center"/>
                </w:tcPr>
                <w:p w14:paraId="45B85EBC">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锅炉废气</w:t>
                  </w:r>
                </w:p>
              </w:tc>
              <w:tc>
                <w:tcPr>
                  <w:tcW w:w="2816" w:type="pct"/>
                  <w:tcMar>
                    <w:left w:w="0" w:type="dxa"/>
                    <w:right w:w="0" w:type="dxa"/>
                  </w:tcMar>
                  <w:vAlign w:val="center"/>
                </w:tcPr>
                <w:p w14:paraId="1A26C80D">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采用水幕预除尘+耐高温布袋除尘器+低氮燃烧技术（风配优化、分级燃烧），拟设置1根30m高排气筒</w:t>
                  </w:r>
                </w:p>
              </w:tc>
              <w:tc>
                <w:tcPr>
                  <w:tcW w:w="576" w:type="pct"/>
                  <w:tcMar>
                    <w:left w:w="0" w:type="dxa"/>
                    <w:right w:w="0" w:type="dxa"/>
                  </w:tcMar>
                  <w:vAlign w:val="center"/>
                </w:tcPr>
                <w:p w14:paraId="68BB6070">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18</w:t>
                  </w:r>
                </w:p>
              </w:tc>
              <w:tc>
                <w:tcPr>
                  <w:tcW w:w="333" w:type="pct"/>
                  <w:vMerge w:val="continue"/>
                  <w:tcBorders>
                    <w:right w:val="single" w:color="auto" w:sz="4" w:space="0"/>
                  </w:tcBorders>
                  <w:tcMar>
                    <w:left w:w="0" w:type="dxa"/>
                    <w:right w:w="0" w:type="dxa"/>
                  </w:tcMar>
                  <w:vAlign w:val="center"/>
                </w:tcPr>
                <w:p w14:paraId="5C1C96CA">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0326C5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02" w:type="pct"/>
                  <w:vMerge w:val="continue"/>
                  <w:tcBorders>
                    <w:left w:val="single" w:color="auto" w:sz="4" w:space="0"/>
                  </w:tcBorders>
                  <w:tcMar>
                    <w:left w:w="0" w:type="dxa"/>
                    <w:right w:w="0" w:type="dxa"/>
                  </w:tcMar>
                  <w:vAlign w:val="center"/>
                </w:tcPr>
                <w:p w14:paraId="0D33B5E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vAlign w:val="center"/>
                </w:tcPr>
                <w:p w14:paraId="140BEF1B">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施工扬尘</w:t>
                  </w:r>
                </w:p>
              </w:tc>
              <w:tc>
                <w:tcPr>
                  <w:tcW w:w="2816" w:type="pct"/>
                  <w:tcMar>
                    <w:left w:w="0" w:type="dxa"/>
                    <w:right w:w="0" w:type="dxa"/>
                  </w:tcMar>
                  <w:vAlign w:val="center"/>
                </w:tcPr>
                <w:p w14:paraId="28E094D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物料覆盖、道路洒水抑尘、车辆冲洗/限速、裸土临时覆盖等等措施。</w:t>
                  </w:r>
                </w:p>
              </w:tc>
              <w:tc>
                <w:tcPr>
                  <w:tcW w:w="576" w:type="pct"/>
                  <w:tcMar>
                    <w:left w:w="0" w:type="dxa"/>
                    <w:right w:w="0" w:type="dxa"/>
                  </w:tcMar>
                  <w:vAlign w:val="center"/>
                </w:tcPr>
                <w:p w14:paraId="4ABA87CB">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7</w:t>
                  </w:r>
                </w:p>
              </w:tc>
              <w:tc>
                <w:tcPr>
                  <w:tcW w:w="333" w:type="pct"/>
                  <w:vMerge w:val="continue"/>
                  <w:tcBorders>
                    <w:right w:val="single" w:color="auto" w:sz="4" w:space="0"/>
                  </w:tcBorders>
                  <w:tcMar>
                    <w:left w:w="0" w:type="dxa"/>
                    <w:right w:w="0" w:type="dxa"/>
                  </w:tcMar>
                  <w:vAlign w:val="center"/>
                </w:tcPr>
                <w:p w14:paraId="70F85D78">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67EB9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02" w:type="pct"/>
                  <w:vMerge w:val="restart"/>
                  <w:tcBorders>
                    <w:left w:val="single" w:color="auto" w:sz="4" w:space="0"/>
                  </w:tcBorders>
                  <w:tcMar>
                    <w:left w:w="0" w:type="dxa"/>
                    <w:right w:w="0" w:type="dxa"/>
                  </w:tcMar>
                  <w:vAlign w:val="center"/>
                </w:tcPr>
                <w:p w14:paraId="0183B5FF">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bookmarkStart w:id="45" w:name="_Hlk189405565"/>
                  <w:r>
                    <w:rPr>
                      <w:rFonts w:hint="default" w:ascii="Times New Roman" w:hAnsi="Times New Roman" w:eastAsia="宋体" w:cs="Times New Roman"/>
                      <w:color w:val="000000" w:themeColor="text1"/>
                      <w14:textFill>
                        <w14:solidFill>
                          <w14:schemeClr w14:val="tx1"/>
                        </w14:solidFill>
                      </w14:textFill>
                    </w:rPr>
                    <w:t>废水处理</w:t>
                  </w:r>
                </w:p>
              </w:tc>
              <w:tc>
                <w:tcPr>
                  <w:tcW w:w="970" w:type="pct"/>
                  <w:tcMar>
                    <w:left w:w="0" w:type="dxa"/>
                    <w:right w:w="0" w:type="dxa"/>
                  </w:tcMar>
                  <w:vAlign w:val="center"/>
                </w:tcPr>
                <w:p w14:paraId="34E9A126">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洗井废水、压裂返排液</w:t>
                  </w:r>
                </w:p>
              </w:tc>
              <w:tc>
                <w:tcPr>
                  <w:tcW w:w="2816" w:type="pct"/>
                  <w:tcMar>
                    <w:left w:w="0" w:type="dxa"/>
                    <w:right w:w="0" w:type="dxa"/>
                  </w:tcMar>
                  <w:vAlign w:val="center"/>
                </w:tcPr>
                <w:p w14:paraId="01D81169">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由地面储罐收集后，依托</w:t>
                  </w:r>
                  <w:r>
                    <w:rPr>
                      <w:rFonts w:hint="default" w:ascii="Times New Roman" w:hAnsi="Times New Roman" w:eastAsia="宋体" w:cs="Times New Roman"/>
                      <w:color w:val="000000" w:themeColor="text1"/>
                      <w:lang w:val="en-US" w:eastAsia="zh-CN"/>
                      <w14:textFill>
                        <w14:solidFill>
                          <w14:schemeClr w14:val="tx1"/>
                        </w14:solidFill>
                      </w14:textFill>
                    </w:rPr>
                    <w:t>吉康</w:t>
                  </w:r>
                  <w:r>
                    <w:rPr>
                      <w:rFonts w:hint="default" w:ascii="Times New Roman" w:hAnsi="Times New Roman" w:eastAsia="宋体" w:cs="Times New Roman"/>
                      <w:color w:val="000000" w:themeColor="text1"/>
                      <w:lang w:eastAsia="zh-CN"/>
                      <w14:textFill>
                        <w14:solidFill>
                          <w14:schemeClr w14:val="tx1"/>
                        </w14:solidFill>
                      </w14:textFill>
                    </w:rPr>
                    <w:t>脱水站处理后回注。</w:t>
                  </w:r>
                </w:p>
              </w:tc>
              <w:tc>
                <w:tcPr>
                  <w:tcW w:w="576" w:type="pct"/>
                  <w:tcMar>
                    <w:left w:w="0" w:type="dxa"/>
                    <w:right w:w="0" w:type="dxa"/>
                  </w:tcMar>
                  <w:vAlign w:val="center"/>
                </w:tcPr>
                <w:p w14:paraId="59208AF9">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w:t>
                  </w:r>
                </w:p>
              </w:tc>
              <w:tc>
                <w:tcPr>
                  <w:tcW w:w="333" w:type="pct"/>
                  <w:vMerge w:val="continue"/>
                  <w:tcBorders>
                    <w:right w:val="single" w:color="auto" w:sz="4" w:space="0"/>
                  </w:tcBorders>
                  <w:tcMar>
                    <w:left w:w="0" w:type="dxa"/>
                    <w:right w:w="0" w:type="dxa"/>
                  </w:tcMar>
                  <w:vAlign w:val="center"/>
                </w:tcPr>
                <w:p w14:paraId="50805FE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bookmarkEnd w:id="45"/>
            <w:tr w14:paraId="26DD1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302" w:type="pct"/>
                  <w:vMerge w:val="continue"/>
                  <w:tcBorders>
                    <w:left w:val="single" w:color="auto" w:sz="4" w:space="0"/>
                  </w:tcBorders>
                  <w:tcMar>
                    <w:left w:w="0" w:type="dxa"/>
                    <w:right w:w="0" w:type="dxa"/>
                  </w:tcMar>
                  <w:vAlign w:val="center"/>
                </w:tcPr>
                <w:p w14:paraId="53F6C351">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tcMar>
                    <w:left w:w="0" w:type="dxa"/>
                    <w:right w:w="0" w:type="dxa"/>
                  </w:tcMar>
                  <w:vAlign w:val="center"/>
                </w:tcPr>
                <w:p w14:paraId="3CAFCD99">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生活污水</w:t>
                  </w:r>
                </w:p>
              </w:tc>
              <w:tc>
                <w:tcPr>
                  <w:tcW w:w="2816" w:type="pct"/>
                  <w:tcMar>
                    <w:left w:w="0" w:type="dxa"/>
                    <w:right w:w="0" w:type="dxa"/>
                  </w:tcMar>
                  <w:vAlign w:val="center"/>
                </w:tcPr>
                <w:p w14:paraId="3F6F31E3">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bookmarkStart w:id="46" w:name="_Hlk189405579"/>
                  <w:r>
                    <w:rPr>
                      <w:rFonts w:hint="default" w:ascii="Times New Roman" w:hAnsi="Times New Roman" w:eastAsia="宋体" w:cs="Times New Roman"/>
                      <w:color w:val="000000" w:themeColor="text1"/>
                      <w:lang w:eastAsia="zh-CN"/>
                      <w14:textFill>
                        <w14:solidFill>
                          <w14:schemeClr w14:val="tx1"/>
                        </w14:solidFill>
                      </w14:textFill>
                    </w:rPr>
                    <w:t>设临时防渗收集池收集暂存，定期由施工队采用吸污车抽出并拉运至吉木萨尔县城污水处理厂处理</w:t>
                  </w:r>
                  <w:bookmarkEnd w:id="46"/>
                  <w:r>
                    <w:rPr>
                      <w:rFonts w:hint="default" w:ascii="Times New Roman" w:hAnsi="Times New Roman" w:eastAsia="宋体" w:cs="Times New Roman"/>
                      <w:color w:val="000000" w:themeColor="text1"/>
                      <w:lang w:eastAsia="zh-CN"/>
                      <w14:textFill>
                        <w14:solidFill>
                          <w14:schemeClr w14:val="tx1"/>
                        </w14:solidFill>
                      </w14:textFill>
                    </w:rPr>
                    <w:t>。</w:t>
                  </w:r>
                </w:p>
              </w:tc>
              <w:tc>
                <w:tcPr>
                  <w:tcW w:w="576" w:type="pct"/>
                  <w:tcMar>
                    <w:left w:w="0" w:type="dxa"/>
                    <w:right w:w="0" w:type="dxa"/>
                  </w:tcMar>
                  <w:vAlign w:val="center"/>
                </w:tcPr>
                <w:p w14:paraId="27D999FF">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20</w:t>
                  </w:r>
                </w:p>
              </w:tc>
              <w:tc>
                <w:tcPr>
                  <w:tcW w:w="333" w:type="pct"/>
                  <w:vMerge w:val="continue"/>
                  <w:tcBorders>
                    <w:right w:val="single" w:color="auto" w:sz="4" w:space="0"/>
                  </w:tcBorders>
                  <w:tcMar>
                    <w:left w:w="0" w:type="dxa"/>
                    <w:right w:w="0" w:type="dxa"/>
                  </w:tcMar>
                  <w:vAlign w:val="center"/>
                </w:tcPr>
                <w:p w14:paraId="61F59EE1">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2AC3F5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02" w:type="pct"/>
                  <w:vMerge w:val="restart"/>
                  <w:tcBorders>
                    <w:left w:val="single" w:color="auto" w:sz="4" w:space="0"/>
                  </w:tcBorders>
                  <w:tcMar>
                    <w:left w:w="0" w:type="dxa"/>
                    <w:right w:w="0" w:type="dxa"/>
                  </w:tcMar>
                  <w:vAlign w:val="center"/>
                </w:tcPr>
                <w:p w14:paraId="0AB0254A">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固废处置</w:t>
                  </w:r>
                </w:p>
              </w:tc>
              <w:tc>
                <w:tcPr>
                  <w:tcW w:w="970" w:type="pct"/>
                  <w:tcMar>
                    <w:left w:w="0" w:type="dxa"/>
                    <w:right w:w="0" w:type="dxa"/>
                  </w:tcMar>
                  <w:vAlign w:val="center"/>
                </w:tcPr>
                <w:p w14:paraId="2293352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生活垃圾</w:t>
                  </w:r>
                </w:p>
              </w:tc>
              <w:tc>
                <w:tcPr>
                  <w:tcW w:w="2816" w:type="pct"/>
                  <w:tcMar>
                    <w:left w:w="0" w:type="dxa"/>
                    <w:right w:w="0" w:type="dxa"/>
                  </w:tcMar>
                  <w:vAlign w:val="center"/>
                </w:tcPr>
                <w:p w14:paraId="046A74D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设有垃圾箱集中</w:t>
                  </w:r>
                  <w:r>
                    <w:rPr>
                      <w:rFonts w:hint="default" w:ascii="Times New Roman" w:hAnsi="Times New Roman" w:eastAsia="宋体" w:cs="Times New Roman"/>
                      <w:color w:val="000000" w:themeColor="text1"/>
                      <w:highlight w:val="none"/>
                      <w:lang w:eastAsia="zh-CN"/>
                      <w14:textFill>
                        <w14:solidFill>
                          <w14:schemeClr w14:val="tx1"/>
                        </w14:solidFill>
                      </w14:textFill>
                    </w:rPr>
                    <w:t>收集，委托第三方拉运至</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吉木萨尔县</w:t>
                  </w:r>
                  <w:r>
                    <w:rPr>
                      <w:rFonts w:hint="default" w:ascii="Times New Roman" w:hAnsi="Times New Roman" w:eastAsia="宋体" w:cs="Times New Roman"/>
                      <w:color w:val="000000" w:themeColor="text1"/>
                      <w:highlight w:val="none"/>
                      <w:lang w:eastAsia="zh-CN"/>
                      <w14:textFill>
                        <w14:solidFill>
                          <w14:schemeClr w14:val="tx1"/>
                        </w14:solidFill>
                      </w14:textFill>
                    </w:rPr>
                    <w:t>垃圾场处理</w:t>
                  </w:r>
                  <w:r>
                    <w:rPr>
                      <w:rFonts w:hint="default" w:ascii="Times New Roman" w:hAnsi="Times New Roman" w:eastAsia="宋体" w:cs="Times New Roman"/>
                      <w:color w:val="000000" w:themeColor="text1"/>
                      <w:lang w:eastAsia="zh-CN"/>
                      <w14:textFill>
                        <w14:solidFill>
                          <w14:schemeClr w14:val="tx1"/>
                        </w14:solidFill>
                      </w14:textFill>
                    </w:rPr>
                    <w:t>。</w:t>
                  </w:r>
                </w:p>
              </w:tc>
              <w:tc>
                <w:tcPr>
                  <w:tcW w:w="576" w:type="pct"/>
                  <w:tcMar>
                    <w:left w:w="0" w:type="dxa"/>
                    <w:right w:w="0" w:type="dxa"/>
                  </w:tcMar>
                  <w:vAlign w:val="center"/>
                </w:tcPr>
                <w:p w14:paraId="0310BF30">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333" w:type="pct"/>
                  <w:vMerge w:val="continue"/>
                  <w:tcBorders>
                    <w:right w:val="single" w:color="auto" w:sz="4" w:space="0"/>
                  </w:tcBorders>
                  <w:tcMar>
                    <w:left w:w="0" w:type="dxa"/>
                    <w:right w:w="0" w:type="dxa"/>
                  </w:tcMar>
                  <w:vAlign w:val="center"/>
                </w:tcPr>
                <w:p w14:paraId="34834392">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6BFE38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02" w:type="pct"/>
                  <w:vMerge w:val="continue"/>
                  <w:tcBorders>
                    <w:left w:val="single" w:color="auto" w:sz="4" w:space="0"/>
                  </w:tcBorders>
                  <w:tcMar>
                    <w:left w:w="0" w:type="dxa"/>
                    <w:right w:w="0" w:type="dxa"/>
                  </w:tcMar>
                  <w:vAlign w:val="center"/>
                </w:tcPr>
                <w:p w14:paraId="3AA1DEF2">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tcMar>
                    <w:left w:w="0" w:type="dxa"/>
                    <w:right w:w="0" w:type="dxa"/>
                  </w:tcMar>
                  <w:vAlign w:val="center"/>
                </w:tcPr>
                <w:p w14:paraId="6EF2BFB4">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钻井岩屑</w:t>
                  </w:r>
                </w:p>
              </w:tc>
              <w:tc>
                <w:tcPr>
                  <w:tcW w:w="2816" w:type="pct"/>
                  <w:tcMar>
                    <w:left w:w="0" w:type="dxa"/>
                    <w:right w:w="0" w:type="dxa"/>
                  </w:tcMar>
                  <w:vAlign w:val="center"/>
                </w:tcPr>
                <w:p w14:paraId="71B15BC4">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钻井岩屑暂存于岩屑储罐中，钻井岩屑委托具有相应处置资质的单位处置。</w:t>
                  </w:r>
                </w:p>
              </w:tc>
              <w:tc>
                <w:tcPr>
                  <w:tcW w:w="576" w:type="pct"/>
                  <w:tcMar>
                    <w:left w:w="0" w:type="dxa"/>
                    <w:right w:w="0" w:type="dxa"/>
                  </w:tcMar>
                  <w:vAlign w:val="center"/>
                </w:tcPr>
                <w:p w14:paraId="3C1A6650">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95</w:t>
                  </w:r>
                </w:p>
              </w:tc>
              <w:tc>
                <w:tcPr>
                  <w:tcW w:w="333" w:type="pct"/>
                  <w:vMerge w:val="continue"/>
                  <w:tcBorders>
                    <w:right w:val="single" w:color="auto" w:sz="4" w:space="0"/>
                  </w:tcBorders>
                  <w:tcMar>
                    <w:left w:w="0" w:type="dxa"/>
                    <w:right w:w="0" w:type="dxa"/>
                  </w:tcMar>
                  <w:vAlign w:val="center"/>
                </w:tcPr>
                <w:p w14:paraId="5BD3EB7E">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0C798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302" w:type="pct"/>
                  <w:vMerge w:val="continue"/>
                  <w:tcBorders>
                    <w:left w:val="single" w:color="auto" w:sz="4" w:space="0"/>
                  </w:tcBorders>
                  <w:tcMar>
                    <w:left w:w="0" w:type="dxa"/>
                    <w:right w:w="0" w:type="dxa"/>
                  </w:tcMar>
                  <w:vAlign w:val="center"/>
                </w:tcPr>
                <w:p w14:paraId="12BF37A0">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vMerge w:val="restart"/>
                  <w:tcMar>
                    <w:left w:w="0" w:type="dxa"/>
                    <w:right w:w="0" w:type="dxa"/>
                  </w:tcMar>
                  <w:vAlign w:val="center"/>
                </w:tcPr>
                <w:p w14:paraId="4CC5BE08">
                  <w:pPr>
                    <w:kinsoku/>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bidi="ar"/>
                      <w14:textFill>
                        <w14:solidFill>
                          <w14:schemeClr w14:val="tx1"/>
                        </w14:solidFill>
                      </w14:textFill>
                    </w:rPr>
                    <w:t>落地油、</w:t>
                  </w:r>
                  <w:r>
                    <w:rPr>
                      <w:rFonts w:hint="default" w:ascii="Times New Roman" w:hAnsi="Times New Roman" w:eastAsia="宋体" w:cs="Times New Roman"/>
                      <w:color w:val="000000" w:themeColor="text1"/>
                      <w:lang w:eastAsia="zh-CN"/>
                      <w14:textFill>
                        <w14:solidFill>
                          <w14:schemeClr w14:val="tx1"/>
                        </w14:solidFill>
                      </w14:textFill>
                    </w:rPr>
                    <w:t>机械设备废油、废润滑油、废润滑油桶、废防渗材料等</w:t>
                  </w:r>
                </w:p>
              </w:tc>
              <w:tc>
                <w:tcPr>
                  <w:tcW w:w="2816" w:type="pct"/>
                  <w:tcMar>
                    <w:left w:w="0" w:type="dxa"/>
                    <w:right w:w="0" w:type="dxa"/>
                  </w:tcMar>
                  <w:vAlign w:val="center"/>
                </w:tcPr>
                <w:p w14:paraId="591808A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钻井井场设置1座危险废物贮存点</w:t>
                  </w:r>
                </w:p>
              </w:tc>
              <w:tc>
                <w:tcPr>
                  <w:tcW w:w="576" w:type="pct"/>
                  <w:tcMar>
                    <w:left w:w="0" w:type="dxa"/>
                    <w:right w:w="0" w:type="dxa"/>
                  </w:tcMar>
                  <w:vAlign w:val="center"/>
                </w:tcPr>
                <w:p w14:paraId="0A0FEC85">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333" w:type="pct"/>
                  <w:vMerge w:val="continue"/>
                  <w:tcBorders>
                    <w:right w:val="single" w:color="auto" w:sz="4" w:space="0"/>
                  </w:tcBorders>
                  <w:tcMar>
                    <w:left w:w="0" w:type="dxa"/>
                    <w:right w:w="0" w:type="dxa"/>
                  </w:tcMar>
                  <w:vAlign w:val="center"/>
                </w:tcPr>
                <w:p w14:paraId="1FF1709A">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758FE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302" w:type="pct"/>
                  <w:vMerge w:val="continue"/>
                  <w:tcBorders>
                    <w:left w:val="single" w:color="auto" w:sz="4" w:space="0"/>
                  </w:tcBorders>
                  <w:tcMar>
                    <w:left w:w="0" w:type="dxa"/>
                    <w:right w:w="0" w:type="dxa"/>
                  </w:tcMar>
                  <w:vAlign w:val="center"/>
                </w:tcPr>
                <w:p w14:paraId="2D14E2D2">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970" w:type="pct"/>
                  <w:vMerge w:val="continue"/>
                  <w:tcMar>
                    <w:left w:w="0" w:type="dxa"/>
                    <w:right w:w="0" w:type="dxa"/>
                  </w:tcMar>
                  <w:vAlign w:val="center"/>
                </w:tcPr>
                <w:p w14:paraId="154E4B76">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c>
                <w:tcPr>
                  <w:tcW w:w="2816" w:type="pct"/>
                  <w:tcMar>
                    <w:left w:w="0" w:type="dxa"/>
                    <w:right w:w="0" w:type="dxa"/>
                  </w:tcMar>
                  <w:vAlign w:val="center"/>
                </w:tcPr>
                <w:p w14:paraId="77B1B80B">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用于施工过程中产生的沾油废防渗材料、废润滑油及废润滑油桶的暂存，各类危险废物定期交由具有相应危险废物处置资质的单位进行接收、转运和处置。</w:t>
                  </w:r>
                </w:p>
              </w:tc>
              <w:tc>
                <w:tcPr>
                  <w:tcW w:w="576" w:type="pct"/>
                  <w:tcMar>
                    <w:left w:w="0" w:type="dxa"/>
                    <w:right w:w="0" w:type="dxa"/>
                  </w:tcMar>
                  <w:vAlign w:val="center"/>
                </w:tcPr>
                <w:p w14:paraId="77EE7774">
                  <w:pPr>
                    <w:kinsoku/>
                    <w:spacing w:line="300" w:lineRule="exact"/>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w:t>
                  </w:r>
                </w:p>
              </w:tc>
              <w:tc>
                <w:tcPr>
                  <w:tcW w:w="333" w:type="pct"/>
                  <w:vMerge w:val="continue"/>
                  <w:tcBorders>
                    <w:right w:val="single" w:color="auto" w:sz="4" w:space="0"/>
                  </w:tcBorders>
                  <w:tcMar>
                    <w:left w:w="0" w:type="dxa"/>
                    <w:right w:w="0" w:type="dxa"/>
                  </w:tcMar>
                  <w:vAlign w:val="center"/>
                </w:tcPr>
                <w:p w14:paraId="126987EB">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bookmarkEnd w:id="44"/>
            <w:tr w14:paraId="6DEA7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273" w:type="pct"/>
                  <w:gridSpan w:val="2"/>
                  <w:tcBorders>
                    <w:left w:val="single" w:color="auto" w:sz="4" w:space="0"/>
                  </w:tcBorders>
                  <w:tcMar>
                    <w:left w:w="0" w:type="dxa"/>
                    <w:right w:w="0" w:type="dxa"/>
                  </w:tcMar>
                  <w:vAlign w:val="center"/>
                </w:tcPr>
                <w:p w14:paraId="2DEBA21C">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bookmarkStart w:id="47" w:name="_Hlk180059585"/>
                  <w:r>
                    <w:rPr>
                      <w:rFonts w:hint="default" w:ascii="Times New Roman" w:hAnsi="Times New Roman" w:eastAsia="宋体" w:cs="Times New Roman"/>
                      <w:color w:val="000000" w:themeColor="text1"/>
                      <w14:textFill>
                        <w14:solidFill>
                          <w14:schemeClr w14:val="tx1"/>
                        </w14:solidFill>
                      </w14:textFill>
                    </w:rPr>
                    <w:t>生态</w:t>
                  </w:r>
                  <w:r>
                    <w:rPr>
                      <w:rFonts w:hint="default" w:ascii="Times New Roman" w:hAnsi="Times New Roman" w:eastAsia="宋体" w:cs="Times New Roman"/>
                      <w:color w:val="000000" w:themeColor="text1"/>
                      <w:lang w:eastAsia="zh-CN"/>
                      <w14:textFill>
                        <w14:solidFill>
                          <w14:schemeClr w14:val="tx1"/>
                        </w14:solidFill>
                      </w14:textFill>
                    </w:rPr>
                    <w:t>恢复</w:t>
                  </w:r>
                </w:p>
              </w:tc>
              <w:tc>
                <w:tcPr>
                  <w:tcW w:w="2816" w:type="pct"/>
                  <w:tcMar>
                    <w:left w:w="0" w:type="dxa"/>
                    <w:right w:w="0" w:type="dxa"/>
                  </w:tcMar>
                  <w:vAlign w:val="center"/>
                </w:tcPr>
                <w:p w14:paraId="43B6DE38">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对临时占地清理、平整（该项恢复费用已统一归纳入《水土保持方案》专项投资中，为避免重复，此处仅列示措施，不重复计列费用）</w:t>
                  </w:r>
                </w:p>
              </w:tc>
              <w:tc>
                <w:tcPr>
                  <w:tcW w:w="576" w:type="pct"/>
                  <w:tcMar>
                    <w:left w:w="0" w:type="dxa"/>
                    <w:right w:w="0" w:type="dxa"/>
                  </w:tcMar>
                  <w:vAlign w:val="center"/>
                </w:tcPr>
                <w:p w14:paraId="5977E036">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w:t>
                  </w:r>
                </w:p>
              </w:tc>
              <w:tc>
                <w:tcPr>
                  <w:tcW w:w="333" w:type="pct"/>
                  <w:vMerge w:val="continue"/>
                  <w:tcBorders>
                    <w:right w:val="single" w:color="auto" w:sz="4" w:space="0"/>
                  </w:tcBorders>
                  <w:tcMar>
                    <w:left w:w="0" w:type="dxa"/>
                    <w:right w:w="0" w:type="dxa"/>
                  </w:tcMar>
                  <w:vAlign w:val="center"/>
                </w:tcPr>
                <w:p w14:paraId="66E15799">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5BB53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302" w:type="pct"/>
                  <w:vMerge w:val="restart"/>
                  <w:tcBorders>
                    <w:left w:val="single" w:color="auto" w:sz="4" w:space="0"/>
                  </w:tcBorders>
                  <w:tcMar>
                    <w:left w:w="0" w:type="dxa"/>
                    <w:right w:w="0" w:type="dxa"/>
                  </w:tcMar>
                  <w:vAlign w:val="center"/>
                </w:tcPr>
                <w:p w14:paraId="57B9CDC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独立费用</w:t>
                  </w:r>
                </w:p>
              </w:tc>
              <w:tc>
                <w:tcPr>
                  <w:tcW w:w="970" w:type="pct"/>
                  <w:vMerge w:val="restart"/>
                  <w:tcBorders>
                    <w:left w:val="single" w:color="auto" w:sz="4" w:space="0"/>
                  </w:tcBorders>
                  <w:tcMar>
                    <w:left w:w="0" w:type="dxa"/>
                    <w:right w:w="0" w:type="dxa"/>
                  </w:tcMar>
                  <w:vAlign w:val="center"/>
                </w:tcPr>
                <w:p w14:paraId="0E17EB97">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（根据《石油建设项目其他费用和相关费用计价方法与费用标准(2022版)》）</w:t>
                  </w:r>
                </w:p>
              </w:tc>
              <w:tc>
                <w:tcPr>
                  <w:tcW w:w="2816" w:type="pct"/>
                  <w:tcMar>
                    <w:left w:w="0" w:type="dxa"/>
                    <w:right w:w="0" w:type="dxa"/>
                  </w:tcMar>
                  <w:vAlign w:val="center"/>
                </w:tcPr>
                <w:p w14:paraId="46B5BE58">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环境影响评价</w:t>
                  </w:r>
                </w:p>
              </w:tc>
              <w:tc>
                <w:tcPr>
                  <w:tcW w:w="576" w:type="pct"/>
                  <w:tcMar>
                    <w:left w:w="0" w:type="dxa"/>
                    <w:right w:w="0" w:type="dxa"/>
                  </w:tcMar>
                  <w:vAlign w:val="center"/>
                </w:tcPr>
                <w:p w14:paraId="4554228A">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8</w:t>
                  </w:r>
                </w:p>
              </w:tc>
              <w:tc>
                <w:tcPr>
                  <w:tcW w:w="333" w:type="pct"/>
                  <w:vMerge w:val="continue"/>
                  <w:tcBorders>
                    <w:right w:val="single" w:color="auto" w:sz="4" w:space="0"/>
                  </w:tcBorders>
                  <w:tcMar>
                    <w:left w:w="0" w:type="dxa"/>
                    <w:right w:w="0" w:type="dxa"/>
                  </w:tcMar>
                  <w:vAlign w:val="center"/>
                </w:tcPr>
                <w:p w14:paraId="47BDE98A">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4FEEC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02" w:type="pct"/>
                  <w:vMerge w:val="continue"/>
                  <w:tcBorders>
                    <w:left w:val="single" w:color="auto" w:sz="4" w:space="0"/>
                  </w:tcBorders>
                  <w:tcMar>
                    <w:left w:w="0" w:type="dxa"/>
                    <w:right w:w="0" w:type="dxa"/>
                  </w:tcMar>
                  <w:vAlign w:val="center"/>
                </w:tcPr>
                <w:p w14:paraId="514E9555">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70" w:type="pct"/>
                  <w:vMerge w:val="continue"/>
                  <w:tcBorders>
                    <w:left w:val="single" w:color="auto" w:sz="4" w:space="0"/>
                  </w:tcBorders>
                  <w:tcMar>
                    <w:left w:w="0" w:type="dxa"/>
                    <w:right w:w="0" w:type="dxa"/>
                  </w:tcMar>
                  <w:vAlign w:val="center"/>
                </w:tcPr>
                <w:p w14:paraId="4EC3D1F1">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2816" w:type="pct"/>
                  <w:tcMar>
                    <w:left w:w="0" w:type="dxa"/>
                    <w:right w:w="0" w:type="dxa"/>
                  </w:tcMar>
                  <w:vAlign w:val="center"/>
                </w:tcPr>
                <w:p w14:paraId="4959F240">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环境保护竣工</w:t>
                  </w:r>
                  <w:r>
                    <w:rPr>
                      <w:rFonts w:hint="default" w:ascii="Times New Roman" w:hAnsi="Times New Roman" w:eastAsia="宋体" w:cs="Times New Roman"/>
                      <w:color w:val="000000" w:themeColor="text1"/>
                      <w14:textFill>
                        <w14:solidFill>
                          <w14:schemeClr w14:val="tx1"/>
                        </w14:solidFill>
                      </w14:textFill>
                    </w:rPr>
                    <w:t>验收</w:t>
                  </w:r>
                </w:p>
              </w:tc>
              <w:tc>
                <w:tcPr>
                  <w:tcW w:w="576" w:type="pct"/>
                  <w:tcMar>
                    <w:left w:w="0" w:type="dxa"/>
                    <w:right w:w="0" w:type="dxa"/>
                  </w:tcMar>
                  <w:vAlign w:val="center"/>
                </w:tcPr>
                <w:p w14:paraId="1AAF6A14">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7</w:t>
                  </w:r>
                </w:p>
              </w:tc>
              <w:tc>
                <w:tcPr>
                  <w:tcW w:w="333" w:type="pct"/>
                  <w:vMerge w:val="continue"/>
                  <w:tcBorders>
                    <w:right w:val="single" w:color="auto" w:sz="4" w:space="0"/>
                  </w:tcBorders>
                  <w:tcMar>
                    <w:left w:w="0" w:type="dxa"/>
                    <w:right w:w="0" w:type="dxa"/>
                  </w:tcMar>
                  <w:vAlign w:val="center"/>
                </w:tcPr>
                <w:p w14:paraId="56853929">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tr w14:paraId="27C0FD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302" w:type="pct"/>
                  <w:vMerge w:val="continue"/>
                  <w:tcBorders>
                    <w:left w:val="single" w:color="auto" w:sz="4" w:space="0"/>
                  </w:tcBorders>
                  <w:tcMar>
                    <w:left w:w="0" w:type="dxa"/>
                    <w:right w:w="0" w:type="dxa"/>
                  </w:tcMar>
                  <w:vAlign w:val="center"/>
                </w:tcPr>
                <w:p w14:paraId="1657A39B">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970" w:type="pct"/>
                  <w:tcBorders>
                    <w:left w:val="single" w:color="auto" w:sz="4" w:space="0"/>
                  </w:tcBorders>
                  <w:tcMar>
                    <w:left w:w="0" w:type="dxa"/>
                    <w:right w:w="0" w:type="dxa"/>
                  </w:tcMar>
                  <w:vAlign w:val="center"/>
                </w:tcPr>
                <w:p w14:paraId="3B2C2F46">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c>
                <w:tcPr>
                  <w:tcW w:w="2816" w:type="pct"/>
                  <w:tcMar>
                    <w:left w:w="0" w:type="dxa"/>
                    <w:right w:w="0" w:type="dxa"/>
                  </w:tcMar>
                  <w:vAlign w:val="center"/>
                </w:tcPr>
                <w:p w14:paraId="291E7296">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环境监测</w:t>
                  </w:r>
                </w:p>
              </w:tc>
              <w:tc>
                <w:tcPr>
                  <w:tcW w:w="576" w:type="pct"/>
                  <w:tcMar>
                    <w:left w:w="0" w:type="dxa"/>
                    <w:right w:w="0" w:type="dxa"/>
                  </w:tcMar>
                  <w:vAlign w:val="center"/>
                </w:tcPr>
                <w:p w14:paraId="101EBC63">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w:t>
                  </w:r>
                </w:p>
              </w:tc>
              <w:tc>
                <w:tcPr>
                  <w:tcW w:w="333" w:type="pct"/>
                  <w:vMerge w:val="continue"/>
                  <w:tcBorders>
                    <w:right w:val="single" w:color="auto" w:sz="4" w:space="0"/>
                  </w:tcBorders>
                  <w:tcMar>
                    <w:left w:w="0" w:type="dxa"/>
                    <w:right w:w="0" w:type="dxa"/>
                  </w:tcMar>
                  <w:vAlign w:val="center"/>
                </w:tcPr>
                <w:p w14:paraId="062DD7EB">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p>
              </w:tc>
            </w:tr>
            <w:bookmarkEnd w:id="47"/>
            <w:tr w14:paraId="57862A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090" w:type="pct"/>
                  <w:gridSpan w:val="3"/>
                  <w:tcBorders>
                    <w:left w:val="single" w:color="auto" w:sz="4" w:space="0"/>
                    <w:bottom w:val="single" w:color="auto" w:sz="4" w:space="0"/>
                  </w:tcBorders>
                  <w:tcMar>
                    <w:left w:w="0" w:type="dxa"/>
                    <w:right w:w="0" w:type="dxa"/>
                  </w:tcMar>
                  <w:vAlign w:val="center"/>
                </w:tcPr>
                <w:p w14:paraId="31C835FD">
                  <w:pPr>
                    <w:kinsoku/>
                    <w:spacing w:line="30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合计</w:t>
                  </w:r>
                </w:p>
              </w:tc>
              <w:tc>
                <w:tcPr>
                  <w:tcW w:w="576" w:type="pct"/>
                  <w:tcBorders>
                    <w:bottom w:val="single" w:color="auto" w:sz="4" w:space="0"/>
                  </w:tcBorders>
                  <w:tcMar>
                    <w:left w:w="0" w:type="dxa"/>
                    <w:right w:w="0" w:type="dxa"/>
                  </w:tcMar>
                  <w:vAlign w:val="center"/>
                </w:tcPr>
                <w:p w14:paraId="68CC057F">
                  <w:pPr>
                    <w:kinsoku/>
                    <w:spacing w:line="300" w:lineRule="exact"/>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lang w:val="en-US" w:eastAsia="zh-CN"/>
                      <w14:textFill>
                        <w14:solidFill>
                          <w14:schemeClr w14:val="tx1"/>
                        </w14:solidFill>
                      </w14:textFill>
                    </w:rPr>
                    <w:t>45</w:t>
                  </w:r>
                </w:p>
              </w:tc>
              <w:tc>
                <w:tcPr>
                  <w:tcW w:w="333" w:type="pct"/>
                  <w:tcBorders>
                    <w:bottom w:val="single" w:color="auto" w:sz="4" w:space="0"/>
                    <w:right w:val="single" w:color="auto" w:sz="4" w:space="0"/>
                  </w:tcBorders>
                  <w:tcMar>
                    <w:left w:w="0" w:type="dxa"/>
                    <w:right w:w="0" w:type="dxa"/>
                  </w:tcMar>
                  <w:vAlign w:val="center"/>
                </w:tcPr>
                <w:p w14:paraId="75FBCA20">
                  <w:pPr>
                    <w:kinsoku/>
                    <w:spacing w:line="30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w:t>
                  </w:r>
                </w:p>
              </w:tc>
            </w:tr>
          </w:tbl>
          <w:p w14:paraId="5E2CA78C">
            <w:pPr>
              <w:pStyle w:val="4"/>
              <w:widowControl w:val="0"/>
              <w:ind w:left="0" w:leftChars="0" w:firstLine="0" w:firstLineChars="0"/>
              <w:jc w:val="both"/>
              <w:rPr>
                <w:rFonts w:hint="default"/>
                <w:color w:val="000000" w:themeColor="text1"/>
                <w14:textFill>
                  <w14:solidFill>
                    <w14:schemeClr w14:val="tx1"/>
                  </w14:solidFill>
                </w14:textFill>
              </w:rPr>
            </w:pPr>
          </w:p>
        </w:tc>
      </w:tr>
    </w:tbl>
    <w:p w14:paraId="757750D1">
      <w:pPr>
        <w:pStyle w:val="2"/>
        <w:kinsoku/>
        <w:rPr>
          <w:rFonts w:ascii="Times New Roman" w:hAnsi="Times New Roman" w:cs="Times New Roman"/>
          <w:color w:val="000000" w:themeColor="text1"/>
          <w:highlight w:val="none"/>
          <w14:textFill>
            <w14:solidFill>
              <w14:schemeClr w14:val="tx1"/>
            </w14:solidFill>
          </w14:textFill>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D6449B3">
      <w:pPr>
        <w:pStyle w:val="2"/>
        <w:numPr>
          <w:ilvl w:val="0"/>
          <w:numId w:val="11"/>
        </w:numPr>
        <w:kinsoku/>
        <w:rPr>
          <w:rFonts w:ascii="Times New Roman" w:hAnsi="Times New Roman" w:cs="Times New Roman" w:eastAsiaTheme="minorEastAsia"/>
          <w:color w:val="000000" w:themeColor="text1"/>
          <w:sz w:val="30"/>
          <w:szCs w:val="30"/>
          <w:highlight w:val="none"/>
          <w:lang w:eastAsia="zh-CN"/>
          <w14:textFill>
            <w14:solidFill>
              <w14:schemeClr w14:val="tx1"/>
            </w14:solidFill>
          </w14:textFill>
        </w:rPr>
      </w:pPr>
      <w:r>
        <w:rPr>
          <w:rFonts w:ascii="Times New Roman" w:hAnsi="Times New Roman" w:cs="Times New Roman" w:eastAsiaTheme="minorEastAsia"/>
          <w:color w:val="000000" w:themeColor="text1"/>
          <w:sz w:val="30"/>
          <w:szCs w:val="30"/>
          <w:highlight w:val="none"/>
          <w:lang w:eastAsia="zh-CN"/>
          <w14:textFill>
            <w14:solidFill>
              <w14:schemeClr w14:val="tx1"/>
            </w14:solidFill>
          </w14:textFill>
        </w:rPr>
        <w:t>生态环境保护措施监督检查清单</w:t>
      </w:r>
    </w:p>
    <w:tbl>
      <w:tblPr>
        <w:tblStyle w:val="16"/>
        <w:tblW w:w="51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9" w:type="dxa"/>
          <w:bottom w:w="0" w:type="dxa"/>
          <w:right w:w="79" w:type="dxa"/>
        </w:tblCellMar>
      </w:tblPr>
      <w:tblGrid>
        <w:gridCol w:w="1147"/>
        <w:gridCol w:w="3745"/>
        <w:gridCol w:w="1921"/>
        <w:gridCol w:w="1137"/>
        <w:gridCol w:w="726"/>
      </w:tblGrid>
      <w:tr w14:paraId="53A4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Merge w:val="restart"/>
            <w:tcBorders>
              <w:tl2br w:val="single" w:color="auto" w:sz="4" w:space="0"/>
            </w:tcBorders>
          </w:tcPr>
          <w:p w14:paraId="158F54F0">
            <w:pPr>
              <w:pStyle w:val="14"/>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内容</w:t>
            </w:r>
          </w:p>
          <w:p w14:paraId="144882C7">
            <w:pPr>
              <w:pStyle w:val="14"/>
              <w:kinsoku/>
              <w:rPr>
                <w:rFonts w:hint="default" w:ascii="Times New Roman" w:hAnsi="Times New Roman" w:eastAsia="宋体" w:cs="Times New Roman"/>
                <w:b/>
                <w:bCs/>
                <w:color w:val="000000" w:themeColor="text1"/>
                <w:lang w:eastAsia="zh-CN"/>
                <w14:textFill>
                  <w14:solidFill>
                    <w14:schemeClr w14:val="tx1"/>
                  </w14:solidFill>
                </w14:textFill>
              </w:rPr>
            </w:pPr>
          </w:p>
          <w:p w14:paraId="01783175">
            <w:pPr>
              <w:pStyle w:val="14"/>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要素</w:t>
            </w:r>
          </w:p>
        </w:tc>
        <w:tc>
          <w:tcPr>
            <w:tcW w:w="3265" w:type="pct"/>
            <w:gridSpan w:val="2"/>
            <w:vAlign w:val="center"/>
          </w:tcPr>
          <w:p w14:paraId="75AA6301">
            <w:pPr>
              <w:pStyle w:val="14"/>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施工期</w:t>
            </w:r>
          </w:p>
        </w:tc>
        <w:tc>
          <w:tcPr>
            <w:tcW w:w="1073" w:type="pct"/>
            <w:gridSpan w:val="2"/>
            <w:vAlign w:val="center"/>
          </w:tcPr>
          <w:p w14:paraId="2D5EA3EF">
            <w:pPr>
              <w:pStyle w:val="14"/>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运营期</w:t>
            </w:r>
          </w:p>
        </w:tc>
      </w:tr>
      <w:tr w14:paraId="0490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Merge w:val="continue"/>
          </w:tcPr>
          <w:p w14:paraId="1FB3641A">
            <w:pPr>
              <w:pStyle w:val="14"/>
              <w:kinsoku/>
              <w:rPr>
                <w:rFonts w:hint="default" w:ascii="Times New Roman" w:hAnsi="Times New Roman" w:eastAsia="宋体" w:cs="Times New Roman"/>
                <w:b/>
                <w:bCs/>
                <w:color w:val="000000" w:themeColor="text1"/>
                <w14:textFill>
                  <w14:solidFill>
                    <w14:schemeClr w14:val="tx1"/>
                  </w14:solidFill>
                </w14:textFill>
              </w:rPr>
            </w:pPr>
          </w:p>
        </w:tc>
        <w:tc>
          <w:tcPr>
            <w:tcW w:w="2158" w:type="pct"/>
            <w:vAlign w:val="center"/>
          </w:tcPr>
          <w:p w14:paraId="038E65E8">
            <w:pPr>
              <w:pStyle w:val="14"/>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环境保护措施</w:t>
            </w:r>
          </w:p>
        </w:tc>
        <w:tc>
          <w:tcPr>
            <w:tcW w:w="1107" w:type="pct"/>
            <w:vAlign w:val="center"/>
          </w:tcPr>
          <w:p w14:paraId="65FDA3A7">
            <w:pPr>
              <w:pStyle w:val="14"/>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验收要求</w:t>
            </w:r>
          </w:p>
        </w:tc>
        <w:tc>
          <w:tcPr>
            <w:tcW w:w="655" w:type="pct"/>
            <w:vAlign w:val="center"/>
          </w:tcPr>
          <w:p w14:paraId="37C85EE1">
            <w:pPr>
              <w:pStyle w:val="14"/>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环境保护措施</w:t>
            </w:r>
          </w:p>
        </w:tc>
        <w:tc>
          <w:tcPr>
            <w:tcW w:w="418" w:type="pct"/>
            <w:vAlign w:val="center"/>
          </w:tcPr>
          <w:p w14:paraId="17A0A14B">
            <w:pPr>
              <w:pStyle w:val="14"/>
              <w:kinsoku/>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验收要求</w:t>
            </w:r>
          </w:p>
        </w:tc>
      </w:tr>
      <w:tr w14:paraId="52A95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506C3214">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陆生生态</w:t>
            </w:r>
          </w:p>
        </w:tc>
        <w:tc>
          <w:tcPr>
            <w:tcW w:w="2158" w:type="pct"/>
            <w:vAlign w:val="center"/>
          </w:tcPr>
          <w:p w14:paraId="04FB86B7">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fldChar w:fldCharType="begin"/>
            </w:r>
            <w:r>
              <w:rPr>
                <w:rFonts w:hint="default" w:ascii="Times New Roman" w:hAnsi="Times New Roman" w:eastAsia="宋体" w:cs="Times New Roman"/>
                <w:color w:val="000000" w:themeColor="text1"/>
                <w:lang w:eastAsia="zh-CN"/>
                <w14:textFill>
                  <w14:solidFill>
                    <w14:schemeClr w14:val="tx1"/>
                  </w14:solidFill>
                </w14:textFill>
              </w:rPr>
              <w:instrText xml:space="preserve"> = 1 \* GB3 </w:instrText>
            </w:r>
            <w:r>
              <w:rPr>
                <w:rFonts w:hint="default" w:ascii="Times New Roman" w:hAnsi="Times New Roman" w:eastAsia="宋体" w:cs="Times New Roman"/>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eastAsia="zh-CN"/>
                <w14:textFill>
                  <w14:solidFill>
                    <w14:schemeClr w14:val="tx1"/>
                  </w14:solidFill>
                </w14:textFill>
              </w:rPr>
              <w:t>①</w:t>
            </w:r>
            <w:r>
              <w:rPr>
                <w:rFonts w:hint="default" w:ascii="Times New Roman" w:hAnsi="Times New Roman" w:eastAsia="宋体" w:cs="Times New Roman"/>
                <w:color w:val="000000" w:themeColor="text1"/>
                <w:lang w:eastAsia="zh-CN"/>
                <w14:textFill>
                  <w14:solidFill>
                    <w14:schemeClr w14:val="tx1"/>
                  </w14:solidFill>
                </w14:textFill>
              </w:rPr>
              <w:fldChar w:fldCharType="end"/>
            </w:r>
            <w:r>
              <w:rPr>
                <w:rFonts w:hint="default" w:ascii="Times New Roman" w:hAnsi="Times New Roman" w:eastAsia="宋体" w:cs="Times New Roman"/>
                <w:color w:val="000000" w:themeColor="text1"/>
                <w:lang w:eastAsia="zh-CN"/>
                <w14:textFill>
                  <w14:solidFill>
                    <w14:schemeClr w14:val="tx1"/>
                  </w14:solidFill>
                </w14:textFill>
              </w:rPr>
              <w:t>选址尽量避开植被密集区域；严格划定路线，禁止乱碾乱轧；确保各环保设施正常运行，避免各种污染物对环境影响较小；②严格控制占地，严格规定各类工作人员的活动范围</w:t>
            </w:r>
            <w:r>
              <w:rPr>
                <w:rFonts w:hint="eastAsia"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施工前实行表土剥离并单独集中防护暂存；③完井后施工机械、设备及时撤离，废水和固体废物全部妥善处置，现场禁止遗留；</w:t>
            </w:r>
            <w:r>
              <w:rPr>
                <w:rFonts w:hint="default" w:ascii="Times New Roman" w:hAnsi="Times New Roman" w:eastAsia="宋体" w:cs="Times New Roman"/>
                <w:color w:val="000000" w:themeColor="text1"/>
                <w:lang w:eastAsia="zh-CN"/>
                <w14:textFill>
                  <w14:solidFill>
                    <w14:schemeClr w14:val="tx1"/>
                  </w14:solidFill>
                </w14:textFill>
              </w:rPr>
              <w:fldChar w:fldCharType="begin"/>
            </w:r>
            <w:r>
              <w:rPr>
                <w:rFonts w:hint="default" w:ascii="Times New Roman" w:hAnsi="Times New Roman" w:eastAsia="宋体" w:cs="Times New Roman"/>
                <w:color w:val="000000" w:themeColor="text1"/>
                <w:lang w:eastAsia="zh-CN"/>
                <w14:textFill>
                  <w14:solidFill>
                    <w14:schemeClr w14:val="tx1"/>
                  </w14:solidFill>
                </w14:textFill>
              </w:rPr>
              <w:instrText xml:space="preserve"> = 4 \* GB3 </w:instrText>
            </w:r>
            <w:r>
              <w:rPr>
                <w:rFonts w:hint="default" w:ascii="Times New Roman" w:hAnsi="Times New Roman" w:eastAsia="宋体" w:cs="Times New Roman"/>
                <w:color w:val="000000" w:themeColor="text1"/>
                <w:lang w:eastAsia="zh-CN"/>
                <w14:textFill>
                  <w14:solidFill>
                    <w14:schemeClr w14:val="tx1"/>
                  </w14:solidFill>
                </w14:textFill>
              </w:rPr>
              <w:fldChar w:fldCharType="separate"/>
            </w:r>
            <w:r>
              <w:rPr>
                <w:rFonts w:hint="default" w:ascii="Times New Roman" w:hAnsi="Times New Roman" w:eastAsia="宋体" w:cs="Times New Roman"/>
                <w:color w:val="000000" w:themeColor="text1"/>
                <w:lang w:eastAsia="zh-CN"/>
                <w14:textFill>
                  <w14:solidFill>
                    <w14:schemeClr w14:val="tx1"/>
                  </w14:solidFill>
                </w14:textFill>
              </w:rPr>
              <w:t>④</w:t>
            </w:r>
            <w:r>
              <w:rPr>
                <w:rFonts w:hint="default" w:ascii="Times New Roman" w:hAnsi="Times New Roman" w:eastAsia="宋体" w:cs="Times New Roman"/>
                <w:color w:val="000000" w:themeColor="text1"/>
                <w:lang w:eastAsia="zh-CN"/>
                <w14:textFill>
                  <w14:solidFill>
                    <w14:schemeClr w14:val="tx1"/>
                  </w14:solidFill>
                </w14:textFill>
              </w:rPr>
              <w:fldChar w:fldCharType="end"/>
            </w:r>
            <w:r>
              <w:rPr>
                <w:rFonts w:hint="default" w:ascii="Times New Roman" w:hAnsi="Times New Roman" w:eastAsia="宋体" w:cs="Times New Roman"/>
                <w:color w:val="000000" w:themeColor="text1"/>
                <w:lang w:eastAsia="zh-CN"/>
                <w14:textFill>
                  <w14:solidFill>
                    <w14:schemeClr w14:val="tx1"/>
                  </w14:solidFill>
                </w14:textFill>
              </w:rPr>
              <w:t>建设单位按照相关要求办理临时占地经济补偿协议；⑤施工结束后利用暂存表土及时对场地进行清理、平整并压实，采取人工辅助播种与自然恢复相结合的方式恢复植被；⑥合理安排施工时间，避免大风天气施工。项目在建设过程中，严格落实各项管理规定，不得对项目所在区域生态环境和环境质量造成影响。</w:t>
            </w:r>
          </w:p>
        </w:tc>
        <w:tc>
          <w:tcPr>
            <w:tcW w:w="1107" w:type="pct"/>
            <w:vAlign w:val="center"/>
          </w:tcPr>
          <w:p w14:paraId="6C00F969">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验收内容：</w:t>
            </w:r>
            <w:r>
              <w:rPr>
                <w:rFonts w:hint="default" w:ascii="Times New Roman" w:hAnsi="Times New Roman" w:eastAsia="宋体" w:cs="Times New Roman"/>
                <w:color w:val="000000" w:themeColor="text1"/>
                <w:lang w:eastAsia="zh-CN"/>
                <w14:textFill>
                  <w14:solidFill>
                    <w14:schemeClr w14:val="tx1"/>
                  </w14:solidFill>
                </w14:textFill>
              </w:rPr>
              <w:t>生态保护措施及表土存放防护落实情况；现场无废水和固体废物遗留；井场及周边占地恢复情况；临时占地经济补偿协议办理情况。</w:t>
            </w:r>
          </w:p>
          <w:p w14:paraId="756CC491">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验收效果：</w:t>
            </w:r>
            <w:r>
              <w:rPr>
                <w:rFonts w:hint="default" w:ascii="Times New Roman" w:hAnsi="Times New Roman" w:eastAsia="宋体" w:cs="Times New Roman"/>
                <w:color w:val="000000" w:themeColor="text1"/>
                <w:lang w:eastAsia="zh-CN"/>
                <w14:textFill>
                  <w14:solidFill>
                    <w14:schemeClr w14:val="tx1"/>
                  </w14:solidFill>
                </w14:textFill>
              </w:rPr>
              <w:t>施工结束后清理、平整并压实临时占地，以利于土壤、植被自然恢复。井场、生活营地和探临道路进行平整，井场无废水和固体废物遗留。</w:t>
            </w:r>
          </w:p>
        </w:tc>
        <w:tc>
          <w:tcPr>
            <w:tcW w:w="655" w:type="pct"/>
            <w:vMerge w:val="restart"/>
            <w:vAlign w:val="center"/>
          </w:tcPr>
          <w:p w14:paraId="746A5166">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根据试采结果决定新钻井是否转为生产井，若可转为生产井，则应当在产能开发建设前对其开展环境影响评价工作，编制环境影响评价文件。</w:t>
            </w:r>
          </w:p>
        </w:tc>
        <w:tc>
          <w:tcPr>
            <w:tcW w:w="418" w:type="pct"/>
            <w:vMerge w:val="restart"/>
            <w:vAlign w:val="center"/>
          </w:tcPr>
          <w:p w14:paraId="05441667">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按照环评及批复等相关文件要求进行验收。</w:t>
            </w:r>
          </w:p>
        </w:tc>
      </w:tr>
      <w:tr w14:paraId="6300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1" w:type="pct"/>
            <w:vAlign w:val="center"/>
          </w:tcPr>
          <w:p w14:paraId="7F10321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水生生态</w:t>
            </w:r>
          </w:p>
        </w:tc>
        <w:tc>
          <w:tcPr>
            <w:tcW w:w="2158" w:type="pct"/>
            <w:vAlign w:val="center"/>
          </w:tcPr>
          <w:p w14:paraId="4AAD1C08">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107" w:type="pct"/>
            <w:vAlign w:val="center"/>
          </w:tcPr>
          <w:p w14:paraId="79B6B1F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1DB1377D">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47CB77F0">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6047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1CDE36F0">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地表水环境</w:t>
            </w:r>
          </w:p>
        </w:tc>
        <w:tc>
          <w:tcPr>
            <w:tcW w:w="2158" w:type="pct"/>
            <w:vAlign w:val="center"/>
          </w:tcPr>
          <w:p w14:paraId="7BD64BE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107" w:type="pct"/>
            <w:vAlign w:val="center"/>
          </w:tcPr>
          <w:p w14:paraId="56557FB9">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26FAFEE1">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5D4E2AA8">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10AF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534F6A2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地下水及土壤环境</w:t>
            </w:r>
          </w:p>
        </w:tc>
        <w:tc>
          <w:tcPr>
            <w:tcW w:w="2158" w:type="pct"/>
            <w:vAlign w:val="center"/>
          </w:tcPr>
          <w:p w14:paraId="310C283F">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项目施工期废水主要包括钻井废水（钻井液/泥浆体系废液）、洗井废水、压裂返排液及生活污水。钻井过程中产生的钻井废水按钻井液体系分阶段循环使用：井筒返出钻井液经“钻井液不落地”系统固液分离后，液相优先回用于相应体系钻井液的配制与循环利用，钻井期间不外排；钻井阶段结束后，无法继续回用的钻井液以废弃泥浆形式产生，与固相物料分类收集后统一外运处置。洗井废水和压裂返排液分别收集至专用储罐，采用罐车拉运至吉康脱水站处理，处理后水质达到《碎屑岩油藏注水水质指标技术要求及分析方法》（SY/T5329-2022）标准后全部回注油藏，不外排。</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本项目采用下套管注水泥固井工艺实施水泥固井，水泥浆在井筒内形成封隔，隔离含水层与目的层，减少钻井过程对地下水环境的影响。生活营地设置</w:t>
            </w:r>
            <w:r>
              <w:rPr>
                <w:rFonts w:hint="eastAsia" w:ascii="Times New Roman" w:hAnsi="Times New Roman" w:eastAsia="宋体" w:cs="Times New Roman"/>
                <w:color w:val="000000" w:themeColor="text1"/>
                <w:lang w:val="en-US" w:eastAsia="zh-CN"/>
                <w14:textFill>
                  <w14:solidFill>
                    <w14:schemeClr w14:val="tx1"/>
                  </w14:solidFill>
                </w14:textFill>
              </w:rPr>
              <w:t>防渗收集池</w:t>
            </w:r>
            <w:r>
              <w:rPr>
                <w:rFonts w:hint="default" w:ascii="Times New Roman" w:hAnsi="Times New Roman" w:eastAsia="宋体" w:cs="Times New Roman"/>
                <w:color w:val="000000" w:themeColor="text1"/>
                <w:lang w:eastAsia="zh-CN"/>
                <w14:textFill>
                  <w14:solidFill>
                    <w14:schemeClr w14:val="tx1"/>
                  </w14:solidFill>
                </w14:textFill>
              </w:rPr>
              <w:t>收集生活污水，定期由吸污车清运至</w:t>
            </w:r>
            <w:r>
              <w:rPr>
                <w:rFonts w:hint="eastAsia" w:ascii="Times New Roman" w:hAnsi="Times New Roman" w:eastAsia="宋体" w:cs="Times New Roman"/>
                <w:color w:val="000000" w:themeColor="text1"/>
                <w:lang w:val="en-US" w:eastAsia="zh-CN"/>
                <w14:textFill>
                  <w14:solidFill>
                    <w14:schemeClr w14:val="tx1"/>
                  </w14:solidFill>
                </w14:textFill>
              </w:rPr>
              <w:t>吉木萨尔县</w:t>
            </w:r>
            <w:r>
              <w:rPr>
                <w:rFonts w:hint="default" w:ascii="Times New Roman" w:hAnsi="Times New Roman" w:eastAsia="宋体" w:cs="Times New Roman"/>
                <w:color w:val="000000" w:themeColor="text1"/>
                <w:lang w:eastAsia="zh-CN"/>
                <w14:textFill>
                  <w14:solidFill>
                    <w14:schemeClr w14:val="tx1"/>
                  </w14:solidFill>
                </w14:textFill>
              </w:rPr>
              <w:t>市政污水处理厂处理，严禁就地排放。</w:t>
            </w:r>
          </w:p>
        </w:tc>
        <w:tc>
          <w:tcPr>
            <w:tcW w:w="1107" w:type="pct"/>
            <w:vAlign w:val="center"/>
          </w:tcPr>
          <w:p w14:paraId="657AD753">
            <w:pPr>
              <w:kinsoku/>
              <w:spacing w:line="340" w:lineRule="exact"/>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验收内容：</w:t>
            </w:r>
            <w:r>
              <w:rPr>
                <w:rFonts w:hint="default" w:ascii="Times New Roman" w:hAnsi="Times New Roman" w:eastAsia="宋体" w:cs="Times New Roman"/>
                <w:color w:val="000000" w:themeColor="text1"/>
                <w:lang w:eastAsia="zh-CN"/>
                <w14:textFill>
                  <w14:solidFill>
                    <w14:schemeClr w14:val="tx1"/>
                  </w14:solidFill>
                </w14:textFill>
              </w:rPr>
              <w:t>①生活污水签订清运协议；②洗井废水和压裂返排液现场无遗留；③重点防渗区防渗施工记录</w:t>
            </w:r>
            <w:r>
              <w:rPr>
                <w:rFonts w:hint="eastAsia" w:ascii="Times New Roman" w:hAnsi="Times New Roman" w:eastAsia="宋体" w:cs="Times New Roman"/>
                <w:color w:val="000000" w:themeColor="text1"/>
                <w:lang w:eastAsia="zh-CN"/>
                <w14:textFill>
                  <w14:solidFill>
                    <w14:schemeClr w14:val="tx1"/>
                  </w14:solidFill>
                </w14:textFill>
              </w:rPr>
              <w:t>。</w:t>
            </w:r>
          </w:p>
          <w:p w14:paraId="2AFA4D46">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验收效果：</w:t>
            </w:r>
            <w:r>
              <w:rPr>
                <w:rFonts w:hint="default" w:ascii="Times New Roman" w:hAnsi="Times New Roman" w:eastAsia="宋体" w:cs="Times New Roman"/>
                <w:color w:val="000000" w:themeColor="text1"/>
                <w:lang w:eastAsia="zh-CN"/>
                <w14:textFill>
                  <w14:solidFill>
                    <w14:schemeClr w14:val="tx1"/>
                  </w14:solidFill>
                </w14:textFill>
              </w:rPr>
              <w:t>验收时现场无遗留问题。</w:t>
            </w:r>
          </w:p>
        </w:tc>
        <w:tc>
          <w:tcPr>
            <w:tcW w:w="655" w:type="pct"/>
            <w:vMerge w:val="continue"/>
            <w:vAlign w:val="center"/>
          </w:tcPr>
          <w:p w14:paraId="15777F7F">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18" w:type="pct"/>
            <w:vMerge w:val="continue"/>
            <w:vAlign w:val="center"/>
          </w:tcPr>
          <w:p w14:paraId="3678DCCF">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r>
      <w:tr w14:paraId="56D9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4C0661DF">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声环境</w:t>
            </w:r>
          </w:p>
        </w:tc>
        <w:tc>
          <w:tcPr>
            <w:tcW w:w="2158" w:type="pct"/>
            <w:vAlign w:val="center"/>
          </w:tcPr>
          <w:p w14:paraId="6A51F83D">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在设备选型上要求采用低噪声的设备，施工设备定期检查维修，对噪声较大的设备采取基础减震措施；加强施工场地管理，合理疏导进入施工区的车辆，禁止运输车辆随意高声鸣笛。</w:t>
            </w:r>
          </w:p>
        </w:tc>
        <w:tc>
          <w:tcPr>
            <w:tcW w:w="1107" w:type="pct"/>
            <w:vAlign w:val="center"/>
          </w:tcPr>
          <w:p w14:paraId="20FB196A">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56C02896">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4B1D207A">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27A8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7DF5920D">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振动</w:t>
            </w:r>
          </w:p>
        </w:tc>
        <w:tc>
          <w:tcPr>
            <w:tcW w:w="2158" w:type="pct"/>
            <w:vAlign w:val="center"/>
          </w:tcPr>
          <w:p w14:paraId="302222B4">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107" w:type="pct"/>
            <w:vAlign w:val="center"/>
          </w:tcPr>
          <w:p w14:paraId="792C3717">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33E859E4">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44561719">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6FA16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2A2AC83F">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大气环境</w:t>
            </w:r>
          </w:p>
        </w:tc>
        <w:tc>
          <w:tcPr>
            <w:tcW w:w="2158" w:type="pct"/>
            <w:vAlign w:val="center"/>
          </w:tcPr>
          <w:p w14:paraId="3B81D125">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施工现场运输车辆低速慢行，不得超载，易起尘物料在运输、存放时加盖遮盖物，最大限度防止扬尘扩散；使用符合国家标准的柴油并加强机械、车辆的维护，施工期井场边界</w:t>
            </w:r>
            <w:r>
              <w:rPr>
                <w:rFonts w:hint="default" w:ascii="Times New Roman" w:hAnsi="Times New Roman" w:eastAsia="宋体" w:cs="Times New Roman"/>
                <w:color w:val="000000" w:themeColor="text1"/>
                <w:lang w:val="en-US" w:eastAsia="zh-CN"/>
                <w14:textFill>
                  <w14:solidFill>
                    <w14:schemeClr w14:val="tx1"/>
                  </w14:solidFill>
                </w14:textFill>
              </w:rPr>
              <w:t>备用</w:t>
            </w:r>
            <w:r>
              <w:rPr>
                <w:rFonts w:hint="default" w:ascii="Times New Roman" w:hAnsi="Times New Roman" w:eastAsia="宋体" w:cs="Times New Roman"/>
                <w:color w:val="000000" w:themeColor="text1"/>
                <w:lang w:eastAsia="zh-CN"/>
                <w14:textFill>
                  <w14:solidFill>
                    <w14:schemeClr w14:val="tx1"/>
                  </w14:solidFill>
                </w14:textFill>
              </w:rPr>
              <w:t>柴油机、发电机烟气排放的污染物须满足《大气污染物综合排放标准》(GB16297-1996)中的最高允许排放浓度标准要求；冬季若启用生物质锅炉，须严格使用低硫燃料（S≤0.022%），废气经“水幕预除尘+布袋除尘器</w:t>
            </w:r>
            <w:r>
              <w:rPr>
                <w:rFonts w:ascii="宋体" w:hAnsi="宋体" w:eastAsia="宋体" w:cs="宋体"/>
                <w:color w:val="000000" w:themeColor="text1"/>
                <w:sz w:val="24"/>
                <w:szCs w:val="24"/>
                <w14:textFill>
                  <w14:solidFill>
                    <w14:schemeClr w14:val="tx1"/>
                  </w14:solidFill>
                </w14:textFill>
              </w:rPr>
              <w:t>”达标排放；</w:t>
            </w:r>
            <w:r>
              <w:rPr>
                <w:rFonts w:hint="default" w:ascii="Times New Roman" w:hAnsi="Times New Roman" w:eastAsia="宋体" w:cs="Times New Roman"/>
                <w:color w:val="000000" w:themeColor="text1"/>
                <w:lang w:eastAsia="zh-CN"/>
                <w14:textFill>
                  <w14:solidFill>
                    <w14:schemeClr w14:val="tx1"/>
                  </w14:solidFill>
                </w14:textFill>
              </w:rPr>
              <w:t>试油期伴生气经排气管线充分燃烧后排放，试油期井场边界非甲烷总烃参照执行《陆上石油天然气开采工业大气污染物排放标准》（GB39728-2020）中边界浓度限值要求。</w:t>
            </w:r>
          </w:p>
        </w:tc>
        <w:tc>
          <w:tcPr>
            <w:tcW w:w="1107" w:type="pct"/>
            <w:vAlign w:val="center"/>
          </w:tcPr>
          <w:p w14:paraId="59B895B8">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验收效果：</w:t>
            </w:r>
            <w:r>
              <w:rPr>
                <w:rFonts w:hint="default" w:ascii="Times New Roman" w:hAnsi="Times New Roman" w:eastAsia="宋体" w:cs="Times New Roman"/>
                <w:color w:val="000000" w:themeColor="text1"/>
                <w:lang w:eastAsia="zh-CN"/>
                <w14:textFill>
                  <w14:solidFill>
                    <w14:schemeClr w14:val="tx1"/>
                  </w14:solidFill>
                </w14:textFill>
              </w:rPr>
              <w:t>验收时现场无施工遗留问题。</w:t>
            </w:r>
          </w:p>
        </w:tc>
        <w:tc>
          <w:tcPr>
            <w:tcW w:w="655" w:type="pct"/>
            <w:vMerge w:val="continue"/>
            <w:vAlign w:val="center"/>
          </w:tcPr>
          <w:p w14:paraId="31982ECF">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18" w:type="pct"/>
            <w:vMerge w:val="continue"/>
            <w:vAlign w:val="center"/>
          </w:tcPr>
          <w:p w14:paraId="74E96FAA">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r>
      <w:tr w14:paraId="5FFA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38" w:hRule="atLeast"/>
          <w:jc w:val="center"/>
        </w:trPr>
        <w:tc>
          <w:tcPr>
            <w:tcW w:w="661" w:type="pct"/>
            <w:vAlign w:val="center"/>
          </w:tcPr>
          <w:p w14:paraId="48E89293">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固体废物</w:t>
            </w:r>
          </w:p>
        </w:tc>
        <w:tc>
          <w:tcPr>
            <w:tcW w:w="2158" w:type="pct"/>
            <w:vAlign w:val="center"/>
          </w:tcPr>
          <w:p w14:paraId="0B36CCC1">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钻井岩屑（含钻井泥浆固相）：钻井过程中产生的钻井岩屑经“钻井液不落地”系统处理，实现固液分离。分离出的固相岩屑按钻井阶段及钻井液体系分类管理：一开段水基钻井岩屑不属于危险废物，暂存于专用岩屑方罐内，具有相应环保处理能力的第三方单位进行集中处置，经检测达到《油气田钻井固体废物综合利用污染控制要求》（DB65/T3997-2017）相关标准限值后综合利用。二开段油基钻井岩屑属于危险废物，委托具有危险废物经营资质的单位规范处置。三开段岩屑虽采用水基钻井液体系，但在</w:t>
            </w:r>
            <w:r>
              <w:rPr>
                <w:rFonts w:hint="default" w:ascii="Times New Roman" w:hAnsi="Times New Roman" w:eastAsia="宋体" w:cs="Times New Roman"/>
                <w:color w:val="000000" w:themeColor="text1"/>
                <w:lang w:val="en-US" w:eastAsia="zh-CN"/>
                <w14:textFill>
                  <w14:solidFill>
                    <w14:schemeClr w14:val="tx1"/>
                  </w14:solidFill>
                </w14:textFill>
              </w:rPr>
              <w:t>含油量检测</w:t>
            </w:r>
            <w:r>
              <w:rPr>
                <w:rFonts w:hint="default" w:ascii="Times New Roman" w:hAnsi="Times New Roman" w:eastAsia="宋体" w:cs="Times New Roman"/>
                <w:color w:val="000000" w:themeColor="text1"/>
                <w:lang w:eastAsia="zh-CN"/>
                <w14:textFill>
                  <w14:solidFill>
                    <w14:schemeClr w14:val="tx1"/>
                  </w14:solidFill>
                </w14:textFill>
              </w:rPr>
              <w:t>结果出具前，暂按危险废物进行严格管理和处置；待</w:t>
            </w:r>
            <w:r>
              <w:rPr>
                <w:rFonts w:hint="default" w:ascii="Times New Roman" w:hAnsi="Times New Roman" w:eastAsia="宋体" w:cs="Times New Roman"/>
                <w:color w:val="000000" w:themeColor="text1"/>
                <w:lang w:val="en-US" w:eastAsia="zh-CN"/>
                <w14:textFill>
                  <w14:solidFill>
                    <w14:schemeClr w14:val="tx1"/>
                  </w14:solidFill>
                </w14:textFill>
              </w:rPr>
              <w:t>检测</w:t>
            </w:r>
            <w:r>
              <w:rPr>
                <w:rFonts w:hint="default" w:ascii="Times New Roman" w:hAnsi="Times New Roman" w:eastAsia="宋体" w:cs="Times New Roman"/>
                <w:color w:val="000000" w:themeColor="text1"/>
                <w:lang w:eastAsia="zh-CN"/>
                <w14:textFill>
                  <w14:solidFill>
                    <w14:schemeClr w14:val="tx1"/>
                  </w14:solidFill>
                </w14:textFill>
              </w:rPr>
              <w:t>结果确认不属于危险废物且满足相关标准要求后，方可调整为按一般工业固体废物进行处置或综合利用。②废防渗材料：未破损、未沾油的防渗材料由建设单位集中回收利用，沾油的废防渗材料委托具有相应危险废物处置资质的单位进行处置；③落地油100%回收，集中收集后委托有危险废物处理资质单位进行处置。④机械设备废油、废润滑油、废润滑油桶暂存至满足重点防渗要求的危险废物贮存</w:t>
            </w:r>
            <w:r>
              <w:rPr>
                <w:rFonts w:hint="default" w:ascii="Times New Roman" w:hAnsi="Times New Roman" w:eastAsia="宋体" w:cs="Times New Roman"/>
                <w:color w:val="000000" w:themeColor="text1"/>
                <w:lang w:val="en-US" w:eastAsia="zh-CN"/>
                <w14:textFill>
                  <w14:solidFill>
                    <w14:schemeClr w14:val="tx1"/>
                  </w14:solidFill>
                </w14:textFill>
              </w:rPr>
              <w:t>点</w:t>
            </w:r>
            <w:r>
              <w:rPr>
                <w:rFonts w:hint="default" w:ascii="Times New Roman" w:hAnsi="Times New Roman" w:eastAsia="宋体" w:cs="Times New Roman"/>
                <w:color w:val="000000" w:themeColor="text1"/>
                <w:lang w:eastAsia="zh-CN"/>
                <w14:textFill>
                  <w14:solidFill>
                    <w14:schemeClr w14:val="tx1"/>
                  </w14:solidFill>
                </w14:textFill>
              </w:rPr>
              <w:t>，委托有危险废物处理资质单位进行处置⑤生活垃圾集中收集后委托第三方拉运至</w:t>
            </w:r>
            <w:r>
              <w:rPr>
                <w:rFonts w:hint="eastAsia" w:ascii="Times New Roman" w:hAnsi="Times New Roman" w:eastAsia="宋体" w:cs="Times New Roman"/>
                <w:color w:val="000000" w:themeColor="text1"/>
                <w:lang w:val="en-US" w:eastAsia="zh-CN"/>
                <w14:textFill>
                  <w14:solidFill>
                    <w14:schemeClr w14:val="tx1"/>
                  </w14:solidFill>
                </w14:textFill>
              </w:rPr>
              <w:t>吉木萨尔县</w:t>
            </w:r>
            <w:r>
              <w:rPr>
                <w:rFonts w:hint="default" w:ascii="Times New Roman" w:hAnsi="Times New Roman" w:eastAsia="宋体" w:cs="Times New Roman"/>
                <w:color w:val="000000" w:themeColor="text1"/>
                <w:lang w:eastAsia="zh-CN"/>
                <w14:textFill>
                  <w14:solidFill>
                    <w14:schemeClr w14:val="tx1"/>
                  </w14:solidFill>
                </w14:textFill>
              </w:rPr>
              <w:t>垃圾场处理。</w:t>
            </w:r>
          </w:p>
        </w:tc>
        <w:tc>
          <w:tcPr>
            <w:tcW w:w="1107" w:type="pct"/>
            <w:vAlign w:val="center"/>
          </w:tcPr>
          <w:p w14:paraId="7C830F19">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验收内容：</w:t>
            </w:r>
            <w:r>
              <w:rPr>
                <w:rFonts w:hint="default" w:ascii="Times New Roman" w:hAnsi="Times New Roman" w:eastAsia="宋体" w:cs="Times New Roman"/>
                <w:color w:val="000000" w:themeColor="text1"/>
                <w:lang w:eastAsia="zh-CN"/>
                <w14:textFill>
                  <w14:solidFill>
                    <w14:schemeClr w14:val="tx1"/>
                  </w14:solidFill>
                </w14:textFill>
              </w:rPr>
              <w:t>①水基岩屑委托处置记录，油基岩屑危险废物管理和转运情况；②废防渗材料、落地油和沾油废防渗材料、机械设备废油与废润滑油桶贮存于危废贮存点后定期委托有危险废物处理资质单位进行处置并签订处置协议，查阅危险废物台账，检查现场是否有遗留；③生活垃圾签订接收协议。④现场是否存在固体废物遗留或混装现象。</w:t>
            </w:r>
          </w:p>
          <w:p w14:paraId="4F6EA71D">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验收效果：</w:t>
            </w:r>
            <w:r>
              <w:rPr>
                <w:rFonts w:hint="default" w:ascii="Times New Roman" w:hAnsi="Times New Roman" w:eastAsia="宋体" w:cs="Times New Roman"/>
                <w:color w:val="000000" w:themeColor="text1"/>
                <w:lang w:eastAsia="zh-CN"/>
                <w14:textFill>
                  <w14:solidFill>
                    <w14:schemeClr w14:val="tx1"/>
                  </w14:solidFill>
                </w14:textFill>
              </w:rPr>
              <w:t>各类固体废物均按规定分类收集、规范暂存并及时转运处置，现场未发现固体废物遗留或环境污染问题。</w:t>
            </w:r>
          </w:p>
        </w:tc>
        <w:tc>
          <w:tcPr>
            <w:tcW w:w="655" w:type="pct"/>
            <w:vMerge w:val="continue"/>
            <w:vAlign w:val="center"/>
          </w:tcPr>
          <w:p w14:paraId="269839BD">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18" w:type="pct"/>
            <w:vMerge w:val="continue"/>
            <w:vAlign w:val="center"/>
          </w:tcPr>
          <w:p w14:paraId="71FAD573">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r>
      <w:tr w14:paraId="189E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60" w:hRule="atLeast"/>
          <w:jc w:val="center"/>
        </w:trPr>
        <w:tc>
          <w:tcPr>
            <w:tcW w:w="661" w:type="pct"/>
            <w:vAlign w:val="center"/>
          </w:tcPr>
          <w:p w14:paraId="2D71B05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电磁环境</w:t>
            </w:r>
          </w:p>
        </w:tc>
        <w:tc>
          <w:tcPr>
            <w:tcW w:w="2158" w:type="pct"/>
            <w:vAlign w:val="center"/>
          </w:tcPr>
          <w:p w14:paraId="6F32C58E">
            <w:pPr>
              <w:kinsoku/>
              <w:spacing w:line="340" w:lineRule="exac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1107" w:type="pct"/>
            <w:vAlign w:val="center"/>
          </w:tcPr>
          <w:p w14:paraId="54C313E6">
            <w:pPr>
              <w:kinsoku/>
              <w:spacing w:line="340" w:lineRule="exac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57510CAB">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0D3E7055">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76E4C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2350" w:hRule="atLeast"/>
          <w:jc w:val="center"/>
        </w:trPr>
        <w:tc>
          <w:tcPr>
            <w:tcW w:w="661" w:type="pct"/>
            <w:vAlign w:val="center"/>
          </w:tcPr>
          <w:p w14:paraId="5C1B2C81">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环境风险</w:t>
            </w:r>
          </w:p>
        </w:tc>
        <w:tc>
          <w:tcPr>
            <w:tcW w:w="2158" w:type="pct"/>
            <w:vAlign w:val="center"/>
          </w:tcPr>
          <w:p w14:paraId="60522602">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①施工时应严格执行相关风险防范措施和规章制度，严禁违规操作加强设备维修与巡检，避免储罐泄漏事故的发生；②在井口安装井控装置，杜绝井喷的发生；防止污染地下水和土壤；③定期检查固井质量，发现固井质量不合格应及时采取措施，保证固井质量合格；④柴油罐、原油罐等储罐底部铺设防渗材料或设置围堰，加强各类储罐及放喷管线的日常管理及安全检查；⑤将本项目纳入《中国石油天然气股份有限公司吐哈油田分公司准东采油管理区突发环境事件应急预案》管理体系，并落实相关应急响应措施。</w:t>
            </w:r>
          </w:p>
        </w:tc>
        <w:tc>
          <w:tcPr>
            <w:tcW w:w="1107" w:type="pct"/>
            <w:vAlign w:val="center"/>
          </w:tcPr>
          <w:p w14:paraId="1B54C14B">
            <w:pPr>
              <w:kinsoku/>
              <w:spacing w:line="340" w:lineRule="exac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07E5C8D2">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1C46889B">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2128E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34" w:hRule="atLeast"/>
          <w:jc w:val="center"/>
        </w:trPr>
        <w:tc>
          <w:tcPr>
            <w:tcW w:w="661" w:type="pct"/>
            <w:vAlign w:val="center"/>
          </w:tcPr>
          <w:p w14:paraId="3C7CBC1B">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环境监测</w:t>
            </w:r>
          </w:p>
        </w:tc>
        <w:tc>
          <w:tcPr>
            <w:tcW w:w="2158" w:type="pct"/>
            <w:vAlign w:val="center"/>
          </w:tcPr>
          <w:p w14:paraId="6108292A">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工程为钻井及试油阶段项目，施工周期较短，环境影响具有阶段性。施工和试油期间钻机、动力设备等投入运行，建设单位应对各阶段产生的废气、废水、固体废物及生态扰动落实全过程环境管理，通过现场巡查检查、台账记录与必要的阶段性监测，确保各项环保措施有效实施，降低对周边环境的影响。</w:t>
            </w:r>
            <w:r>
              <w:rPr>
                <w:rFonts w:hint="default" w:ascii="Times New Roman" w:hAnsi="Times New Roman" w:eastAsia="宋体" w:cs="Times New Roman"/>
                <w:color w:val="000000" w:themeColor="text1"/>
                <w:lang w:eastAsia="zh-CN"/>
                <w14:textFill>
                  <w14:solidFill>
                    <w14:schemeClr w14:val="tx1"/>
                  </w14:solidFill>
                </w14:textFill>
              </w:rPr>
              <w:br w:type="textWrapping"/>
            </w:r>
            <w:r>
              <w:rPr>
                <w:rFonts w:hint="default" w:ascii="Times New Roman" w:hAnsi="Times New Roman" w:eastAsia="宋体" w:cs="Times New Roman"/>
                <w:color w:val="000000" w:themeColor="text1"/>
                <w:lang w:eastAsia="zh-CN"/>
                <w14:textFill>
                  <w14:solidFill>
                    <w14:schemeClr w14:val="tx1"/>
                  </w14:solidFill>
                </w14:textFill>
              </w:rPr>
              <w:t>本项目监测以施工期为主：在钻井/试油等高噪声作业阶段开展井场边界噪声监测；对固体废物（钻井岩屑、危废等）执行分类收集、暂存、转运联单及台账管理；对钻井液及返排液等废水实行</w:t>
            </w:r>
            <w:r>
              <w:rPr>
                <w:rFonts w:hint="default" w:ascii="Times New Roman" w:hAnsi="Times New Roman" w:eastAsia="宋体" w:cs="Times New Roman"/>
                <w:color w:val="000000" w:themeColor="text1"/>
                <w:lang w:val="en-US" w:eastAsia="zh-CN"/>
                <w14:textFill>
                  <w14:solidFill>
                    <w14:schemeClr w14:val="tx1"/>
                  </w14:solidFill>
                </w14:textFill>
              </w:rPr>
              <w:t>规范</w:t>
            </w:r>
            <w:r>
              <w:rPr>
                <w:rFonts w:hint="default" w:ascii="Times New Roman" w:hAnsi="Times New Roman" w:eastAsia="宋体" w:cs="Times New Roman"/>
                <w:color w:val="000000" w:themeColor="text1"/>
                <w:lang w:eastAsia="zh-CN"/>
                <w14:textFill>
                  <w14:solidFill>
                    <w14:schemeClr w14:val="tx1"/>
                  </w14:solidFill>
                </w14:textFill>
              </w:rPr>
              <w:t>收集并外运至脱水站处理后回注油藏，不设置外排口，日常以过程检查为主。若发生异常工况或环境突发事件（如泄漏、井控异常等），应及时开展应急监测。监测工作由具备相应资质（CMA）的第三方监测单位承担，并形成完整记录归档。</w:t>
            </w:r>
          </w:p>
        </w:tc>
        <w:tc>
          <w:tcPr>
            <w:tcW w:w="1107" w:type="pct"/>
            <w:vAlign w:val="center"/>
          </w:tcPr>
          <w:p w14:paraId="775A3092">
            <w:pPr>
              <w:kinsoku/>
              <w:spacing w:line="340" w:lineRule="exact"/>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w:t>
            </w:r>
          </w:p>
        </w:tc>
        <w:tc>
          <w:tcPr>
            <w:tcW w:w="655" w:type="pct"/>
            <w:vMerge w:val="continue"/>
            <w:vAlign w:val="center"/>
          </w:tcPr>
          <w:p w14:paraId="1F5D9D7B">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c>
          <w:tcPr>
            <w:tcW w:w="418" w:type="pct"/>
            <w:vMerge w:val="continue"/>
            <w:vAlign w:val="center"/>
          </w:tcPr>
          <w:p w14:paraId="2375C1F2">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p>
        </w:tc>
      </w:tr>
      <w:tr w14:paraId="37A5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9" w:type="dxa"/>
            <w:bottom w:w="0" w:type="dxa"/>
            <w:right w:w="79" w:type="dxa"/>
          </w:tblCellMar>
        </w:tblPrEx>
        <w:trPr>
          <w:trHeight w:val="90" w:hRule="atLeast"/>
          <w:jc w:val="center"/>
        </w:trPr>
        <w:tc>
          <w:tcPr>
            <w:tcW w:w="661" w:type="pct"/>
            <w:vAlign w:val="center"/>
          </w:tcPr>
          <w:p w14:paraId="132832AE">
            <w:pPr>
              <w:kinsoku/>
              <w:spacing w:line="340" w:lineRule="exact"/>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其他</w:t>
            </w:r>
          </w:p>
        </w:tc>
        <w:tc>
          <w:tcPr>
            <w:tcW w:w="2158" w:type="pct"/>
            <w:vAlign w:val="center"/>
          </w:tcPr>
          <w:p w14:paraId="51EAA7F3">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施工单位应建立环境保护档案，保存施工前后项目区的影像资料，使施工全过程各类污染物产生、去向和各个污染措施及实施情况均记录在案。建设单位对施工单位钻井期间进行环保日常检查并做好记录；完工交井前，建设单位主管部门现场验收，合格后方可记录为完工，做到工完料净场地清，并做好记录。</w:t>
            </w:r>
          </w:p>
        </w:tc>
        <w:tc>
          <w:tcPr>
            <w:tcW w:w="1107" w:type="pct"/>
            <w:vAlign w:val="center"/>
          </w:tcPr>
          <w:p w14:paraId="5DFACA31">
            <w:pPr>
              <w:kinsoku/>
              <w:spacing w:line="340" w:lineRule="exact"/>
              <w:jc w:val="both"/>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环境管理制度是否建立并完善，环保机构及人员是否设置到位；是否保留必要的影像资料。</w:t>
            </w:r>
          </w:p>
        </w:tc>
        <w:tc>
          <w:tcPr>
            <w:tcW w:w="655" w:type="pct"/>
            <w:vMerge w:val="continue"/>
            <w:vAlign w:val="center"/>
          </w:tcPr>
          <w:p w14:paraId="447BE84C">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c>
          <w:tcPr>
            <w:tcW w:w="418" w:type="pct"/>
            <w:vMerge w:val="continue"/>
            <w:vAlign w:val="center"/>
          </w:tcPr>
          <w:p w14:paraId="01B5B3DE">
            <w:pPr>
              <w:kinsoku/>
              <w:spacing w:line="340" w:lineRule="exact"/>
              <w:jc w:val="center"/>
              <w:rPr>
                <w:rFonts w:hint="default" w:ascii="Times New Roman" w:hAnsi="Times New Roman" w:eastAsia="宋体" w:cs="Times New Roman"/>
                <w:color w:val="000000" w:themeColor="text1"/>
                <w:lang w:eastAsia="zh-CN"/>
                <w14:textFill>
                  <w14:solidFill>
                    <w14:schemeClr w14:val="tx1"/>
                  </w14:solidFill>
                </w14:textFill>
              </w:rPr>
            </w:pPr>
          </w:p>
        </w:tc>
      </w:tr>
    </w:tbl>
    <w:p w14:paraId="0773281C">
      <w:pPr>
        <w:numPr>
          <w:ilvl w:val="0"/>
          <w:numId w:val="0"/>
        </w:numPr>
        <w:rPr>
          <w:color w:val="000000" w:themeColor="text1"/>
          <w:lang w:eastAsia="zh-CN"/>
          <w14:textFill>
            <w14:solidFill>
              <w14:schemeClr w14:val="tx1"/>
            </w14:solidFill>
          </w14:textFill>
        </w:rPr>
      </w:pPr>
    </w:p>
    <w:p w14:paraId="26B86A6A">
      <w:pPr>
        <w:pStyle w:val="7"/>
        <w:kinsoku/>
        <w:rPr>
          <w:rFonts w:ascii="Times New Roman" w:hAnsi="Times New Roman" w:cs="Times New Roman"/>
          <w:color w:val="000000" w:themeColor="text1"/>
          <w:highlight w:val="none"/>
          <w:lang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BD729AC">
      <w:pPr>
        <w:kinsoku/>
        <w:spacing w:line="360" w:lineRule="auto"/>
        <w:jc w:val="center"/>
        <w:outlineLvl w:val="0"/>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eastAsiaTheme="minorEastAsia"/>
          <w:b/>
          <w:color w:val="000000" w:themeColor="text1"/>
          <w:kern w:val="44"/>
          <w:sz w:val="30"/>
          <w:szCs w:val="30"/>
          <w:highlight w:val="none"/>
          <w14:textFill>
            <w14:solidFill>
              <w14:schemeClr w14:val="tx1"/>
            </w14:solidFill>
          </w14:textFill>
        </w:rPr>
        <w:t>七、结论</w:t>
      </w:r>
    </w:p>
    <w:tbl>
      <w:tblPr>
        <w:tblStyle w:val="21"/>
        <w:tblW w:w="8635"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35"/>
      </w:tblGrid>
      <w:tr w14:paraId="68590BE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307" w:hRule="atLeast"/>
          <w:jc w:val="center"/>
        </w:trPr>
        <w:tc>
          <w:tcPr>
            <w:tcW w:w="8635" w:type="dxa"/>
            <w:vAlign w:val="center"/>
          </w:tcPr>
          <w:p w14:paraId="2E8A5C44">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3B7DAB7D">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3B834EBB">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1B23D794">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4A68DD81">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4415090B">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6AB3955D">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64620578">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3125A949">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586651B2">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r>
              <w:rPr>
                <w:rFonts w:ascii="Times New Roman" w:hAnsi="Times New Roman" w:cs="Times New Roman"/>
                <w:color w:val="000000" w:themeColor="text1"/>
                <w:spacing w:val="-3"/>
                <w:sz w:val="24"/>
                <w:szCs w:val="24"/>
                <w:highlight w:val="none"/>
                <w:lang w:eastAsia="zh-CN"/>
                <w14:textFill>
                  <w14:solidFill>
                    <w14:schemeClr w14:val="tx1"/>
                  </w14:solidFill>
                </w14:textFill>
              </w:rPr>
              <w:t>本工程符合国家产业政策，选址较为合理，项目建设符合达标排放、总量控制及维持环境质量原则；符合风险防范措施要求。通过加强管理，污染物无害处理，及时恢复原貌等措施，在各项污染治理措施实施且确保全部污染物达标排放的前提下，本次项目的建设从环境影响角度而言，项目实施是可行的。</w:t>
            </w:r>
          </w:p>
          <w:p w14:paraId="4B9D4DA3">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54416ACB">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153C7229">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1607477E">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2E90D20A">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64C3428C">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3734FBA2">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711D9E3E">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4FD5EF1E">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3E9F38FA">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p w14:paraId="5FDB8A7D">
            <w:pPr>
              <w:pStyle w:val="22"/>
              <w:kinsoku/>
              <w:spacing w:before="117" w:line="361" w:lineRule="auto"/>
              <w:ind w:left="117" w:right="106" w:firstLine="480"/>
              <w:jc w:val="center"/>
              <w:rPr>
                <w:rFonts w:ascii="Times New Roman" w:hAnsi="Times New Roman" w:cs="Times New Roman"/>
                <w:color w:val="000000" w:themeColor="text1"/>
                <w:spacing w:val="-3"/>
                <w:sz w:val="24"/>
                <w:szCs w:val="24"/>
                <w:highlight w:val="none"/>
                <w:lang w:eastAsia="zh-CN"/>
                <w14:textFill>
                  <w14:solidFill>
                    <w14:schemeClr w14:val="tx1"/>
                  </w14:solidFill>
                </w14:textFill>
              </w:rPr>
            </w:pPr>
          </w:p>
        </w:tc>
      </w:tr>
    </w:tbl>
    <w:p w14:paraId="0385487B">
      <w:pPr>
        <w:pStyle w:val="7"/>
        <w:kinsoku/>
        <w:rPr>
          <w:rFonts w:ascii="Times New Roman" w:hAnsi="Times New Roman" w:cs="Times New Roman"/>
          <w:color w:val="000000" w:themeColor="text1"/>
          <w:sz w:val="21"/>
          <w:highlight w:val="none"/>
          <w:lang w:eastAsia="zh-CN"/>
          <w14:textFill>
            <w14:solidFill>
              <w14:schemeClr w14:val="tx1"/>
            </w14:solidFill>
          </w14:textFill>
        </w:rPr>
      </w:pPr>
    </w:p>
    <w:sectPr>
      <w:footerReference r:id="rId7" w:type="default"/>
      <w:pgSz w:w="11900" w:h="16840"/>
      <w:pgMar w:top="1440" w:right="1803" w:bottom="1440" w:left="1803" w:header="850" w:footer="992"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D5CCF68-A910-45C8-9728-DA879DF2B856}"/>
  </w:font>
  <w:font w:name="黑体">
    <w:panose1 w:val="02010609060101010101"/>
    <w:charset w:val="86"/>
    <w:family w:val="auto"/>
    <w:pitch w:val="default"/>
    <w:sig w:usb0="800002BF" w:usb1="38CF7CFA" w:usb2="00000016" w:usb3="00000000" w:csb0="00040001" w:csb1="00000000"/>
    <w:embedRegular r:id="rId2" w:fontKey="{CF2A697C-77D8-4E31-AB01-E5FC4FCE88F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embedRegular r:id="rId3" w:fontKey="{AA1342E1-5500-49EB-ABD3-26334B8984F7}"/>
  </w:font>
  <w:font w:name="仿宋">
    <w:panose1 w:val="02010609060101010101"/>
    <w:charset w:val="86"/>
    <w:family w:val="modern"/>
    <w:pitch w:val="default"/>
    <w:sig w:usb0="800002BF" w:usb1="38CF7CFA" w:usb2="00000016" w:usb3="00000000" w:csb0="00040001" w:csb1="00000000"/>
    <w:embedRegular r:id="rId4" w:fontKey="{834B4087-A5E4-429C-B236-938512E3E6AF}"/>
  </w:font>
  <w:font w:name="方正小标宋_GBK">
    <w:panose1 w:val="02000000000000000000"/>
    <w:charset w:val="86"/>
    <w:family w:val="script"/>
    <w:pitch w:val="default"/>
    <w:sig w:usb0="A00002BF" w:usb1="38CF7CFA" w:usb2="00082016" w:usb3="00000000" w:csb0="00040001" w:csb1="00000000"/>
    <w:embedRegular r:id="rId5" w:fontKey="{B9ECDF31-214E-4502-BDA3-AC898F6945F9}"/>
  </w:font>
  <w:font w:name="楷体_GB2312">
    <w:altName w:val="楷体"/>
    <w:panose1 w:val="00000000000000000000"/>
    <w:charset w:val="86"/>
    <w:family w:val="modern"/>
    <w:pitch w:val="default"/>
    <w:sig w:usb0="00000000" w:usb1="00000000" w:usb2="00000000" w:usb3="00000000" w:csb0="00040000" w:csb1="00000000"/>
    <w:embedRegular r:id="rId6" w:fontKey="{7489FF42-6192-4799-BD77-19474A415CA7}"/>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7" w:fontKey="{BCABFAC8-F03A-48EF-A12F-6A3CD2D9D0B8}"/>
  </w:font>
  <w:font w:name="Cambria Math">
    <w:panose1 w:val="02040503050406030204"/>
    <w:charset w:val="00"/>
    <w:family w:val="roman"/>
    <w:pitch w:val="default"/>
    <w:sig w:usb0="E00006FF" w:usb1="420024FF" w:usb2="02000000" w:usb3="00000000" w:csb0="2000019F" w:csb1="00000000"/>
    <w:embedRegular r:id="rId8" w:fontKey="{03FFBEB0-FF11-43EA-823C-A0F13A5EE54D}"/>
  </w:font>
  <w:font w:name="TimesNewRomanPS-BoldMT">
    <w:altName w:val="Segoe Print"/>
    <w:panose1 w:val="00000000000000000000"/>
    <w:charset w:val="00"/>
    <w:family w:val="auto"/>
    <w:pitch w:val="default"/>
    <w:sig w:usb0="00000000" w:usb1="00000000" w:usb2="00000000" w:usb3="00000000" w:csb0="00000000" w:csb1="00000000"/>
    <w:embedRegular r:id="rId9" w:fontKey="{3130E2D6-EA7A-4502-915C-916AEF35FBB5}"/>
  </w:font>
  <w:font w:name="Segoe Print">
    <w:panose1 w:val="02000600000000000000"/>
    <w:charset w:val="00"/>
    <w:family w:val="auto"/>
    <w:pitch w:val="default"/>
    <w:sig w:usb0="0000028F" w:usb1="00000000" w:usb2="00000000" w:usb3="00000000" w:csb0="2000009F" w:csb1="47010000"/>
  </w:font>
  <w:font w:name="Times New Roman Regular">
    <w:altName w:val="Times New Roman"/>
    <w:panose1 w:val="02020503050405090304"/>
    <w:charset w:val="00"/>
    <w:family w:val="auto"/>
    <w:pitch w:val="default"/>
    <w:sig w:usb0="00000000" w:usb1="00000000" w:usb2="00000001" w:usb3="00000000" w:csb0="400001BF" w:csb1="DFF70000"/>
    <w:embedRegular r:id="rId10" w:fontKey="{F81B1B91-FD5F-44F7-BB21-7922D869A521}"/>
  </w:font>
  <w:font w:name="sans-serif">
    <w:altName w:val="Segoe Print"/>
    <w:panose1 w:val="00000000000000000000"/>
    <w:charset w:val="00"/>
    <w:family w:val="auto"/>
    <w:pitch w:val="default"/>
    <w:sig w:usb0="00000000" w:usb1="00000000" w:usb2="00000000" w:usb3="00000000" w:csb0="00000000" w:csb1="00000000"/>
    <w:embedRegular r:id="rId11" w:fontKey="{9106CBA4-F7F9-4957-B23F-6A5D6E957816}"/>
  </w:font>
  <w:font w:name="ESRI AMFM Electric">
    <w:altName w:val="Segoe UI Semilight"/>
    <w:panose1 w:val="020004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12" w:fontKey="{A14E37DD-AC20-4C9E-9DAB-1D0FE5CEA563}"/>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59D26">
    <w:pPr>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FE6E5">
    <w:pPr>
      <w:spacing w:line="14" w:lineRule="auto"/>
      <w:rPr>
        <w:sz w:val="2"/>
      </w:rPr>
    </w:pPr>
    <w:r>
      <w:rPr>
        <w:sz w:val="2"/>
      </w:rPr>
      <mc:AlternateContent>
        <mc:Choice Requires="wps">
          <w:drawing>
            <wp:anchor distT="0" distB="0" distL="114300" distR="114300" simplePos="0" relativeHeight="251659264" behindDoc="0" locked="0" layoutInCell="1" allowOverlap="1">
              <wp:simplePos x="0" y="0"/>
              <wp:positionH relativeFrom="margin">
                <wp:posOffset>2617470</wp:posOffset>
              </wp:positionH>
              <wp:positionV relativeFrom="paragraph">
                <wp:posOffset>-228600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B08D6">
                          <w:pPr>
                            <w:pStyle w:val="12"/>
                            <w:rPr>
                              <w:rFonts w:ascii="Times New Roman" w:hAnsi="Times New Roman" w:eastAsia="宋体" w:cs="Times New Roman"/>
                              <w:sz w:val="21"/>
                            </w:rPr>
                          </w:pPr>
                          <w:r>
                            <w:rPr>
                              <w:rFonts w:ascii="Times New Roman" w:hAnsi="Times New Roman" w:eastAsia="宋体" w:cs="Times New Roman"/>
                              <w:sz w:val="21"/>
                            </w:rPr>
                            <w:fldChar w:fldCharType="begin"/>
                          </w:r>
                          <w:r>
                            <w:rPr>
                              <w:rFonts w:ascii="Times New Roman" w:hAnsi="Times New Roman" w:eastAsia="宋体" w:cs="Times New Roman"/>
                              <w:sz w:val="21"/>
                            </w:rPr>
                            <w:instrText xml:space="preserve"> PAGE  \* MERGEFORMAT </w:instrText>
                          </w:r>
                          <w:r>
                            <w:rPr>
                              <w:rFonts w:ascii="Times New Roman" w:hAnsi="Times New Roman" w:eastAsia="宋体" w:cs="Times New Roman"/>
                              <w:sz w:val="21"/>
                            </w:rPr>
                            <w:fldChar w:fldCharType="separate"/>
                          </w:r>
                          <w:r>
                            <w:rPr>
                              <w:rFonts w:ascii="Times New Roman" w:hAnsi="Times New Roman" w:eastAsia="宋体" w:cs="Times New Roman"/>
                              <w:sz w:val="21"/>
                            </w:rPr>
                            <w:t>2</w:t>
                          </w:r>
                          <w:r>
                            <w:rPr>
                              <w:rFonts w:ascii="Times New Roman" w:hAnsi="Times New Roman" w:eastAsia="宋体" w:cs="Times New Roman"/>
                              <w:sz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6.1pt;margin-top:-18pt;height:144pt;width:144pt;mso-position-horizontal-relative:margin;mso-wrap-style:none;z-index:251659264;mso-width-relative:page;mso-height-relative:page;" filled="f" stroked="f" coordsize="21600,21600" o:gfxdata="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eqe32AAAAAsBAAAPAAAAAAAAAAEAIAAAACIAAABkcnMvZG93bnJldi54bWxQSwECFAAU&#10;AAAACACHTuJAjNcOfCoCAABVBAAADgAAAAAAAAABACAAAAAnAQAAZHJzL2Uyb0RvYy54bWxQSwUG&#10;AAAAAAYABgBZAQAAwwUAAAAA&#10;">
              <v:fill on="f" focussize="0,0"/>
              <v:stroke on="f" weight="0.5pt"/>
              <v:imagedata o:title=""/>
              <o:lock v:ext="edit" aspectratio="f"/>
              <v:textbox inset="0mm,0mm,0mm,0mm" style="mso-fit-shape-to-text:t;">
                <w:txbxContent>
                  <w:p w14:paraId="717B08D6">
                    <w:pPr>
                      <w:pStyle w:val="12"/>
                      <w:rPr>
                        <w:rFonts w:ascii="Times New Roman" w:hAnsi="Times New Roman" w:eastAsia="宋体" w:cs="Times New Roman"/>
                        <w:sz w:val="21"/>
                      </w:rPr>
                    </w:pPr>
                    <w:r>
                      <w:rPr>
                        <w:rFonts w:ascii="Times New Roman" w:hAnsi="Times New Roman" w:eastAsia="宋体" w:cs="Times New Roman"/>
                        <w:sz w:val="21"/>
                      </w:rPr>
                      <w:fldChar w:fldCharType="begin"/>
                    </w:r>
                    <w:r>
                      <w:rPr>
                        <w:rFonts w:ascii="Times New Roman" w:hAnsi="Times New Roman" w:eastAsia="宋体" w:cs="Times New Roman"/>
                        <w:sz w:val="21"/>
                      </w:rPr>
                      <w:instrText xml:space="preserve"> PAGE  \* MERGEFORMAT </w:instrText>
                    </w:r>
                    <w:r>
                      <w:rPr>
                        <w:rFonts w:ascii="Times New Roman" w:hAnsi="Times New Roman" w:eastAsia="宋体" w:cs="Times New Roman"/>
                        <w:sz w:val="21"/>
                      </w:rPr>
                      <w:fldChar w:fldCharType="separate"/>
                    </w:r>
                    <w:r>
                      <w:rPr>
                        <w:rFonts w:ascii="Times New Roman" w:hAnsi="Times New Roman" w:eastAsia="宋体" w:cs="Times New Roman"/>
                        <w:sz w:val="21"/>
                      </w:rPr>
                      <w:t>2</w:t>
                    </w:r>
                    <w:r>
                      <w:rPr>
                        <w:rFonts w:ascii="Times New Roman" w:hAnsi="Times New Roman" w:eastAsia="宋体" w:cs="Times New Roman"/>
                        <w:sz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9A653">
    <w:pPr>
      <w:spacing w:line="176" w:lineRule="auto"/>
      <w:ind w:left="450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9166E">
                          <w:pPr>
                            <w:pStyle w:val="1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DC9166E">
                    <w:pPr>
                      <w:pStyle w:val="1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B299">
    <w:pPr>
      <w:jc w:val="right"/>
      <w:rPr>
        <w:rFonts w:hint="eastAsia" w:ascii="宋体" w:hAnsi="宋体" w:eastAsia="宋体" w:cs="宋体"/>
        <w:sz w:val="26"/>
        <w:szCs w:val="26"/>
      </w:rPr>
    </w:pPr>
    <w:r>
      <w:rPr>
        <w:sz w:val="2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24F896">
                          <w:pPr>
                            <w:pStyle w:val="12"/>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E24F896">
                    <w:pPr>
                      <w:pStyle w:val="12"/>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4688B">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9683DF"/>
    <w:multiLevelType w:val="singleLevel"/>
    <w:tmpl w:val="9F9683DF"/>
    <w:lvl w:ilvl="0" w:tentative="0">
      <w:start w:val="1"/>
      <w:numFmt w:val="decimal"/>
      <w:suff w:val="nothing"/>
      <w:lvlText w:val="（%1）"/>
      <w:lvlJc w:val="left"/>
    </w:lvl>
  </w:abstractNum>
  <w:abstractNum w:abstractNumId="1">
    <w:nsid w:val="A3F469D9"/>
    <w:multiLevelType w:val="singleLevel"/>
    <w:tmpl w:val="A3F469D9"/>
    <w:lvl w:ilvl="0" w:tentative="0">
      <w:start w:val="1"/>
      <w:numFmt w:val="decimal"/>
      <w:lvlText w:val="%1."/>
      <w:lvlJc w:val="left"/>
      <w:pPr>
        <w:tabs>
          <w:tab w:val="left" w:pos="312"/>
        </w:tabs>
      </w:pPr>
    </w:lvl>
  </w:abstractNum>
  <w:abstractNum w:abstractNumId="2">
    <w:nsid w:val="BC0AF283"/>
    <w:multiLevelType w:val="singleLevel"/>
    <w:tmpl w:val="BC0AF283"/>
    <w:lvl w:ilvl="0" w:tentative="0">
      <w:start w:val="4"/>
      <w:numFmt w:val="decimal"/>
      <w:lvlText w:val="%1."/>
      <w:lvlJc w:val="left"/>
      <w:pPr>
        <w:tabs>
          <w:tab w:val="left" w:pos="312"/>
        </w:tabs>
      </w:pPr>
    </w:lvl>
  </w:abstractNum>
  <w:abstractNum w:abstractNumId="3">
    <w:nsid w:val="BE34EA25"/>
    <w:multiLevelType w:val="singleLevel"/>
    <w:tmpl w:val="BE34EA25"/>
    <w:lvl w:ilvl="0" w:tentative="0">
      <w:start w:val="10"/>
      <w:numFmt w:val="decimal"/>
      <w:suff w:val="nothing"/>
      <w:lvlText w:val="（%1）"/>
      <w:lvlJc w:val="left"/>
    </w:lvl>
  </w:abstractNum>
  <w:abstractNum w:abstractNumId="4">
    <w:nsid w:val="160EB033"/>
    <w:multiLevelType w:val="singleLevel"/>
    <w:tmpl w:val="160EB033"/>
    <w:lvl w:ilvl="0" w:tentative="0">
      <w:start w:val="9"/>
      <w:numFmt w:val="decimal"/>
      <w:lvlText w:val="%1."/>
      <w:lvlJc w:val="left"/>
      <w:pPr>
        <w:tabs>
          <w:tab w:val="left" w:pos="312"/>
        </w:tabs>
      </w:pPr>
    </w:lvl>
  </w:abstractNum>
  <w:abstractNum w:abstractNumId="5">
    <w:nsid w:val="1D6817A2"/>
    <w:multiLevelType w:val="singleLevel"/>
    <w:tmpl w:val="1D6817A2"/>
    <w:lvl w:ilvl="0" w:tentative="0">
      <w:start w:val="1"/>
      <w:numFmt w:val="bullet"/>
      <w:pStyle w:val="11"/>
      <w:lvlText w:val=""/>
      <w:lvlJc w:val="left"/>
      <w:pPr>
        <w:tabs>
          <w:tab w:val="left" w:pos="2040"/>
        </w:tabs>
        <w:ind w:left="2040" w:hanging="360"/>
      </w:pPr>
      <w:rPr>
        <w:rFonts w:hint="default" w:ascii="Wingdings" w:hAnsi="Wingdings"/>
      </w:rPr>
    </w:lvl>
  </w:abstractNum>
  <w:abstractNum w:abstractNumId="6">
    <w:nsid w:val="259BB888"/>
    <w:multiLevelType w:val="singleLevel"/>
    <w:tmpl w:val="259BB888"/>
    <w:lvl w:ilvl="0" w:tentative="0">
      <w:start w:val="1"/>
      <w:numFmt w:val="chineseCounting"/>
      <w:suff w:val="nothing"/>
      <w:lvlText w:val="%1、"/>
      <w:lvlJc w:val="left"/>
      <w:rPr>
        <w:rFonts w:hint="eastAsia"/>
      </w:rPr>
    </w:lvl>
  </w:abstractNum>
  <w:abstractNum w:abstractNumId="7">
    <w:nsid w:val="37C54A46"/>
    <w:multiLevelType w:val="singleLevel"/>
    <w:tmpl w:val="37C54A46"/>
    <w:lvl w:ilvl="0" w:tentative="0">
      <w:start w:val="1"/>
      <w:numFmt w:val="decimal"/>
      <w:lvlText w:val="%1."/>
      <w:lvlJc w:val="left"/>
      <w:pPr>
        <w:tabs>
          <w:tab w:val="left" w:pos="312"/>
        </w:tabs>
      </w:pPr>
    </w:lvl>
  </w:abstractNum>
  <w:abstractNum w:abstractNumId="8">
    <w:nsid w:val="4D7761CD"/>
    <w:multiLevelType w:val="singleLevel"/>
    <w:tmpl w:val="4D7761CD"/>
    <w:lvl w:ilvl="0" w:tentative="0">
      <w:start w:val="3"/>
      <w:numFmt w:val="decimal"/>
      <w:lvlText w:val="%1."/>
      <w:lvlJc w:val="left"/>
      <w:pPr>
        <w:tabs>
          <w:tab w:val="left" w:pos="312"/>
        </w:tabs>
      </w:pPr>
    </w:lvl>
  </w:abstractNum>
  <w:abstractNum w:abstractNumId="9">
    <w:nsid w:val="57A19440"/>
    <w:multiLevelType w:val="singleLevel"/>
    <w:tmpl w:val="57A19440"/>
    <w:lvl w:ilvl="0" w:tentative="0">
      <w:start w:val="6"/>
      <w:numFmt w:val="chineseCounting"/>
      <w:suff w:val="nothing"/>
      <w:lvlText w:val="%1、"/>
      <w:lvlJc w:val="left"/>
      <w:rPr>
        <w:rFonts w:hint="eastAsia"/>
      </w:rPr>
    </w:lvl>
  </w:abstractNum>
  <w:abstractNum w:abstractNumId="10">
    <w:nsid w:val="5B2D9D6E"/>
    <w:multiLevelType w:val="singleLevel"/>
    <w:tmpl w:val="5B2D9D6E"/>
    <w:lvl w:ilvl="0" w:tentative="0">
      <w:start w:val="4"/>
      <w:numFmt w:val="decimal"/>
      <w:suff w:val="nothing"/>
      <w:lvlText w:val="（%1）"/>
      <w:lvlJc w:val="left"/>
    </w:lvl>
  </w:abstractNum>
  <w:num w:numId="1">
    <w:abstractNumId w:val="5"/>
  </w:num>
  <w:num w:numId="2">
    <w:abstractNumId w:val="6"/>
  </w:num>
  <w:num w:numId="3">
    <w:abstractNumId w:val="8"/>
  </w:num>
  <w:num w:numId="4">
    <w:abstractNumId w:val="7"/>
  </w:num>
  <w:num w:numId="5">
    <w:abstractNumId w:val="10"/>
  </w:num>
  <w:num w:numId="6">
    <w:abstractNumId w:val="3"/>
  </w:num>
  <w:num w:numId="7">
    <w:abstractNumId w:val="4"/>
  </w:num>
  <w:num w:numId="8">
    <w:abstractNumId w:val="1"/>
  </w:num>
  <w:num w:numId="9">
    <w:abstractNumId w:val="2"/>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docVars>
    <w:docVar w:name="commondata" w:val="eyJoZGlkIjoiZDJkZTY5YTRhOTQ1OTRkYTc3MGJiMzgzZjQxZjI4MzEifQ=="/>
  </w:docVars>
  <w:rsids>
    <w:rsidRoot w:val="00172A27"/>
    <w:rsid w:val="000504BE"/>
    <w:rsid w:val="00075A58"/>
    <w:rsid w:val="000921CE"/>
    <w:rsid w:val="00092E67"/>
    <w:rsid w:val="000B7725"/>
    <w:rsid w:val="0015634E"/>
    <w:rsid w:val="0016362C"/>
    <w:rsid w:val="00172A27"/>
    <w:rsid w:val="001E57F7"/>
    <w:rsid w:val="001E6476"/>
    <w:rsid w:val="001F076F"/>
    <w:rsid w:val="00203E00"/>
    <w:rsid w:val="00237B13"/>
    <w:rsid w:val="0029664E"/>
    <w:rsid w:val="00296707"/>
    <w:rsid w:val="002D1EDF"/>
    <w:rsid w:val="002E6CDB"/>
    <w:rsid w:val="002F75C1"/>
    <w:rsid w:val="0034431D"/>
    <w:rsid w:val="003938E4"/>
    <w:rsid w:val="003C1BFA"/>
    <w:rsid w:val="003C1CA4"/>
    <w:rsid w:val="003C3014"/>
    <w:rsid w:val="004663DD"/>
    <w:rsid w:val="004E0863"/>
    <w:rsid w:val="004E460D"/>
    <w:rsid w:val="00546770"/>
    <w:rsid w:val="005716CC"/>
    <w:rsid w:val="005758C7"/>
    <w:rsid w:val="005856C3"/>
    <w:rsid w:val="005B134C"/>
    <w:rsid w:val="006645B8"/>
    <w:rsid w:val="00682605"/>
    <w:rsid w:val="006A4FB4"/>
    <w:rsid w:val="006A6197"/>
    <w:rsid w:val="006B31C3"/>
    <w:rsid w:val="007346A6"/>
    <w:rsid w:val="00762ECA"/>
    <w:rsid w:val="007B3914"/>
    <w:rsid w:val="007B3ED8"/>
    <w:rsid w:val="007E03D3"/>
    <w:rsid w:val="007E4A55"/>
    <w:rsid w:val="008015FA"/>
    <w:rsid w:val="00882EC4"/>
    <w:rsid w:val="008C51C1"/>
    <w:rsid w:val="009374B2"/>
    <w:rsid w:val="00960BD2"/>
    <w:rsid w:val="009B2E95"/>
    <w:rsid w:val="009D3EDB"/>
    <w:rsid w:val="00A44342"/>
    <w:rsid w:val="00A758F7"/>
    <w:rsid w:val="00A96CA4"/>
    <w:rsid w:val="00AC2FA9"/>
    <w:rsid w:val="00AD6EA2"/>
    <w:rsid w:val="00B41D11"/>
    <w:rsid w:val="00B57DB9"/>
    <w:rsid w:val="00B67208"/>
    <w:rsid w:val="00C301D0"/>
    <w:rsid w:val="00C705F8"/>
    <w:rsid w:val="00C86A7E"/>
    <w:rsid w:val="00C950CA"/>
    <w:rsid w:val="00CA5DC7"/>
    <w:rsid w:val="00CF038F"/>
    <w:rsid w:val="00CF6DC1"/>
    <w:rsid w:val="00D074CA"/>
    <w:rsid w:val="00D264E6"/>
    <w:rsid w:val="00D4295E"/>
    <w:rsid w:val="00D52DF3"/>
    <w:rsid w:val="00D70BF4"/>
    <w:rsid w:val="00DA5C53"/>
    <w:rsid w:val="00DD70D0"/>
    <w:rsid w:val="00DF78EB"/>
    <w:rsid w:val="00E05428"/>
    <w:rsid w:val="00E21DF1"/>
    <w:rsid w:val="00FE39D7"/>
    <w:rsid w:val="00FE5CAC"/>
    <w:rsid w:val="010D7DD7"/>
    <w:rsid w:val="01201F55"/>
    <w:rsid w:val="012313A8"/>
    <w:rsid w:val="01395BF5"/>
    <w:rsid w:val="015A7BE8"/>
    <w:rsid w:val="017165B7"/>
    <w:rsid w:val="019A3EBD"/>
    <w:rsid w:val="01FA184C"/>
    <w:rsid w:val="02205A60"/>
    <w:rsid w:val="02251460"/>
    <w:rsid w:val="02564BEC"/>
    <w:rsid w:val="02654FC5"/>
    <w:rsid w:val="02685C0C"/>
    <w:rsid w:val="02DC2156"/>
    <w:rsid w:val="02EB406C"/>
    <w:rsid w:val="03157E45"/>
    <w:rsid w:val="032A4C70"/>
    <w:rsid w:val="032F04D8"/>
    <w:rsid w:val="033E4BBF"/>
    <w:rsid w:val="035717DD"/>
    <w:rsid w:val="03870314"/>
    <w:rsid w:val="03A25B62"/>
    <w:rsid w:val="045C213B"/>
    <w:rsid w:val="04807AA8"/>
    <w:rsid w:val="04A171B4"/>
    <w:rsid w:val="04AF1EC4"/>
    <w:rsid w:val="04D23811"/>
    <w:rsid w:val="04F01EE9"/>
    <w:rsid w:val="05265EEB"/>
    <w:rsid w:val="05A14728"/>
    <w:rsid w:val="05B0119F"/>
    <w:rsid w:val="05F477B7"/>
    <w:rsid w:val="062D0413"/>
    <w:rsid w:val="06344057"/>
    <w:rsid w:val="06455454"/>
    <w:rsid w:val="06497B03"/>
    <w:rsid w:val="0699220F"/>
    <w:rsid w:val="06AE392B"/>
    <w:rsid w:val="06B93618"/>
    <w:rsid w:val="06E94E42"/>
    <w:rsid w:val="071043F5"/>
    <w:rsid w:val="071C5217"/>
    <w:rsid w:val="07260BAC"/>
    <w:rsid w:val="074061E3"/>
    <w:rsid w:val="078412BB"/>
    <w:rsid w:val="078448D6"/>
    <w:rsid w:val="078A03D3"/>
    <w:rsid w:val="07996868"/>
    <w:rsid w:val="079979A2"/>
    <w:rsid w:val="07A14D2E"/>
    <w:rsid w:val="07AF7E3A"/>
    <w:rsid w:val="07C92227"/>
    <w:rsid w:val="07D66425"/>
    <w:rsid w:val="07DD4B51"/>
    <w:rsid w:val="07EF2DEB"/>
    <w:rsid w:val="083131ED"/>
    <w:rsid w:val="088F5575"/>
    <w:rsid w:val="088F72E1"/>
    <w:rsid w:val="08E704E3"/>
    <w:rsid w:val="0900542F"/>
    <w:rsid w:val="092F76BF"/>
    <w:rsid w:val="093079A7"/>
    <w:rsid w:val="095D6A21"/>
    <w:rsid w:val="098C700B"/>
    <w:rsid w:val="09BC683E"/>
    <w:rsid w:val="0A1977EC"/>
    <w:rsid w:val="0A3705E1"/>
    <w:rsid w:val="0A6A0048"/>
    <w:rsid w:val="0A8729A8"/>
    <w:rsid w:val="0A8B5E02"/>
    <w:rsid w:val="0A9450C5"/>
    <w:rsid w:val="0A984BB5"/>
    <w:rsid w:val="0AAB0D8C"/>
    <w:rsid w:val="0ADA51CD"/>
    <w:rsid w:val="0B4A371F"/>
    <w:rsid w:val="0B5C1166"/>
    <w:rsid w:val="0B640F3B"/>
    <w:rsid w:val="0B955598"/>
    <w:rsid w:val="0BBC2B25"/>
    <w:rsid w:val="0BC31187"/>
    <w:rsid w:val="0BE61950"/>
    <w:rsid w:val="0BF220E7"/>
    <w:rsid w:val="0C063F25"/>
    <w:rsid w:val="0C1049B5"/>
    <w:rsid w:val="0C1F7F06"/>
    <w:rsid w:val="0C272694"/>
    <w:rsid w:val="0C2D757F"/>
    <w:rsid w:val="0C4E4A99"/>
    <w:rsid w:val="0C831895"/>
    <w:rsid w:val="0CDD0FA5"/>
    <w:rsid w:val="0CF62067"/>
    <w:rsid w:val="0CFD51A3"/>
    <w:rsid w:val="0D20145C"/>
    <w:rsid w:val="0D307327"/>
    <w:rsid w:val="0D3122B2"/>
    <w:rsid w:val="0D4A1CA3"/>
    <w:rsid w:val="0D906017"/>
    <w:rsid w:val="0D9A146A"/>
    <w:rsid w:val="0DD07675"/>
    <w:rsid w:val="0DE85E53"/>
    <w:rsid w:val="0E2350DD"/>
    <w:rsid w:val="0E280A8B"/>
    <w:rsid w:val="0E316EB7"/>
    <w:rsid w:val="0E87741A"/>
    <w:rsid w:val="0EA97F9C"/>
    <w:rsid w:val="0EAF6971"/>
    <w:rsid w:val="0EC61498"/>
    <w:rsid w:val="0F2014D7"/>
    <w:rsid w:val="0F573AB6"/>
    <w:rsid w:val="0F735BF1"/>
    <w:rsid w:val="0FAE09D7"/>
    <w:rsid w:val="0FBB37E2"/>
    <w:rsid w:val="0FCC70AF"/>
    <w:rsid w:val="0FF705D0"/>
    <w:rsid w:val="0FF87EA4"/>
    <w:rsid w:val="100B407B"/>
    <w:rsid w:val="10120F66"/>
    <w:rsid w:val="101A42BE"/>
    <w:rsid w:val="101E2E6A"/>
    <w:rsid w:val="102C283E"/>
    <w:rsid w:val="103213D7"/>
    <w:rsid w:val="103425BC"/>
    <w:rsid w:val="10433815"/>
    <w:rsid w:val="105842F0"/>
    <w:rsid w:val="10675755"/>
    <w:rsid w:val="106D0892"/>
    <w:rsid w:val="1090051E"/>
    <w:rsid w:val="109E5824"/>
    <w:rsid w:val="10A5781E"/>
    <w:rsid w:val="10DE68C1"/>
    <w:rsid w:val="10FC5772"/>
    <w:rsid w:val="112E0021"/>
    <w:rsid w:val="113B1DB1"/>
    <w:rsid w:val="11532624"/>
    <w:rsid w:val="1178761E"/>
    <w:rsid w:val="11906F6E"/>
    <w:rsid w:val="11A958FA"/>
    <w:rsid w:val="11F3162F"/>
    <w:rsid w:val="11F80006"/>
    <w:rsid w:val="129E11D6"/>
    <w:rsid w:val="12A91C97"/>
    <w:rsid w:val="13491142"/>
    <w:rsid w:val="135676BD"/>
    <w:rsid w:val="13623155"/>
    <w:rsid w:val="13857CA0"/>
    <w:rsid w:val="13AA5959"/>
    <w:rsid w:val="13BA0C00"/>
    <w:rsid w:val="13C609E5"/>
    <w:rsid w:val="13D824C6"/>
    <w:rsid w:val="141A663B"/>
    <w:rsid w:val="147072F3"/>
    <w:rsid w:val="14962204"/>
    <w:rsid w:val="14C70602"/>
    <w:rsid w:val="14E31122"/>
    <w:rsid w:val="150A2963"/>
    <w:rsid w:val="15202400"/>
    <w:rsid w:val="152A4FA3"/>
    <w:rsid w:val="157F329D"/>
    <w:rsid w:val="15DB0539"/>
    <w:rsid w:val="15EA64E1"/>
    <w:rsid w:val="15EF58A5"/>
    <w:rsid w:val="15F01D49"/>
    <w:rsid w:val="15F508CB"/>
    <w:rsid w:val="15FB0469"/>
    <w:rsid w:val="162714E3"/>
    <w:rsid w:val="163063CC"/>
    <w:rsid w:val="163C6D3C"/>
    <w:rsid w:val="16866209"/>
    <w:rsid w:val="169F72CB"/>
    <w:rsid w:val="16A448E1"/>
    <w:rsid w:val="16A95739"/>
    <w:rsid w:val="16AD19E8"/>
    <w:rsid w:val="16B5468E"/>
    <w:rsid w:val="16CB1E6E"/>
    <w:rsid w:val="16DF3B6C"/>
    <w:rsid w:val="1730295E"/>
    <w:rsid w:val="177644D0"/>
    <w:rsid w:val="17BD5C5B"/>
    <w:rsid w:val="17FB0835"/>
    <w:rsid w:val="185D172B"/>
    <w:rsid w:val="18636D79"/>
    <w:rsid w:val="189F44C1"/>
    <w:rsid w:val="18E84F59"/>
    <w:rsid w:val="19017DC9"/>
    <w:rsid w:val="1911049A"/>
    <w:rsid w:val="1934019F"/>
    <w:rsid w:val="195066E0"/>
    <w:rsid w:val="195C14A3"/>
    <w:rsid w:val="19D43730"/>
    <w:rsid w:val="19D63004"/>
    <w:rsid w:val="19DC576F"/>
    <w:rsid w:val="1A187AC0"/>
    <w:rsid w:val="1A1D1D3F"/>
    <w:rsid w:val="1A3775FF"/>
    <w:rsid w:val="1A920F65"/>
    <w:rsid w:val="1AAC5768"/>
    <w:rsid w:val="1AC148E7"/>
    <w:rsid w:val="1B0A7817"/>
    <w:rsid w:val="1B210A9F"/>
    <w:rsid w:val="1B4D5264"/>
    <w:rsid w:val="1B544B28"/>
    <w:rsid w:val="1B6F2A57"/>
    <w:rsid w:val="1BC670A8"/>
    <w:rsid w:val="1BCD0437"/>
    <w:rsid w:val="1BDF01FB"/>
    <w:rsid w:val="1BFB1448"/>
    <w:rsid w:val="1C077DEC"/>
    <w:rsid w:val="1C217AE5"/>
    <w:rsid w:val="1C2D1AA7"/>
    <w:rsid w:val="1C47643B"/>
    <w:rsid w:val="1C4E5A1B"/>
    <w:rsid w:val="1C4F16D7"/>
    <w:rsid w:val="1CA130B4"/>
    <w:rsid w:val="1CBF2475"/>
    <w:rsid w:val="1CBF3D37"/>
    <w:rsid w:val="1D3118E9"/>
    <w:rsid w:val="1D384EF4"/>
    <w:rsid w:val="1D466790"/>
    <w:rsid w:val="1D7A1413"/>
    <w:rsid w:val="1D951428"/>
    <w:rsid w:val="1DAB29F9"/>
    <w:rsid w:val="1DAC0C4B"/>
    <w:rsid w:val="1DB72B3A"/>
    <w:rsid w:val="1E0B7995"/>
    <w:rsid w:val="1E7E1EBC"/>
    <w:rsid w:val="1E893A4C"/>
    <w:rsid w:val="1EA47B74"/>
    <w:rsid w:val="1ED938B7"/>
    <w:rsid w:val="1EE066D3"/>
    <w:rsid w:val="1EFC2F38"/>
    <w:rsid w:val="1F0048F1"/>
    <w:rsid w:val="1F327ABD"/>
    <w:rsid w:val="1F417171"/>
    <w:rsid w:val="1F443106"/>
    <w:rsid w:val="1F494278"/>
    <w:rsid w:val="1FDF3FD0"/>
    <w:rsid w:val="1FF71804"/>
    <w:rsid w:val="20176124"/>
    <w:rsid w:val="2031368A"/>
    <w:rsid w:val="20631A24"/>
    <w:rsid w:val="20686980"/>
    <w:rsid w:val="2093163A"/>
    <w:rsid w:val="20A96406"/>
    <w:rsid w:val="20B17216"/>
    <w:rsid w:val="20F87D04"/>
    <w:rsid w:val="20FF72E4"/>
    <w:rsid w:val="210C37AF"/>
    <w:rsid w:val="213D7E0C"/>
    <w:rsid w:val="214473ED"/>
    <w:rsid w:val="214C62A1"/>
    <w:rsid w:val="217C03FE"/>
    <w:rsid w:val="2191122E"/>
    <w:rsid w:val="21C67E02"/>
    <w:rsid w:val="21E41F66"/>
    <w:rsid w:val="21EF6281"/>
    <w:rsid w:val="22031056"/>
    <w:rsid w:val="223F20CB"/>
    <w:rsid w:val="22665B92"/>
    <w:rsid w:val="228F4698"/>
    <w:rsid w:val="22A35D85"/>
    <w:rsid w:val="22B755C4"/>
    <w:rsid w:val="22DB5B2F"/>
    <w:rsid w:val="22E76282"/>
    <w:rsid w:val="22EE0645"/>
    <w:rsid w:val="23134566"/>
    <w:rsid w:val="235A6A54"/>
    <w:rsid w:val="235B72E4"/>
    <w:rsid w:val="235F0836"/>
    <w:rsid w:val="237537E7"/>
    <w:rsid w:val="23C26914"/>
    <w:rsid w:val="23CD5478"/>
    <w:rsid w:val="23D5432C"/>
    <w:rsid w:val="23DC40A3"/>
    <w:rsid w:val="23DF233A"/>
    <w:rsid w:val="23F01166"/>
    <w:rsid w:val="23F52231"/>
    <w:rsid w:val="24082954"/>
    <w:rsid w:val="24525BA6"/>
    <w:rsid w:val="245E4EEC"/>
    <w:rsid w:val="249C309C"/>
    <w:rsid w:val="249D611B"/>
    <w:rsid w:val="24A3267C"/>
    <w:rsid w:val="24AD7352"/>
    <w:rsid w:val="24B76199"/>
    <w:rsid w:val="25304740"/>
    <w:rsid w:val="2599477A"/>
    <w:rsid w:val="25A8248F"/>
    <w:rsid w:val="25B52240"/>
    <w:rsid w:val="25E940BF"/>
    <w:rsid w:val="25E96933"/>
    <w:rsid w:val="26067703"/>
    <w:rsid w:val="261D1FBA"/>
    <w:rsid w:val="264762DA"/>
    <w:rsid w:val="264A7253"/>
    <w:rsid w:val="26597496"/>
    <w:rsid w:val="26920BFA"/>
    <w:rsid w:val="26AD333E"/>
    <w:rsid w:val="26AF355A"/>
    <w:rsid w:val="26D055EC"/>
    <w:rsid w:val="26D905D7"/>
    <w:rsid w:val="26DD4EC1"/>
    <w:rsid w:val="27181100"/>
    <w:rsid w:val="27220408"/>
    <w:rsid w:val="27351CB2"/>
    <w:rsid w:val="27572868"/>
    <w:rsid w:val="27897907"/>
    <w:rsid w:val="27940A85"/>
    <w:rsid w:val="27FD1D81"/>
    <w:rsid w:val="28103F5D"/>
    <w:rsid w:val="281444A5"/>
    <w:rsid w:val="286C55E1"/>
    <w:rsid w:val="28CF1C92"/>
    <w:rsid w:val="28DC615D"/>
    <w:rsid w:val="29207CF7"/>
    <w:rsid w:val="293125D3"/>
    <w:rsid w:val="2974467C"/>
    <w:rsid w:val="29A053DC"/>
    <w:rsid w:val="29D60DFE"/>
    <w:rsid w:val="29EF0897"/>
    <w:rsid w:val="29F72D98"/>
    <w:rsid w:val="2A30050E"/>
    <w:rsid w:val="2A587A65"/>
    <w:rsid w:val="2A5C5F6F"/>
    <w:rsid w:val="2A614B6C"/>
    <w:rsid w:val="2AB82BD0"/>
    <w:rsid w:val="2ACB0237"/>
    <w:rsid w:val="2AFA4548"/>
    <w:rsid w:val="2B0F45C8"/>
    <w:rsid w:val="2B17347C"/>
    <w:rsid w:val="2B275DB5"/>
    <w:rsid w:val="2B482BD6"/>
    <w:rsid w:val="2B4A5938"/>
    <w:rsid w:val="2B514D73"/>
    <w:rsid w:val="2B93322F"/>
    <w:rsid w:val="2BA03472"/>
    <w:rsid w:val="2BEE0B7E"/>
    <w:rsid w:val="2C0C1B4C"/>
    <w:rsid w:val="2C1018B8"/>
    <w:rsid w:val="2C1057B4"/>
    <w:rsid w:val="2C1361B6"/>
    <w:rsid w:val="2C212A1A"/>
    <w:rsid w:val="2C29790B"/>
    <w:rsid w:val="2C5C1A8E"/>
    <w:rsid w:val="2C791CD0"/>
    <w:rsid w:val="2CA376BD"/>
    <w:rsid w:val="2CB5119F"/>
    <w:rsid w:val="2CCB09C2"/>
    <w:rsid w:val="2CD63C1A"/>
    <w:rsid w:val="2CEF2903"/>
    <w:rsid w:val="2CFB18D4"/>
    <w:rsid w:val="2D12039F"/>
    <w:rsid w:val="2D26488F"/>
    <w:rsid w:val="2D265BF9"/>
    <w:rsid w:val="2D2D6F87"/>
    <w:rsid w:val="2D2F2EE4"/>
    <w:rsid w:val="2D325A03"/>
    <w:rsid w:val="2D4B565F"/>
    <w:rsid w:val="2D5C5ABE"/>
    <w:rsid w:val="2D662499"/>
    <w:rsid w:val="2D803D0D"/>
    <w:rsid w:val="2D8950BC"/>
    <w:rsid w:val="2D99461C"/>
    <w:rsid w:val="2DC31699"/>
    <w:rsid w:val="2DF9330D"/>
    <w:rsid w:val="2E0F48DF"/>
    <w:rsid w:val="2E3D144C"/>
    <w:rsid w:val="2E684FF5"/>
    <w:rsid w:val="2E903C71"/>
    <w:rsid w:val="2EB81559"/>
    <w:rsid w:val="2EC11C97"/>
    <w:rsid w:val="2ED22555"/>
    <w:rsid w:val="2EE6563F"/>
    <w:rsid w:val="2F1A353B"/>
    <w:rsid w:val="2F2B5748"/>
    <w:rsid w:val="2F697D76"/>
    <w:rsid w:val="2F6A6270"/>
    <w:rsid w:val="2FA0417A"/>
    <w:rsid w:val="2FA8323D"/>
    <w:rsid w:val="30063D65"/>
    <w:rsid w:val="30450A8C"/>
    <w:rsid w:val="30731155"/>
    <w:rsid w:val="30790154"/>
    <w:rsid w:val="307B625B"/>
    <w:rsid w:val="30893002"/>
    <w:rsid w:val="30BD737C"/>
    <w:rsid w:val="30CF4367"/>
    <w:rsid w:val="312243DD"/>
    <w:rsid w:val="313905F0"/>
    <w:rsid w:val="313F54DB"/>
    <w:rsid w:val="31412E1B"/>
    <w:rsid w:val="317938E9"/>
    <w:rsid w:val="31CD04B6"/>
    <w:rsid w:val="31E16592"/>
    <w:rsid w:val="31FF6F86"/>
    <w:rsid w:val="3227225E"/>
    <w:rsid w:val="32430FFB"/>
    <w:rsid w:val="324B3593"/>
    <w:rsid w:val="32D44EC9"/>
    <w:rsid w:val="32D85BE7"/>
    <w:rsid w:val="32DA54BB"/>
    <w:rsid w:val="32DC04D1"/>
    <w:rsid w:val="32E2209E"/>
    <w:rsid w:val="32FD6730"/>
    <w:rsid w:val="333252F7"/>
    <w:rsid w:val="335525BB"/>
    <w:rsid w:val="339C4E66"/>
    <w:rsid w:val="33C341A1"/>
    <w:rsid w:val="33D309A5"/>
    <w:rsid w:val="343E7CCC"/>
    <w:rsid w:val="344922F2"/>
    <w:rsid w:val="344F3C87"/>
    <w:rsid w:val="34727975"/>
    <w:rsid w:val="34790D04"/>
    <w:rsid w:val="34C70289"/>
    <w:rsid w:val="353B237C"/>
    <w:rsid w:val="355359F9"/>
    <w:rsid w:val="357C1A51"/>
    <w:rsid w:val="35BB3BDF"/>
    <w:rsid w:val="35C53FEB"/>
    <w:rsid w:val="36111DCE"/>
    <w:rsid w:val="366559E4"/>
    <w:rsid w:val="368D6CE8"/>
    <w:rsid w:val="369F2A69"/>
    <w:rsid w:val="36B6623F"/>
    <w:rsid w:val="36DF7544"/>
    <w:rsid w:val="37160A8C"/>
    <w:rsid w:val="374970B3"/>
    <w:rsid w:val="378B147A"/>
    <w:rsid w:val="37B1205E"/>
    <w:rsid w:val="37C30C14"/>
    <w:rsid w:val="37CE1367"/>
    <w:rsid w:val="37D3073E"/>
    <w:rsid w:val="37FF59C4"/>
    <w:rsid w:val="38212EAA"/>
    <w:rsid w:val="384F4255"/>
    <w:rsid w:val="38561A88"/>
    <w:rsid w:val="387A6D6F"/>
    <w:rsid w:val="39475874"/>
    <w:rsid w:val="3981130E"/>
    <w:rsid w:val="398E2D3B"/>
    <w:rsid w:val="39972358"/>
    <w:rsid w:val="3999711F"/>
    <w:rsid w:val="399B4D59"/>
    <w:rsid w:val="399C7446"/>
    <w:rsid w:val="39A15A80"/>
    <w:rsid w:val="39D202DA"/>
    <w:rsid w:val="39E13DEF"/>
    <w:rsid w:val="39F2758E"/>
    <w:rsid w:val="3A1219DE"/>
    <w:rsid w:val="3A3758E9"/>
    <w:rsid w:val="3A376690"/>
    <w:rsid w:val="3A376E6F"/>
    <w:rsid w:val="3A46605E"/>
    <w:rsid w:val="3A881CA1"/>
    <w:rsid w:val="3A893407"/>
    <w:rsid w:val="3AA27206"/>
    <w:rsid w:val="3AA928FB"/>
    <w:rsid w:val="3B066997"/>
    <w:rsid w:val="3B131EB2"/>
    <w:rsid w:val="3B661580"/>
    <w:rsid w:val="3B672905"/>
    <w:rsid w:val="3B6C15C2"/>
    <w:rsid w:val="3B7A69BA"/>
    <w:rsid w:val="3B7D37CF"/>
    <w:rsid w:val="3B824942"/>
    <w:rsid w:val="3B893F22"/>
    <w:rsid w:val="3B9528FA"/>
    <w:rsid w:val="3B9A612F"/>
    <w:rsid w:val="3BAE5737"/>
    <w:rsid w:val="3C017F5D"/>
    <w:rsid w:val="3C137C90"/>
    <w:rsid w:val="3C5938F5"/>
    <w:rsid w:val="3C634773"/>
    <w:rsid w:val="3C8F5568"/>
    <w:rsid w:val="3CA8487C"/>
    <w:rsid w:val="3D7824A0"/>
    <w:rsid w:val="3D9C2ADA"/>
    <w:rsid w:val="3DA05553"/>
    <w:rsid w:val="3DC00792"/>
    <w:rsid w:val="3DD1395F"/>
    <w:rsid w:val="3E235CFC"/>
    <w:rsid w:val="3E23723A"/>
    <w:rsid w:val="3E497999"/>
    <w:rsid w:val="3EAD1133"/>
    <w:rsid w:val="3ED8395B"/>
    <w:rsid w:val="3F651E8A"/>
    <w:rsid w:val="3F6E5909"/>
    <w:rsid w:val="3F731171"/>
    <w:rsid w:val="3FEC74D2"/>
    <w:rsid w:val="3FED77F5"/>
    <w:rsid w:val="40330524"/>
    <w:rsid w:val="405100E3"/>
    <w:rsid w:val="40A55471"/>
    <w:rsid w:val="41006A35"/>
    <w:rsid w:val="412546F1"/>
    <w:rsid w:val="41371D0B"/>
    <w:rsid w:val="414546A9"/>
    <w:rsid w:val="41632549"/>
    <w:rsid w:val="41732F67"/>
    <w:rsid w:val="4183627E"/>
    <w:rsid w:val="41CE6B33"/>
    <w:rsid w:val="41F30A12"/>
    <w:rsid w:val="422D2A24"/>
    <w:rsid w:val="42507548"/>
    <w:rsid w:val="42927B60"/>
    <w:rsid w:val="42AD6748"/>
    <w:rsid w:val="42B20202"/>
    <w:rsid w:val="42C10446"/>
    <w:rsid w:val="42DE0FF8"/>
    <w:rsid w:val="42ED2FE9"/>
    <w:rsid w:val="42EF6939"/>
    <w:rsid w:val="43044172"/>
    <w:rsid w:val="430D5439"/>
    <w:rsid w:val="433B01F8"/>
    <w:rsid w:val="4383394D"/>
    <w:rsid w:val="43857FF6"/>
    <w:rsid w:val="438B0671"/>
    <w:rsid w:val="438D1543"/>
    <w:rsid w:val="43A63197"/>
    <w:rsid w:val="43EF2D90"/>
    <w:rsid w:val="44293C1E"/>
    <w:rsid w:val="443611C6"/>
    <w:rsid w:val="44B97745"/>
    <w:rsid w:val="44D07B86"/>
    <w:rsid w:val="44E93C84"/>
    <w:rsid w:val="44EF3FD1"/>
    <w:rsid w:val="44FA7C3F"/>
    <w:rsid w:val="45091972"/>
    <w:rsid w:val="451172DF"/>
    <w:rsid w:val="45184A87"/>
    <w:rsid w:val="45202030"/>
    <w:rsid w:val="45444DD9"/>
    <w:rsid w:val="456652D4"/>
    <w:rsid w:val="45723C79"/>
    <w:rsid w:val="45832866"/>
    <w:rsid w:val="458C2477"/>
    <w:rsid w:val="45A04A0E"/>
    <w:rsid w:val="45A34BA4"/>
    <w:rsid w:val="45D73785"/>
    <w:rsid w:val="460743C1"/>
    <w:rsid w:val="46710529"/>
    <w:rsid w:val="467147E6"/>
    <w:rsid w:val="46844BE7"/>
    <w:rsid w:val="46F5246C"/>
    <w:rsid w:val="47535603"/>
    <w:rsid w:val="47680EBB"/>
    <w:rsid w:val="478D08F6"/>
    <w:rsid w:val="47925F0D"/>
    <w:rsid w:val="4799729B"/>
    <w:rsid w:val="48027536"/>
    <w:rsid w:val="480768FB"/>
    <w:rsid w:val="48280889"/>
    <w:rsid w:val="48480CC1"/>
    <w:rsid w:val="48515DC8"/>
    <w:rsid w:val="485727D5"/>
    <w:rsid w:val="487A5757"/>
    <w:rsid w:val="489B1DE1"/>
    <w:rsid w:val="48A4239B"/>
    <w:rsid w:val="49361C47"/>
    <w:rsid w:val="49670780"/>
    <w:rsid w:val="497D499A"/>
    <w:rsid w:val="49F44C5D"/>
    <w:rsid w:val="4A474C35"/>
    <w:rsid w:val="4A49144C"/>
    <w:rsid w:val="4A586ABE"/>
    <w:rsid w:val="4A627E06"/>
    <w:rsid w:val="4A6A35E0"/>
    <w:rsid w:val="4A7E6C1C"/>
    <w:rsid w:val="4A8C30E7"/>
    <w:rsid w:val="4AB740F4"/>
    <w:rsid w:val="4ABB1C1E"/>
    <w:rsid w:val="4ACF6B37"/>
    <w:rsid w:val="4AFD326F"/>
    <w:rsid w:val="4B0B4954"/>
    <w:rsid w:val="4B3540A9"/>
    <w:rsid w:val="4B431D54"/>
    <w:rsid w:val="4B736055"/>
    <w:rsid w:val="4BAC42C6"/>
    <w:rsid w:val="4BBA0128"/>
    <w:rsid w:val="4BCB5E91"/>
    <w:rsid w:val="4BF03B4A"/>
    <w:rsid w:val="4C4507B6"/>
    <w:rsid w:val="4C511572"/>
    <w:rsid w:val="4C51283A"/>
    <w:rsid w:val="4C5F34F9"/>
    <w:rsid w:val="4C6C1422"/>
    <w:rsid w:val="4C8326E8"/>
    <w:rsid w:val="4CC34DBA"/>
    <w:rsid w:val="4CD45367"/>
    <w:rsid w:val="4D0D7BAE"/>
    <w:rsid w:val="4D1D096E"/>
    <w:rsid w:val="4D2211D8"/>
    <w:rsid w:val="4D2A2D10"/>
    <w:rsid w:val="4D4923C3"/>
    <w:rsid w:val="4D662315"/>
    <w:rsid w:val="4D786188"/>
    <w:rsid w:val="4D9660BF"/>
    <w:rsid w:val="4DE27079"/>
    <w:rsid w:val="4E077B07"/>
    <w:rsid w:val="4E995D0F"/>
    <w:rsid w:val="4ECF7A46"/>
    <w:rsid w:val="4ED673E8"/>
    <w:rsid w:val="4F1B712F"/>
    <w:rsid w:val="4F3227B5"/>
    <w:rsid w:val="4F4E12B3"/>
    <w:rsid w:val="4F746032"/>
    <w:rsid w:val="4F895E47"/>
    <w:rsid w:val="4F8E345D"/>
    <w:rsid w:val="4F9D768D"/>
    <w:rsid w:val="4F9D7B44"/>
    <w:rsid w:val="4FB20036"/>
    <w:rsid w:val="4FE05C03"/>
    <w:rsid w:val="4FE52E29"/>
    <w:rsid w:val="500F0A42"/>
    <w:rsid w:val="50151DD1"/>
    <w:rsid w:val="501E6ED7"/>
    <w:rsid w:val="504601DC"/>
    <w:rsid w:val="50496B61"/>
    <w:rsid w:val="50855C6C"/>
    <w:rsid w:val="50C23D07"/>
    <w:rsid w:val="50D102D8"/>
    <w:rsid w:val="50E0418D"/>
    <w:rsid w:val="51072269"/>
    <w:rsid w:val="510F2DCF"/>
    <w:rsid w:val="5119321E"/>
    <w:rsid w:val="5129511F"/>
    <w:rsid w:val="517D19DC"/>
    <w:rsid w:val="517F323C"/>
    <w:rsid w:val="5198577B"/>
    <w:rsid w:val="51A03326"/>
    <w:rsid w:val="51FD2B1C"/>
    <w:rsid w:val="525207C6"/>
    <w:rsid w:val="525766D1"/>
    <w:rsid w:val="52860D64"/>
    <w:rsid w:val="52992845"/>
    <w:rsid w:val="52A37795"/>
    <w:rsid w:val="52AB2578"/>
    <w:rsid w:val="52F97788"/>
    <w:rsid w:val="531620E8"/>
    <w:rsid w:val="53430A03"/>
    <w:rsid w:val="53461CD2"/>
    <w:rsid w:val="537312E8"/>
    <w:rsid w:val="53D1600F"/>
    <w:rsid w:val="53EB5322"/>
    <w:rsid w:val="53F341D7"/>
    <w:rsid w:val="53F44044"/>
    <w:rsid w:val="5422686A"/>
    <w:rsid w:val="54260108"/>
    <w:rsid w:val="543E6C31"/>
    <w:rsid w:val="545F2D48"/>
    <w:rsid w:val="547C34DE"/>
    <w:rsid w:val="54A97595"/>
    <w:rsid w:val="55004DFD"/>
    <w:rsid w:val="5507618C"/>
    <w:rsid w:val="5511700B"/>
    <w:rsid w:val="55342CF9"/>
    <w:rsid w:val="558E2409"/>
    <w:rsid w:val="559D43FA"/>
    <w:rsid w:val="56114DE8"/>
    <w:rsid w:val="563049D1"/>
    <w:rsid w:val="568B06F7"/>
    <w:rsid w:val="56900687"/>
    <w:rsid w:val="56C1680E"/>
    <w:rsid w:val="56EF47DB"/>
    <w:rsid w:val="56F05B65"/>
    <w:rsid w:val="56F178E3"/>
    <w:rsid w:val="57347641"/>
    <w:rsid w:val="574A6804"/>
    <w:rsid w:val="577642E5"/>
    <w:rsid w:val="57A17F6F"/>
    <w:rsid w:val="57C122E3"/>
    <w:rsid w:val="57E427B4"/>
    <w:rsid w:val="57E71897"/>
    <w:rsid w:val="57F64F51"/>
    <w:rsid w:val="5829466B"/>
    <w:rsid w:val="582C415B"/>
    <w:rsid w:val="586631C9"/>
    <w:rsid w:val="593B1FE9"/>
    <w:rsid w:val="596A31DF"/>
    <w:rsid w:val="59C6357A"/>
    <w:rsid w:val="59CA59DA"/>
    <w:rsid w:val="5A026F22"/>
    <w:rsid w:val="5A2D687B"/>
    <w:rsid w:val="5A366BCB"/>
    <w:rsid w:val="5ABA15AB"/>
    <w:rsid w:val="5AC95C92"/>
    <w:rsid w:val="5ADB41DE"/>
    <w:rsid w:val="5AF977F4"/>
    <w:rsid w:val="5AFA3119"/>
    <w:rsid w:val="5B044F1C"/>
    <w:rsid w:val="5B0F6A1C"/>
    <w:rsid w:val="5B5973D3"/>
    <w:rsid w:val="5B752BA3"/>
    <w:rsid w:val="5B955B74"/>
    <w:rsid w:val="5BAC1F4D"/>
    <w:rsid w:val="5C4E28F2"/>
    <w:rsid w:val="5C5E240A"/>
    <w:rsid w:val="5C621EFA"/>
    <w:rsid w:val="5C9B61CC"/>
    <w:rsid w:val="5CA94244"/>
    <w:rsid w:val="5CFB309E"/>
    <w:rsid w:val="5D227715"/>
    <w:rsid w:val="5D284EF1"/>
    <w:rsid w:val="5D340046"/>
    <w:rsid w:val="5D4D552D"/>
    <w:rsid w:val="5D552D03"/>
    <w:rsid w:val="5DAD3649"/>
    <w:rsid w:val="5DAD53F7"/>
    <w:rsid w:val="5DCA7D57"/>
    <w:rsid w:val="5E0A6C17"/>
    <w:rsid w:val="5E224037"/>
    <w:rsid w:val="5E4E5AD0"/>
    <w:rsid w:val="5EBD5B0D"/>
    <w:rsid w:val="5EE74938"/>
    <w:rsid w:val="5EEF62A0"/>
    <w:rsid w:val="5EF72140"/>
    <w:rsid w:val="5F0279C4"/>
    <w:rsid w:val="5F0C439F"/>
    <w:rsid w:val="5F65716A"/>
    <w:rsid w:val="5FB00D41"/>
    <w:rsid w:val="5FDB0725"/>
    <w:rsid w:val="5FDE21DF"/>
    <w:rsid w:val="5FEA2EB1"/>
    <w:rsid w:val="5FF31A0F"/>
    <w:rsid w:val="5FFC08B7"/>
    <w:rsid w:val="60193217"/>
    <w:rsid w:val="6071095D"/>
    <w:rsid w:val="607E36A7"/>
    <w:rsid w:val="60AB73E1"/>
    <w:rsid w:val="60E2116F"/>
    <w:rsid w:val="60E92BEA"/>
    <w:rsid w:val="60F5158E"/>
    <w:rsid w:val="60FD7796"/>
    <w:rsid w:val="60FF4D92"/>
    <w:rsid w:val="610339F0"/>
    <w:rsid w:val="61113EEE"/>
    <w:rsid w:val="611539DF"/>
    <w:rsid w:val="611B187D"/>
    <w:rsid w:val="61206DDD"/>
    <w:rsid w:val="613423BA"/>
    <w:rsid w:val="618E08DE"/>
    <w:rsid w:val="619A2136"/>
    <w:rsid w:val="61FA4982"/>
    <w:rsid w:val="620819A6"/>
    <w:rsid w:val="62144416"/>
    <w:rsid w:val="621A4DB8"/>
    <w:rsid w:val="621D7D25"/>
    <w:rsid w:val="62203C3B"/>
    <w:rsid w:val="62233ED9"/>
    <w:rsid w:val="62290BDA"/>
    <w:rsid w:val="623B56C7"/>
    <w:rsid w:val="62453404"/>
    <w:rsid w:val="624A23DF"/>
    <w:rsid w:val="624B062F"/>
    <w:rsid w:val="627110E9"/>
    <w:rsid w:val="62A772F8"/>
    <w:rsid w:val="62A82630"/>
    <w:rsid w:val="62AD7C47"/>
    <w:rsid w:val="62C917A0"/>
    <w:rsid w:val="62D937D9"/>
    <w:rsid w:val="62EC076F"/>
    <w:rsid w:val="632A4FD2"/>
    <w:rsid w:val="63793376"/>
    <w:rsid w:val="639A641D"/>
    <w:rsid w:val="63A811D2"/>
    <w:rsid w:val="64047D3A"/>
    <w:rsid w:val="64071CBB"/>
    <w:rsid w:val="640A312F"/>
    <w:rsid w:val="642D7291"/>
    <w:rsid w:val="643028DD"/>
    <w:rsid w:val="64487FBE"/>
    <w:rsid w:val="646031C3"/>
    <w:rsid w:val="64721148"/>
    <w:rsid w:val="64790728"/>
    <w:rsid w:val="64A46FA1"/>
    <w:rsid w:val="651F4987"/>
    <w:rsid w:val="653A1489"/>
    <w:rsid w:val="657234C5"/>
    <w:rsid w:val="65845CFD"/>
    <w:rsid w:val="659C46CE"/>
    <w:rsid w:val="65A1330E"/>
    <w:rsid w:val="65B254B2"/>
    <w:rsid w:val="65BF660F"/>
    <w:rsid w:val="65CD0D2C"/>
    <w:rsid w:val="65ED4E63"/>
    <w:rsid w:val="66051B61"/>
    <w:rsid w:val="660B3602"/>
    <w:rsid w:val="66122298"/>
    <w:rsid w:val="66173D55"/>
    <w:rsid w:val="662A22BF"/>
    <w:rsid w:val="6638520C"/>
    <w:rsid w:val="66682803"/>
    <w:rsid w:val="666B2582"/>
    <w:rsid w:val="66905E93"/>
    <w:rsid w:val="669E4620"/>
    <w:rsid w:val="66A55805"/>
    <w:rsid w:val="66E225B5"/>
    <w:rsid w:val="672D7CE1"/>
    <w:rsid w:val="672F072B"/>
    <w:rsid w:val="67386679"/>
    <w:rsid w:val="675D60DF"/>
    <w:rsid w:val="676F6B6F"/>
    <w:rsid w:val="677A62E8"/>
    <w:rsid w:val="67C023A9"/>
    <w:rsid w:val="67CD5013"/>
    <w:rsid w:val="67DE2886"/>
    <w:rsid w:val="67EC1211"/>
    <w:rsid w:val="67F325A0"/>
    <w:rsid w:val="67F56318"/>
    <w:rsid w:val="6818192D"/>
    <w:rsid w:val="681C0CB6"/>
    <w:rsid w:val="68283D64"/>
    <w:rsid w:val="68903A00"/>
    <w:rsid w:val="68B35507"/>
    <w:rsid w:val="68BD0BEB"/>
    <w:rsid w:val="69085BD7"/>
    <w:rsid w:val="694F1A58"/>
    <w:rsid w:val="69531548"/>
    <w:rsid w:val="69675EB2"/>
    <w:rsid w:val="69A17ABB"/>
    <w:rsid w:val="69ED5BED"/>
    <w:rsid w:val="69F36887"/>
    <w:rsid w:val="6A132A85"/>
    <w:rsid w:val="6A336578"/>
    <w:rsid w:val="6A3C36B5"/>
    <w:rsid w:val="6A3F6237"/>
    <w:rsid w:val="6A590DE0"/>
    <w:rsid w:val="6A6D488B"/>
    <w:rsid w:val="6A873B68"/>
    <w:rsid w:val="6AC05EC9"/>
    <w:rsid w:val="6B0D1787"/>
    <w:rsid w:val="6B1E16E2"/>
    <w:rsid w:val="6BA442DD"/>
    <w:rsid w:val="6C1C0317"/>
    <w:rsid w:val="6C1F5711"/>
    <w:rsid w:val="6C205B8C"/>
    <w:rsid w:val="6C7A6DEC"/>
    <w:rsid w:val="6C8670B3"/>
    <w:rsid w:val="6CB467A2"/>
    <w:rsid w:val="6CDB6E8A"/>
    <w:rsid w:val="6CF25111"/>
    <w:rsid w:val="6D2A25C0"/>
    <w:rsid w:val="6D2D5427"/>
    <w:rsid w:val="6D436E52"/>
    <w:rsid w:val="6D5238C5"/>
    <w:rsid w:val="6D7D5A70"/>
    <w:rsid w:val="6E0B2F3E"/>
    <w:rsid w:val="6E39349F"/>
    <w:rsid w:val="6E3D1F82"/>
    <w:rsid w:val="6E4B5340"/>
    <w:rsid w:val="6E7361E8"/>
    <w:rsid w:val="6E745E0C"/>
    <w:rsid w:val="6E8602BC"/>
    <w:rsid w:val="6ED625D8"/>
    <w:rsid w:val="6EFF182A"/>
    <w:rsid w:val="6F1D10D4"/>
    <w:rsid w:val="6F287D25"/>
    <w:rsid w:val="6F902776"/>
    <w:rsid w:val="6FAA3E8C"/>
    <w:rsid w:val="6FC07921"/>
    <w:rsid w:val="6FF11ABB"/>
    <w:rsid w:val="6FFB6495"/>
    <w:rsid w:val="70213BC8"/>
    <w:rsid w:val="70226E34"/>
    <w:rsid w:val="70307B1F"/>
    <w:rsid w:val="708B4813"/>
    <w:rsid w:val="70977C7B"/>
    <w:rsid w:val="70A97C9F"/>
    <w:rsid w:val="70E433CD"/>
    <w:rsid w:val="70E8780D"/>
    <w:rsid w:val="70F07074"/>
    <w:rsid w:val="71390B1C"/>
    <w:rsid w:val="71695543"/>
    <w:rsid w:val="7172737E"/>
    <w:rsid w:val="71BB412E"/>
    <w:rsid w:val="71EC4552"/>
    <w:rsid w:val="71F65A30"/>
    <w:rsid w:val="7238577F"/>
    <w:rsid w:val="726E07A1"/>
    <w:rsid w:val="72757BBD"/>
    <w:rsid w:val="72A9042B"/>
    <w:rsid w:val="72AC7F1B"/>
    <w:rsid w:val="72C24A8D"/>
    <w:rsid w:val="72D92CB0"/>
    <w:rsid w:val="72DA05E4"/>
    <w:rsid w:val="72DD00D4"/>
    <w:rsid w:val="73090EC9"/>
    <w:rsid w:val="731A30D6"/>
    <w:rsid w:val="734939BC"/>
    <w:rsid w:val="734E2D80"/>
    <w:rsid w:val="73637E23"/>
    <w:rsid w:val="73871C90"/>
    <w:rsid w:val="738A200A"/>
    <w:rsid w:val="73B40854"/>
    <w:rsid w:val="73E3171A"/>
    <w:rsid w:val="73EB6821"/>
    <w:rsid w:val="73EF6311"/>
    <w:rsid w:val="742C61DA"/>
    <w:rsid w:val="74354085"/>
    <w:rsid w:val="74534AF2"/>
    <w:rsid w:val="745B3729"/>
    <w:rsid w:val="74911176"/>
    <w:rsid w:val="74B65081"/>
    <w:rsid w:val="74C652C4"/>
    <w:rsid w:val="74C9421C"/>
    <w:rsid w:val="74CE603C"/>
    <w:rsid w:val="74D20BB4"/>
    <w:rsid w:val="74F87447"/>
    <w:rsid w:val="74FA4F6E"/>
    <w:rsid w:val="750202C6"/>
    <w:rsid w:val="754D7D39"/>
    <w:rsid w:val="759068E8"/>
    <w:rsid w:val="75B56D5E"/>
    <w:rsid w:val="75E92B3C"/>
    <w:rsid w:val="76004806"/>
    <w:rsid w:val="76197675"/>
    <w:rsid w:val="76373F9F"/>
    <w:rsid w:val="765E777E"/>
    <w:rsid w:val="766F7295"/>
    <w:rsid w:val="7676272D"/>
    <w:rsid w:val="768432DC"/>
    <w:rsid w:val="76867A1D"/>
    <w:rsid w:val="76C40B40"/>
    <w:rsid w:val="772E53A2"/>
    <w:rsid w:val="77585F7B"/>
    <w:rsid w:val="777323F6"/>
    <w:rsid w:val="778B3146"/>
    <w:rsid w:val="77CB499F"/>
    <w:rsid w:val="78100640"/>
    <w:rsid w:val="78121064"/>
    <w:rsid w:val="782335EF"/>
    <w:rsid w:val="78454737"/>
    <w:rsid w:val="785E75C1"/>
    <w:rsid w:val="78656868"/>
    <w:rsid w:val="78866B18"/>
    <w:rsid w:val="78B611AB"/>
    <w:rsid w:val="791B798D"/>
    <w:rsid w:val="79305402"/>
    <w:rsid w:val="79C1605A"/>
    <w:rsid w:val="79EE0E19"/>
    <w:rsid w:val="79F74BF6"/>
    <w:rsid w:val="7A127DEE"/>
    <w:rsid w:val="7A601D17"/>
    <w:rsid w:val="7B136D89"/>
    <w:rsid w:val="7BA04C4A"/>
    <w:rsid w:val="7BF31200"/>
    <w:rsid w:val="7BF85F7F"/>
    <w:rsid w:val="7C102E50"/>
    <w:rsid w:val="7C2A2F43"/>
    <w:rsid w:val="7C801CAB"/>
    <w:rsid w:val="7C9E08D4"/>
    <w:rsid w:val="7CAF2AE1"/>
    <w:rsid w:val="7CE54755"/>
    <w:rsid w:val="7CF43318"/>
    <w:rsid w:val="7D2C5EE0"/>
    <w:rsid w:val="7D5F62B6"/>
    <w:rsid w:val="7D6B2EAC"/>
    <w:rsid w:val="7DAA5057"/>
    <w:rsid w:val="7DD117E2"/>
    <w:rsid w:val="7DF033B2"/>
    <w:rsid w:val="7DFA5168"/>
    <w:rsid w:val="7E1626EC"/>
    <w:rsid w:val="7E417769"/>
    <w:rsid w:val="7E537B3E"/>
    <w:rsid w:val="7E5A082B"/>
    <w:rsid w:val="7E5A4906"/>
    <w:rsid w:val="7E7538B7"/>
    <w:rsid w:val="7E9A7E16"/>
    <w:rsid w:val="7EA45F4A"/>
    <w:rsid w:val="7EB41895"/>
    <w:rsid w:val="7EF00B81"/>
    <w:rsid w:val="7F1E7AAB"/>
    <w:rsid w:val="7F402117"/>
    <w:rsid w:val="7F484B27"/>
    <w:rsid w:val="7F4B6E2B"/>
    <w:rsid w:val="7FBA0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line="360" w:lineRule="auto"/>
      <w:jc w:val="center"/>
      <w:outlineLvl w:val="0"/>
    </w:pPr>
    <w:rPr>
      <w:rFonts w:ascii="宋体" w:hAnsi="宋体" w:cs="宋体"/>
      <w:b/>
      <w:color w:val="FF0000"/>
      <w:kern w:val="44"/>
      <w:sz w:val="28"/>
      <w:szCs w:val="28"/>
    </w:rPr>
  </w:style>
  <w:style w:type="paragraph" w:styleId="3">
    <w:name w:val="heading 3"/>
    <w:basedOn w:val="1"/>
    <w:next w:val="1"/>
    <w:unhideWhenUsed/>
    <w:qFormat/>
    <w:uiPriority w:val="0"/>
    <w:pPr>
      <w:keepNext/>
      <w:keepLines/>
      <w:spacing w:line="360" w:lineRule="auto"/>
      <w:outlineLvl w:val="2"/>
    </w:pPr>
    <w:rPr>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0" w:firstLineChars="200"/>
    </w:pPr>
  </w:style>
  <w:style w:type="paragraph" w:styleId="5">
    <w:name w:val="caption"/>
    <w:basedOn w:val="1"/>
    <w:next w:val="1"/>
    <w:qFormat/>
    <w:uiPriority w:val="0"/>
    <w:pPr>
      <w:keepNext/>
      <w:spacing w:line="500" w:lineRule="exact"/>
      <w:jc w:val="center"/>
    </w:pPr>
    <w:rPr>
      <w:rFonts w:ascii="黑体" w:hAnsi="黑体" w:eastAsia="黑体"/>
      <w:color w:val="FF0000"/>
    </w:rPr>
  </w:style>
  <w:style w:type="paragraph" w:styleId="6">
    <w:name w:val="annotation text"/>
    <w:basedOn w:val="1"/>
    <w:qFormat/>
    <w:uiPriority w:val="0"/>
  </w:style>
  <w:style w:type="paragraph" w:styleId="7">
    <w:name w:val="Body Text"/>
    <w:basedOn w:val="1"/>
    <w:next w:val="1"/>
    <w:semiHidden/>
    <w:qFormat/>
    <w:uiPriority w:val="0"/>
    <w:rPr>
      <w:sz w:val="2"/>
      <w:szCs w:val="2"/>
    </w:rPr>
  </w:style>
  <w:style w:type="paragraph" w:styleId="8">
    <w:name w:val="Body Text Indent"/>
    <w:basedOn w:val="1"/>
    <w:qFormat/>
    <w:uiPriority w:val="0"/>
    <w:pPr>
      <w:adjustRightInd w:val="0"/>
      <w:snapToGrid w:val="0"/>
      <w:spacing w:after="120" w:line="500" w:lineRule="exact"/>
      <w:ind w:left="420" w:leftChars="200"/>
    </w:pPr>
    <w:rPr>
      <w:rFonts w:eastAsia="仿宋_GB2312"/>
      <w:b/>
      <w:sz w:val="28"/>
      <w:szCs w:val="24"/>
    </w:rPr>
  </w:style>
  <w:style w:type="paragraph" w:styleId="9">
    <w:name w:val="Block Text"/>
    <w:basedOn w:val="1"/>
    <w:next w:val="10"/>
    <w:qFormat/>
    <w:uiPriority w:val="99"/>
    <w:pPr>
      <w:spacing w:line="480" w:lineRule="exact"/>
    </w:pPr>
    <w:rPr>
      <w:rFonts w:ascii="仿宋_GB2312" w:eastAsia="仿宋_GB2312"/>
      <w:sz w:val="32"/>
      <w:szCs w:val="32"/>
    </w:rPr>
  </w:style>
  <w:style w:type="paragraph" w:styleId="10">
    <w:name w:val="toc 9"/>
    <w:basedOn w:val="1"/>
    <w:next w:val="1"/>
    <w:qFormat/>
    <w:uiPriority w:val="39"/>
    <w:pPr>
      <w:ind w:left="1680"/>
    </w:pPr>
    <w:rPr>
      <w:sz w:val="18"/>
    </w:rPr>
  </w:style>
  <w:style w:type="paragraph" w:styleId="11">
    <w:name w:val="List Bullet 5"/>
    <w:basedOn w:val="1"/>
    <w:qFormat/>
    <w:uiPriority w:val="0"/>
    <w:pPr>
      <w:numPr>
        <w:ilvl w:val="0"/>
        <w:numId w:val="1"/>
      </w:numPr>
    </w:pPr>
  </w:style>
  <w:style w:type="paragraph" w:styleId="12">
    <w:name w:val="footer"/>
    <w:basedOn w:val="1"/>
    <w:qFormat/>
    <w:uiPriority w:val="0"/>
    <w:pPr>
      <w:tabs>
        <w:tab w:val="center" w:pos="4153"/>
        <w:tab w:val="right" w:pos="8306"/>
      </w:tabs>
    </w:pPr>
    <w:rPr>
      <w:sz w:val="18"/>
    </w:rPr>
  </w:style>
  <w:style w:type="paragraph" w:styleId="13">
    <w:name w:val="header"/>
    <w:basedOn w:val="1"/>
    <w:link w:val="36"/>
    <w:qFormat/>
    <w:uiPriority w:val="0"/>
    <w:pPr>
      <w:tabs>
        <w:tab w:val="center" w:pos="4153"/>
        <w:tab w:val="right" w:pos="8306"/>
      </w:tabs>
      <w:jc w:val="center"/>
    </w:pPr>
    <w:rPr>
      <w:sz w:val="18"/>
      <w:szCs w:val="18"/>
    </w:rPr>
  </w:style>
  <w:style w:type="paragraph" w:styleId="14">
    <w:name w:val="Normal (Web)"/>
    <w:basedOn w:val="1"/>
    <w:qFormat/>
    <w:uiPriority w:val="0"/>
    <w:pPr>
      <w:spacing w:line="300" w:lineRule="exact"/>
      <w:contextualSpacing/>
      <w:jc w:val="center"/>
    </w:pPr>
    <w:rPr>
      <w:rFonts w:ascii="宋体" w:hAnsi="宋体"/>
    </w:rPr>
  </w:style>
  <w:style w:type="paragraph" w:styleId="15">
    <w:name w:val="Body Text First Indent 2"/>
    <w:basedOn w:val="8"/>
    <w:qFormat/>
    <w:uiPriority w:val="0"/>
    <w:pPr>
      <w:ind w:firstLine="420" w:firstLineChars="200"/>
    </w:pPr>
    <w:rPr>
      <w:kern w:val="44"/>
      <w:sz w:val="44"/>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paragraph" w:customStyle="1" w:styleId="20">
    <w:name w:val="正文1"/>
    <w:basedOn w:val="1"/>
    <w:next w:val="1"/>
    <w:qFormat/>
    <w:uiPriority w:val="0"/>
    <w:pPr>
      <w:spacing w:line="500" w:lineRule="atLeast"/>
      <w:ind w:firstLine="567"/>
    </w:pPr>
    <w:rPr>
      <w:sz w:val="28"/>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0"/>
      <w:szCs w:val="20"/>
    </w:rPr>
  </w:style>
  <w:style w:type="character" w:customStyle="1" w:styleId="23">
    <w:name w:val="font21"/>
    <w:basedOn w:val="18"/>
    <w:qFormat/>
    <w:uiPriority w:val="0"/>
    <w:rPr>
      <w:rFonts w:hint="default" w:ascii="Times New Roman" w:hAnsi="Times New Roman" w:cs="Times New Roman"/>
      <w:color w:val="000000"/>
      <w:sz w:val="24"/>
      <w:szCs w:val="24"/>
      <w:u w:val="none"/>
    </w:rPr>
  </w:style>
  <w:style w:type="character" w:customStyle="1" w:styleId="24">
    <w:name w:val="font01"/>
    <w:basedOn w:val="18"/>
    <w:qFormat/>
    <w:uiPriority w:val="0"/>
    <w:rPr>
      <w:rFonts w:hint="eastAsia" w:ascii="宋体" w:hAnsi="宋体" w:eastAsia="宋体" w:cs="宋体"/>
      <w:color w:val="000000"/>
      <w:sz w:val="24"/>
      <w:szCs w:val="24"/>
      <w:u w:val="none"/>
    </w:rPr>
  </w:style>
  <w:style w:type="paragraph" w:customStyle="1" w:styleId="25">
    <w:name w:val="Table Paragraph"/>
    <w:basedOn w:val="1"/>
    <w:autoRedefine/>
    <w:qFormat/>
    <w:uiPriority w:val="1"/>
    <w:pPr>
      <w:kinsoku/>
      <w:spacing w:line="240" w:lineRule="atLeast"/>
      <w:jc w:val="center"/>
    </w:pPr>
    <w:rPr>
      <w:rFonts w:ascii="Times New Roman" w:hAnsi="Times New Roman" w:cs="Times New Roman" w:eastAsiaTheme="minorEastAsia"/>
      <w:b/>
      <w:bCs/>
      <w:szCs w:val="22"/>
      <w:lang w:val="zh-CN" w:eastAsia="zh-CN" w:bidi="zh-CN"/>
    </w:rPr>
  </w:style>
  <w:style w:type="paragraph" w:customStyle="1" w:styleId="26">
    <w:name w:val="MEL正文*"/>
    <w:basedOn w:val="1"/>
    <w:qFormat/>
    <w:uiPriority w:val="0"/>
    <w:pPr>
      <w:spacing w:line="500" w:lineRule="exact"/>
      <w:ind w:firstLine="480" w:firstLineChars="200"/>
    </w:pPr>
    <w:rPr>
      <w:rFonts w:ascii="宋体" w:hAnsi="宋体"/>
      <w:color w:val="FF0000"/>
    </w:rPr>
  </w:style>
  <w:style w:type="paragraph" w:customStyle="1" w:styleId="27">
    <w:name w:val="MEL表字-书"/>
    <w:basedOn w:val="1"/>
    <w:autoRedefine/>
    <w:qFormat/>
    <w:uiPriority w:val="0"/>
    <w:pPr>
      <w:spacing w:line="300" w:lineRule="exact"/>
      <w:jc w:val="center"/>
    </w:pPr>
    <w:rPr>
      <w:rFonts w:ascii="宋体" w:hAnsi="宋体"/>
    </w:rPr>
  </w:style>
  <w:style w:type="paragraph" w:customStyle="1" w:styleId="28">
    <w:name w:val="表头-文字"/>
    <w:basedOn w:val="1"/>
    <w:qFormat/>
    <w:uiPriority w:val="0"/>
    <w:pPr>
      <w:spacing w:line="500" w:lineRule="exact"/>
      <w:ind w:firstLine="200" w:firstLineChars="200"/>
      <w:jc w:val="center"/>
    </w:pPr>
    <w:rPr>
      <w:rFonts w:ascii="黑体" w:hAnsi="黑体" w:eastAsia="黑体"/>
    </w:rPr>
  </w:style>
  <w:style w:type="table" w:customStyle="1" w:styleId="29">
    <w:name w:val="报告书表格样式1"/>
    <w:basedOn w:val="16"/>
    <w:autoRedefine/>
    <w:qFormat/>
    <w:uiPriority w:val="0"/>
    <w:pPr>
      <w:spacing w:line="300" w:lineRule="exact"/>
      <w:contextualSpacing/>
      <w:jc w:val="center"/>
    </w:pPr>
    <w:rPr>
      <w:rFonts w:ascii="宋体" w:hAnsi="宋体" w:cs="宋体"/>
      <w:szCs w:val="21"/>
    </w:rPr>
    <w:tblPr>
      <w:jc w:val="center"/>
      <w:tblBorders>
        <w:top w:val="single" w:color="auto" w:sz="12" w:space="0"/>
        <w:bottom w:val="single" w:color="auto" w:sz="12"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30">
    <w:name w:val="YJ题注"/>
    <w:basedOn w:val="5"/>
    <w:autoRedefine/>
    <w:qFormat/>
    <w:uiPriority w:val="0"/>
    <w:pPr>
      <w:spacing w:line="400" w:lineRule="exact"/>
    </w:pPr>
    <w:rPr>
      <w:szCs w:val="24"/>
    </w:rPr>
  </w:style>
  <w:style w:type="paragraph" w:customStyle="1" w:styleId="31">
    <w:name w:val="表字-书"/>
    <w:basedOn w:val="1"/>
    <w:autoRedefine/>
    <w:qFormat/>
    <w:uiPriority w:val="0"/>
    <w:pPr>
      <w:spacing w:line="300" w:lineRule="exact"/>
      <w:contextualSpacing/>
      <w:jc w:val="center"/>
    </w:pPr>
    <w:rPr>
      <w:rFonts w:ascii="宋体" w:hAnsi="宋体"/>
    </w:rPr>
  </w:style>
  <w:style w:type="character" w:customStyle="1" w:styleId="32">
    <w:name w:val="font11"/>
    <w:basedOn w:val="18"/>
    <w:qFormat/>
    <w:uiPriority w:val="0"/>
    <w:rPr>
      <w:rFonts w:hint="default" w:ascii="Arial" w:hAnsi="Arial" w:cs="Arial"/>
      <w:color w:val="000000"/>
      <w:sz w:val="21"/>
      <w:szCs w:val="21"/>
      <w:u w:val="none"/>
    </w:rPr>
  </w:style>
  <w:style w:type="character" w:customStyle="1" w:styleId="33">
    <w:name w:val="font31"/>
    <w:basedOn w:val="18"/>
    <w:qFormat/>
    <w:uiPriority w:val="0"/>
    <w:rPr>
      <w:rFonts w:hint="default" w:ascii="Times New Roman" w:hAnsi="Times New Roman" w:cs="Times New Roman"/>
      <w:color w:val="000000"/>
      <w:sz w:val="21"/>
      <w:szCs w:val="21"/>
      <w:u w:val="none"/>
    </w:rPr>
  </w:style>
  <w:style w:type="character" w:customStyle="1" w:styleId="34">
    <w:name w:val="font41"/>
    <w:basedOn w:val="18"/>
    <w:qFormat/>
    <w:uiPriority w:val="0"/>
    <w:rPr>
      <w:rFonts w:hint="default" w:ascii="Times New Roman" w:hAnsi="Times New Roman" w:cs="Times New Roman"/>
      <w:color w:val="000000"/>
      <w:sz w:val="20"/>
      <w:szCs w:val="20"/>
      <w:u w:val="none"/>
    </w:rPr>
  </w:style>
  <w:style w:type="character" w:customStyle="1" w:styleId="35">
    <w:name w:val="font61"/>
    <w:basedOn w:val="18"/>
    <w:qFormat/>
    <w:uiPriority w:val="0"/>
    <w:rPr>
      <w:rFonts w:hint="default" w:ascii="Times New Roman" w:hAnsi="Times New Roman" w:cs="Times New Roman"/>
      <w:color w:val="000000"/>
      <w:sz w:val="21"/>
      <w:szCs w:val="21"/>
      <w:u w:val="none"/>
    </w:rPr>
  </w:style>
  <w:style w:type="character" w:customStyle="1" w:styleId="36">
    <w:name w:val="页眉 字符"/>
    <w:basedOn w:val="18"/>
    <w:link w:val="13"/>
    <w:qFormat/>
    <w:uiPriority w:val="0"/>
    <w:rPr>
      <w:rFonts w:ascii="Arial" w:hAnsi="Arial" w:eastAsia="Arial" w:cs="Arial"/>
      <w:snapToGrid w:val="0"/>
      <w:color w:val="000000"/>
      <w:sz w:val="18"/>
      <w:szCs w:val="18"/>
      <w:lang w:eastAsia="en-US"/>
    </w:rPr>
  </w:style>
  <w:style w:type="paragraph" w:customStyle="1" w:styleId="37">
    <w:name w:val="备注"/>
    <w:basedOn w:val="4"/>
    <w:link w:val="38"/>
    <w:qFormat/>
    <w:uiPriority w:val="0"/>
    <w:pPr>
      <w:widowControl w:val="0"/>
      <w:kinsoku/>
      <w:autoSpaceDE/>
      <w:autoSpaceDN/>
      <w:adjustRightInd/>
      <w:spacing w:line="320" w:lineRule="exact"/>
      <w:ind w:firstLine="200"/>
      <w:jc w:val="both"/>
      <w:textAlignment w:val="center"/>
    </w:pPr>
    <w:rPr>
      <w:rFonts w:eastAsia="宋体"/>
      <w:b/>
      <w:snapToGrid/>
      <w:color w:val="auto"/>
      <w:lang w:val="zh-CN" w:eastAsia="zh-CN"/>
    </w:rPr>
  </w:style>
  <w:style w:type="character" w:customStyle="1" w:styleId="38">
    <w:name w:val="备注 字符"/>
    <w:basedOn w:val="18"/>
    <w:link w:val="37"/>
    <w:qFormat/>
    <w:uiPriority w:val="0"/>
    <w:rPr>
      <w:rFonts w:ascii="Arial" w:hAnsi="Arial" w:cs="Arial"/>
      <w:b/>
      <w:sz w:val="21"/>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f9d16cce-18cb-464e-9ca6-8836224a6315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C9C60C0</paraID>
      <start>29</start>
      <end>30</end>
      <status>modified</status>
      <modifiedWord>—</modifiedWord>
      <trackRevisions>false</trackRevisions>
    </reviewItem>
    <reviewItem>
      <errorID>a2144f78-92ad-46a6-b084-e8b07dca0076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67C1FA27</paraID>
      <start>36</start>
      <end>37</end>
      <status>modified</status>
      <modifiedWord>—</modifiedWord>
      <trackRevisions>false</trackRevisions>
    </reviewItem>
    <reviewItem>
      <errorID>7ebfc77b-9496-42f8-adac-876bd05ed175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38079717</paraID>
      <start>31</start>
      <end>32</end>
      <status>modified</status>
      <modifiedWord>—</modifiedWord>
      <trackRevisions>false</trackRevisions>
    </reviewItem>
    <reviewItem>
      <errorID>4682e968-96e3-4b4b-b468-9adb450d11aa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1CD8196A</paraID>
      <start>34</start>
      <end>35</end>
      <status>modified</status>
      <modifiedWord>—</modifiedWord>
      <trackRevisions>false</trackRevisions>
    </reviewItem>
    <reviewItem>
      <errorID>71358cf8-38ed-4c6e-982d-f85c00bd0dfd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2953C9EE</paraID>
      <start>0</start>
      <end>2</end>
      <status>modified</status>
      <modifiedWord>2.</modifiedWord>
      <trackRevisions>false</trackRevisions>
    </reviewItem>
    <reviewItem>
      <errorID>11206855-2b5d-4acc-8cc8-dc37da81dfee</errorID>
      <errorWord>”</errorWord>
      <group>L1_Punc</group>
      <groupName>标点问题</groupName>
      <ability>L2_Punc</ability>
      <abilityName>标点符号检查</abilityName>
      <candidateList/>
      <explain/>
      <paraID> 5274187</paraID>
      <start>29</start>
      <end>30</end>
      <status>ignored</status>
      <modifiedWord/>
      <trackRevisions>false</trackRevisions>
    </reviewItem>
    <reviewItem>
      <errorID>2e45c1c8-e89d-4c3c-a8b0-745513cf98cc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4E097EC8</paraID>
      <start>32</start>
      <end>33</end>
      <status>modified</status>
      <modifiedWord>—</modifiedWord>
      <trackRevisions>false</trackRevisions>
    </reviewItem>
    <reviewItem>
      <errorID>0a2d749a-2138-469c-84b5-f6436c48e22b</errorID>
      <errorWord>十四五规划</errorWord>
      <group>L1_Political</group>
      <groupName>政治性问题</groupName>
      <ability>L2_Keyword</ability>
      <abilityName>固定表述</abilityName>
      <candidateList>
        <item>‘十四五’规划</item>
      </candidateList>
      <explain>注意检查当前固定表述标点是否使用规范。</explain>
      <paraID>486F1DFA</paraID>
      <start>28</start>
      <end>33</end>
      <status>ignored</status>
      <modifiedWord/>
      <trackRevisions>false</trackRevisions>
    </reviewItem>
    <reviewItem>
      <errorID>991d481d-68c3-49b4-8ce9-2f2e49c7ab09</errorID>
      <errorWord>(</errorWord>
      <group>L1_Format</group>
      <groupName>格式问题</groupName>
      <ability>L2_HalfPunc</ability>
      <abilityName>全半角检查</abilityName>
      <candidateList>
        <item>（</item>
      </candidateList>
      <explain>文本全半角错误。</explain>
      <paraID>3A62DA6C</paraID>
      <start>26</start>
      <end>27</end>
      <status>modified</status>
      <modifiedWord>（</modifiedWord>
      <trackRevisions>false</trackRevisions>
    </reviewItem>
    <reviewItem>
      <errorID>589dfc56-0944-4390-990f-9a57679d8674</errorID>
      <errorWord>)</errorWord>
      <group>L1_Format</group>
      <groupName>格式问题</groupName>
      <ability>L2_HalfPunc</ability>
      <abilityName>全半角检查</abilityName>
      <candidateList>
        <item>）</item>
      </candidateList>
      <explain>文本全半角错误。</explain>
      <paraID>3A62DA6C</paraID>
      <start>33</start>
      <end>34</end>
      <status>modified</status>
      <modifiedWord>）</modifiedWord>
      <trackRevisions>false</trackRevisions>
    </reviewItem>
    <reviewItem>
      <errorID>54e80ddb-30a7-4cfc-8de8-79511c9f7e07</errorID>
      <errorWord>(</errorWord>
      <group>L1_Format</group>
      <groupName>格式问题</groupName>
      <ability>L2_HalfPunc</ability>
      <abilityName>全半角检查</abilityName>
      <candidateList>
        <item>（</item>
      </candidateList>
      <explain>文本全半角错误。</explain>
      <paraID>3A62DA6C</paraID>
      <start>55</start>
      <end>56</end>
      <status>modified</status>
      <modifiedWord>（</modifiedWord>
      <trackRevisions>false</trackRevisions>
    </reviewItem>
    <reviewItem>
      <errorID>58829355-a09a-4161-981d-ed9e0d4acaee</errorID>
      <errorWord>)</errorWord>
      <group>L1_Format</group>
      <groupName>格式问题</groupName>
      <ability>L2_HalfPunc</ability>
      <abilityName>全半角检查</abilityName>
      <candidateList>
        <item>）</item>
      </candidateList>
      <explain>文本全半角错误。</explain>
      <paraID>3A62DA6C</paraID>
      <start>62</start>
      <end>63</end>
      <status>modified</status>
      <modifiedWord>）</modifiedWord>
      <trackRevisions>false</trackRevisions>
    </reviewItem>
    <reviewItem>
      <errorID>1bbbd193-c173-40d9-bc51-4ba89ef4ec02</errorID>
      <errorWord>(</errorWord>
      <group>L1_Format</group>
      <groupName>格式问题</groupName>
      <ability>L2_HalfPunc</ability>
      <abilityName>全半角检查</abilityName>
      <candidateList>
        <item>（</item>
      </candidateList>
      <explain>文本全半角错误。</explain>
      <paraID>7D6236B9</paraID>
      <start>46</start>
      <end>47</end>
      <status>modified</status>
      <modifiedWord>（</modifiedWord>
      <trackRevisions>false</trackRevisions>
    </reviewItem>
    <reviewItem>
      <errorID>5dbac692-bfa1-4b79-9bb3-0c80dca55e4b</errorID>
      <errorWord>)</errorWord>
      <group>L1_Format</group>
      <groupName>格式问题</groupName>
      <ability>L2_HalfPunc</ability>
      <abilityName>全半角检查</abilityName>
      <candidateList>
        <item>）</item>
      </candidateList>
      <explain>文本全半角错误。</explain>
      <paraID>7D6236B9</paraID>
      <start>53</start>
      <end>54</end>
      <status>modified</status>
      <modifiedWord>）</modifiedWord>
      <trackRevisions>false</trackRevisions>
    </reviewItem>
    <reviewItem>
      <errorID>34f56b03-5f5a-4165-95ad-d429fb2cb069</errorID>
      <errorWord>区</errorWord>
      <group>L1_Word</group>
      <groupName>字词问题</groupName>
      <ability>L2_Typo</ability>
      <abilityName>字词错误</abilityName>
      <candidateList>
        <item>区规</item>
      </candidateList>
      <explain/>
      <paraID>2C95B425</paraID>
      <start>49</start>
      <end>50</end>
      <status>ignored</status>
      <modifiedWord/>
      <trackRevisions>false</trackRevisions>
    </reviewItem>
    <reviewItem>
      <errorID>ad7bd0b5-d62a-41f5-8c21-2149fc2bc93d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62CB56E</paraID>
      <start>31</start>
      <end>32</end>
      <status>modified</status>
      <modifiedWord>—</modifiedWord>
      <trackRevisions>false</trackRevisions>
    </reviewItem>
    <reviewItem>
      <errorID>19c31693-c8b1-4170-bdd2-8f8a2dc551d4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670C7BBF</paraID>
      <start>66</start>
      <end>67</end>
      <status>modified</status>
      <modifiedWord>—</modifiedWord>
      <trackRevisions>false</trackRevisions>
    </reviewItem>
    <reviewItem>
      <errorID>5803baee-2519-4982-b465-055dddca3067</errorID>
      <errorWord>(</errorWord>
      <group>L1_Format</group>
      <groupName>格式问题</groupName>
      <ability>L2_HalfPunc</ability>
      <abilityName>全半角检查</abilityName>
      <candidateList>
        <item>（</item>
      </candidateList>
      <explain>文本全半角错误。</explain>
      <paraID>2EE7268B</paraID>
      <start>21</start>
      <end>22</end>
      <status>modified</status>
      <modifiedWord>（</modifiedWord>
      <trackRevisions>false</trackRevisions>
    </reviewItem>
    <reviewItem>
      <errorID>fe7a8c5e-48e0-4c55-8b8d-032551f1f1af</errorID>
      <errorWord>)</errorWord>
      <group>L1_Format</group>
      <groupName>格式问题</groupName>
      <ability>L2_HalfPunc</ability>
      <abilityName>全半角检查</abilityName>
      <candidateList>
        <item>）</item>
      </candidateList>
      <explain>文本全半角错误。</explain>
      <paraID>2EE7268B</paraID>
      <start>23</start>
      <end>24</end>
      <status>modified</status>
      <modifiedWord>）</modifiedWord>
      <trackRevisions>false</trackRevisions>
    </reviewItem>
    <reviewItem>
      <errorID>0d744dc6-a2ae-495d-aa5f-0c5d1d1f8239</errorID>
      <errorWord>(</errorWord>
      <group>L1_Format</group>
      <groupName>格式问题</groupName>
      <ability>L2_HalfPunc</ability>
      <abilityName>全半角检查</abilityName>
      <candidateList>
        <item>（</item>
      </candidateList>
      <explain>文本全半角错误。</explain>
      <paraID>53CCE0E7</paraID>
      <start>238</start>
      <end>239</end>
      <status>modified</status>
      <modifiedWord>（</modifiedWord>
      <trackRevisions>false</trackRevisions>
    </reviewItem>
    <reviewItem>
      <errorID>a4c14ff5-ed46-4a6f-9560-b42cb9915252</errorID>
      <errorWord>)</errorWord>
      <group>L1_Format</group>
      <groupName>格式问题</groupName>
      <ability>L2_HalfPunc</ability>
      <abilityName>全半角检查</abilityName>
      <candidateList>
        <item>）</item>
      </candidateList>
      <explain>文本全半角错误。</explain>
      <paraID>53CCE0E7</paraID>
      <start>240</start>
      <end>241</end>
      <status>modified</status>
      <modifiedWord>）</modifiedWord>
      <trackRevisions>false</trackRevisions>
    </reviewItem>
    <reviewItem>
      <errorID>4d6ecf8d-4fe7-464a-977b-467be534ff1b</errorID>
      <errorWord>-</errorWord>
      <group>L1_Format</group>
      <groupName>格式问题</groupName>
      <ability>L2_HalfPunc</ability>
      <abilityName>全半角检查</abilityName>
      <candidateList>
        <item>－</item>
      </candidateList>
      <explain>文本全半角错误。</explain>
      <paraID>1846E0A5</paraID>
      <start>70</start>
      <end>71</end>
      <status>modified</status>
      <modifiedWord>－</modifiedWord>
      <trackRevisions>false</trackRevisions>
    </reviewItem>
    <reviewItem>
      <errorID>6fe6bbc5-23d3-40d0-92b6-055df001535d</errorID>
      <errorWord>-</errorWord>
      <group>L1_Format</group>
      <groupName>格式问题</groupName>
      <ability>L2_HalfPunc</ability>
      <abilityName>全半角检查</abilityName>
      <candidateList>
        <item>－</item>
      </candidateList>
      <explain>文本全半角错误。</explain>
      <paraID>3A339C78</paraID>
      <start>26</start>
      <end>27</end>
      <status>modified</status>
      <modifiedWord>－</modifiedWord>
      <trackRevisions>false</trackRevisions>
    </reviewItem>
    <reviewItem>
      <errorID>7ae44eff-43e8-4282-9cc7-13aa25bcf758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37CBC614</paraID>
      <start>0</start>
      <end>2</end>
      <status>modified</status>
      <modifiedWord>1.</modifiedWord>
      <trackRevisions>false</trackRevisions>
    </reviewItem>
    <reviewItem>
      <errorID>e53157c2-680a-432f-a3af-cac0b568d21f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2CEEF232</paraID>
      <start>0</start>
      <end>2</end>
      <status>modified</status>
      <modifiedWord>1.</modifiedWord>
      <trackRevisions>false</trackRevisions>
    </reviewItem>
    <reviewItem>
      <errorID>8be065ca-2427-4f5c-af41-3008c530df46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6B0F8906</paraID>
      <start>0</start>
      <end>2</end>
      <status>modified</status>
      <modifiedWord>1.</modifiedWord>
      <trackRevisions>false</trackRevisions>
    </reviewItem>
    <reviewItem>
      <errorID>e4f573c3-d338-410b-95e0-fba8c65e1d6d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EE7AF0D</paraID>
      <start>0</start>
      <end>2</end>
      <status>modified</status>
      <modifiedWord>1.</modifiedWord>
      <trackRevisions>false</trackRevisions>
    </reviewItem>
    <reviewItem>
      <errorID>3e1e7294-26c0-4e02-af33-740f35a16942</errorID>
      <errorWord>设施的</errorWord>
      <group>L1_Word</group>
      <groupName>字词问题</groupName>
      <ability>L2_Typo</ability>
      <abilityName>字词错误</abilityName>
      <candidateList>
        <item>设施</item>
      </candidateList>
      <explain/>
      <paraID>4E51EC65</paraID>
      <start>6</start>
      <end>9</end>
      <status>ignored</status>
      <modifiedWord/>
      <trackRevisions>false</trackRevisions>
    </reviewItem>
    <reviewItem>
      <errorID>99e6cd3b-55a1-46e4-bd73-dcd43aeec632</errorID>
      <errorWord>期</errorWord>
      <group>L1_Word</group>
      <groupName>字词问题</groupName>
      <ability>L2_Typo</ability>
      <abilityName>字词错误</abilityName>
      <candidateList>
        <item>期间</item>
      </candidateList>
      <explain>〈名〉某个时期里面：农忙～｜春节～｜抗战～。</explain>
      <paraID>2847458B</paraID>
      <start>2</start>
      <end>3</end>
      <status>ignored</status>
      <modifiedWord/>
      <trackRevisions>false</trackRevisions>
    </reviewItem>
    <reviewItem>
      <errorID>3ff6567b-3548-45a4-833c-dc9ae671a07f</errorID>
      <errorWord>恢复至</errorWord>
      <group>L1_Word</group>
      <groupName>字词问题</groupName>
      <ability>L2_Typo</ability>
      <abilityName>字词错误</abilityName>
      <candidateList>
        <item>恢复</item>
      </candidateList>
      <explain/>
      <paraID>6EAEA481</paraID>
      <start>11</start>
      <end>14</end>
      <status>ignored</status>
      <modifiedWord/>
      <trackRevisions>false</trackRevisions>
    </reviewItem>
    <reviewItem>
      <errorID>84e465b2-8a0a-4a36-901a-d7df60899f60</errorID>
      <errorWord>低</errorWord>
      <group>L1_Word</group>
      <groupName>字词问题</groupName>
      <ability>L2_Typo</ability>
      <abilityName>字词错误</abilityName>
      <candidateList>
        <item>低于</item>
      </candidateList>
      <explain/>
      <paraID> 97F4990</paraID>
      <start>42</start>
      <end>44</end>
      <status>modified</status>
      <modifiedWord>低于</modifiedWord>
      <trackRevisions>false</trackRevisions>
    </reviewItem>
    <reviewItem>
      <errorID>988ed6f6-9386-4330-bd35-d63c2129b096</errorID>
      <errorWord>木垒县</errorWord>
      <group>L1_Knowledge</group>
      <groupName>知识性问题</groupName>
      <ability>L2_Location</ability>
      <abilityName>地名检查</abilityName>
      <candidateList>
        <item>木垒哈萨克自治县</item>
      </candidateList>
      <explain>自治区州县缩写不规范。《地名管理条例》第十八条规定，标识牌、公共平台发布的信息、各类公文证件、学习类公开出版物、地图、法律法规规定等场景范围内必须使用标准地名。</explain>
      <paraID>259EA483</paraID>
      <start>14</start>
      <end>17</end>
      <status>ignored</status>
      <modifiedWord/>
      <trackRevisions>false</trackRevisions>
    </reviewItem>
    <reviewItem>
      <errorID>031a08d8-4631-4f7d-850b-8325a49d9ee7</errorID>
      <errorWord>(</errorWord>
      <group>L1_Format</group>
      <groupName>格式问题</groupName>
      <ability>L2_HalfPunc</ability>
      <abilityName>全半角检查</abilityName>
      <candidateList>
        <item>（</item>
      </candidateList>
      <explain>文本全半角错误。</explain>
      <paraID>502075D5</paraID>
      <start>29</start>
      <end>30</end>
      <status>modified</status>
      <modifiedWord>（</modifiedWord>
      <trackRevisions>false</trackRevisions>
    </reviewItem>
    <reviewItem>
      <errorID>6ef455aa-d1ba-4997-917b-7b5e2b73c114</errorID>
      <errorWord>)</errorWord>
      <group>L1_Format</group>
      <groupName>格式问题</groupName>
      <ability>L2_HalfPunc</ability>
      <abilityName>全半角检查</abilityName>
      <candidateList>
        <item>）</item>
      </candidateList>
      <explain>文本全半角错误。</explain>
      <paraID>502075D5</paraID>
      <start>31</start>
      <end>32</end>
      <status>modified</status>
      <modifiedWord>）</modifiedWord>
      <trackRevisions>false</trackRevisions>
    </reviewItem>
    <reviewItem>
      <errorID>b837fd6b-61f2-4470-a8a7-f989c863a209</errorID>
      <errorWord>）</errorWord>
      <group>L1_Word</group>
      <groupName>字词问题</groupName>
      <ability>L2_Typo</ability>
      <abilityName>字词错误</abilityName>
      <candidateList>
        <item>）和</item>
      </candidateList>
      <explain/>
      <paraID>7A5DBA72</paraID>
      <start>106</start>
      <end>107</end>
      <status>ignored</status>
      <modifiedWord/>
      <trackRevisions>false</trackRevisions>
    </reviewItem>
    <reviewItem>
      <errorID>5b4f87e3-0720-45ac-b82b-93252578098c</errorID>
      <errorWord>,</errorWord>
      <group>L1_Format</group>
      <groupName>格式问题</groupName>
      <ability>L2_HalfPunc</ability>
      <abilityName>全半角检查</abilityName>
      <candidateList>
        <item>，</item>
      </candidateList>
      <explain>文本全半角错误。</explain>
      <paraID> 4367E58</paraID>
      <start>110</start>
      <end>111</end>
      <status>modified</status>
      <modifiedWord>，</modifiedWord>
      <trackRevisions>false</trackRevisions>
    </reviewItem>
    <reviewItem>
      <errorID>0ea4e979-9e7a-478e-b53b-6104718648db</errorID>
      <errorWord>)</errorWord>
      <group>L1_Format</group>
      <groupName>格式问题</groupName>
      <ability>L2_HalfPunc</ability>
      <abilityName>全半角检查</abilityName>
      <candidateList>
        <item>）</item>
      </candidateList>
      <explain>文本全半角错误。</explain>
      <paraID>5892FA3D</paraID>
      <start>33</start>
      <end>34</end>
      <status>modified</status>
      <modifiedWord>）</modifiedWord>
      <trackRevisions>false</trackRevisions>
    </reviewItem>
    <reviewItem>
      <errorID>e489f06d-f3df-4d49-b01f-446c2f7a03fe</errorID>
      <errorWord>密集性</errorWord>
      <group>L1_Word</group>
      <groupName>字词问题</groupName>
      <ability>L2_Typo</ability>
      <abilityName>字词错误</abilityName>
      <candidateList>
        <item>密集型</item>
      </candidateList>
      <explain/>
      <paraID>4AA7D6CF</paraID>
      <start>57</start>
      <end>60</end>
      <status>modified</status>
      <modifiedWord>密集型</modifiedWord>
      <trackRevisions>false</trackRevisions>
    </reviewItem>
    <reviewItem>
      <errorID>2b8ce273-fd06-465b-a3f3-91d4a719d7ee</errorID>
      <errorWord>[2024]58号</errorWord>
      <group>L1_Knowledge</group>
      <groupName>知识性问题</groupName>
      <ability>L2_Knowledge</ability>
      <abilityName>其他知识</abilityName>
      <candidateList>
        <item>〔2024〕58号</item>
      </candidateList>
      <explain>发文字号格式错误。</explain>
      <paraID>23E89BB1</paraID>
      <start>38</start>
      <end>47</end>
      <status>modified</status>
      <modifiedWord>〔2024〕58号</modifiedWord>
      <trackRevisions>false</trackRevisions>
    </reviewItem>
    <reviewItem>
      <errorID>29223324-bd8f-4a9b-ab14-7dfb6b6f7e9b</errorID>
      <errorWord>[2024]58号</errorWord>
      <group>L1_Knowledge</group>
      <groupName>知识性问题</groupName>
      <ability>L2_Knowledge</ability>
      <abilityName>其他知识</abilityName>
      <candidateList>
        <item>〔2024〕58号</item>
      </candidateList>
      <explain>发文字号格式错误。</explain>
      <paraID>2DA99CA2</paraID>
      <start>37</start>
      <end>46</end>
      <status>modified</status>
      <modifiedWord>〔2024〕58号</modifiedWord>
      <trackRevisions>false</trackRevisions>
    </reviewItem>
    <reviewItem>
      <errorID>33433155-91e9-45df-9315-37243d6e9d82</errorID>
      <errorWord>、就</errorWord>
      <group>L1_Punc</group>
      <groupName>标点问题</groupName>
      <ability>L2_Punc</ability>
      <abilityName>标点符号检查</abilityName>
      <candidateList>
        <item>，就</item>
      </candidateList>
      <explain>连接词前后不宜使用顿号，建议使用逗号。</explain>
      <paraID>5E97E4F3</paraID>
      <start>52</start>
      <end>54</end>
      <status>ignored</status>
      <modifiedWord/>
      <trackRevisions>false</trackRevisions>
    </reviewItem>
    <reviewItem>
      <errorID>81b045e5-3dc6-49be-a4cc-bb6f46bfacb4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58448908</paraID>
      <start>160</start>
      <end>161</end>
      <status>modified</status>
      <modifiedWord>—</modifiedWord>
      <trackRevisions>false</trackRevisions>
    </reviewItem>
    <reviewItem>
      <errorID>72eecfd3-64a8-4b10-82c1-1779431d1521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702DDA1E</paraID>
      <start>54</start>
      <end>55</end>
      <status>modified</status>
      <modifiedWord>—</modifiedWord>
      <trackRevisions>false</trackRevisions>
    </reviewItem>
    <reviewItem>
      <errorID>b6cdc93d-529b-446b-b95c-abc09751e4d9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42231B8</paraID>
      <start>57</start>
      <end>58</end>
      <status>modified</status>
      <modifiedWord>—</modifiedWord>
      <trackRevisions>false</trackRevisions>
    </reviewItem>
    <reviewItem>
      <errorID>a1ff2cda-3f6f-41ac-9c48-85efeed1c96c</errorID>
      <errorWord>井别</errorWord>
      <group>L1_Word</group>
      <groupName>字词问题</groupName>
      <ability>L2_Typo</ability>
      <abilityName>字词错误</abilityName>
      <candidateList>
        <item>特别</item>
      </candidateList>
      <explain>❶〈形〉与众不同；不普通：～的式样｜他的脾气很～。❷〈副〉格外：火车跑得～快｜这个节目～吸引观众。❸〈副〉特地：散会的时候，厂长～把他留下来研究技术上的问题。❹〈副〉尤其：他喜欢郊游，～是骑自行车郊游。</explain>
      <paraID>33CF3CFC</paraID>
      <start>0</start>
      <end>2</end>
      <status>ignored</status>
      <modifiedWord/>
      <trackRevisions>false</trackRevisions>
    </reviewItem>
    <reviewItem>
      <errorID>e7909a7c-b570-4f3b-9d6c-08d3f4b42c7e</errorID>
      <errorWord>型</errorWord>
      <group>L1_Word</group>
      <groupName>字词问题</groupName>
      <ability>L2_Typo</ability>
      <abilityName>字词错误</abilityName>
      <candidateList>
        <item>形</item>
      </candidateList>
      <explain>存在发音相同字词的误用。</explain>
      <paraID>30635202</paraID>
      <start>1</start>
      <end>2</end>
      <status>ignored</status>
      <modifiedWord/>
      <trackRevisions>false</trackRevisions>
    </reviewItem>
    <reviewItem>
      <errorID>cf32c5e4-9206-4ba4-8383-ca3c45c9893e</errorID>
      <errorWord>井深结构</errorWord>
      <group>L1_Knowledge</group>
      <groupName>知识性问题</groupName>
      <ability>L2_Term</ability>
      <abilityName>专业术语</abilityName>
      <candidateList>
        <item>井身结构</item>
      </candidateList>
      <explain/>
      <paraID>6D4DF4FC</paraID>
      <start>0</start>
      <end>4</end>
      <status>modified</status>
      <modifiedWord>井身结构</modifiedWord>
      <trackRevisions>false</trackRevisions>
    </reviewItem>
    <reviewItem>
      <errorID>98c7ac1f-54ca-4fb2-8644-46ca2abc399b</errorID>
      <errorWord>(</errorWord>
      <group>L1_Format</group>
      <groupName>格式问题</groupName>
      <ability>L2_HalfPunc</ability>
      <abilityName>全半角检查</abilityName>
      <candidateList>
        <item>（</item>
      </candidateList>
      <explain>文本全半角错误。</explain>
      <paraID>782B9DB5</paraID>
      <start>4</start>
      <end>5</end>
      <status>modified</status>
      <modifiedWord>（</modifiedWord>
      <trackRevisions>false</trackRevisions>
    </reviewItem>
    <reviewItem>
      <errorID>9dc9bfbd-c848-40c3-9048-f864b940c478</errorID>
      <errorWord>)</errorWord>
      <group>L1_Format</group>
      <groupName>格式问题</groupName>
      <ability>L2_HalfPunc</ability>
      <abilityName>全半角检查</abilityName>
      <candidateList>
        <item>）</item>
      </candidateList>
      <explain>文本全半角错误。</explain>
      <paraID>782B9DB5</paraID>
      <start>7</start>
      <end>8</end>
      <status>modified</status>
      <modifiedWord>）</modifiedWord>
      <trackRevisions>false</trackRevisions>
    </reviewItem>
    <reviewItem>
      <errorID>be5027b2-12e6-4dc6-8eac-85d947995fbd</errorID>
      <errorWord>见</errorWord>
      <group>L1_Word</group>
      <groupName>字词问题</groupName>
      <ability>L2_Typo</ability>
      <abilityName>字词错误</abilityName>
      <candidateList>
        <item>见下</item>
      </candidateList>
      <explain/>
      <paraID>2791C3C5</paraID>
      <start>45</start>
      <end>47</end>
      <status>modified</status>
      <modifiedWord>见下</modifiedWord>
      <trackRevisions>false</trackRevisions>
    </reviewItem>
    <reviewItem>
      <errorID>efcc6993-a207-48c6-9b8a-14ef7d2edc42</errorID>
      <errorWord>试油工程</errorWord>
      <group>L1_Knowledge</group>
      <groupName>知识性问题</groupName>
      <ability>L2_Term</ability>
      <abilityName>专业术语</abilityName>
      <candidateList>
        <item>采油工程</item>
      </candidateList>
      <explain/>
      <paraID>5049958F</paraID>
      <start>8</start>
      <end>12</end>
      <status>ignored</status>
      <modifiedWord/>
      <trackRevisions>false</trackRevisions>
    </reviewItem>
    <reviewItem>
      <errorID>c049b318-ac69-4f17-8b76-aeb7a522fe44</errorID>
      <errorWord>（</errorWord>
      <group>L1_Format</group>
      <groupName>格式问题</groupName>
      <ability>L2_HalfPunc</ability>
      <abilityName>全半角检查</abilityName>
      <candidateList>
        <item>(</item>
      </candidateList>
      <explain>文本全半角错误。</explain>
      <paraID>68F668D4</paraID>
      <start>0</start>
      <end>1</end>
      <status>modified</status>
      <modifiedWord>(</modifiedWord>
      <trackRevisions>false</trackRevisions>
    </reviewItem>
    <reviewItem>
      <errorID>fef6763e-7126-4d8f-8ffa-85c00d474f3c</errorID>
      <errorWord>）</errorWord>
      <group>L1_Format</group>
      <groupName>格式问题</groupName>
      <ability>L2_HalfPunc</ability>
      <abilityName>全半角检查</abilityName>
      <candidateList>
        <item>)</item>
      </candidateList>
      <explain>文本全半角错误。</explain>
      <paraID>68F668D4</paraID>
      <start>2</start>
      <end>3</end>
      <status>modified</status>
      <modifiedWord>)</modifiedWord>
      <trackRevisions>false</trackRevisions>
    </reviewItem>
    <reviewItem>
      <errorID>94433c1a-3413-41de-ba24-0ec3844edaa9</errorID>
      <errorWord>:</errorWord>
      <group>L1_Format</group>
      <groupName>格式问题</groupName>
      <ability>L2_HalfPunc</ability>
      <abilityName>全半角检查</abilityName>
      <candidateList>
        <item>：</item>
      </candidateList>
      <explain>文本全半角错误。</explain>
      <paraID>3E5664B9</paraID>
      <start>5</start>
      <end>6</end>
      <status>modified</status>
      <modifiedWord>：</modifiedWord>
      <trackRevisions>false</trackRevisions>
    </reviewItem>
    <reviewItem>
      <errorID>ee6ccb0c-37e2-43f0-bb9e-f539c576e663</errorID>
      <errorWord>(</errorWord>
      <group>L1_Format</group>
      <groupName>格式问题</groupName>
      <ability>L2_HalfPunc</ability>
      <abilityName>全半角检查</abilityName>
      <candidateList>
        <item>（</item>
      </candidateList>
      <explain>文本全半角错误。</explain>
      <paraID>3E5664B9</paraID>
      <start>17</start>
      <end>18</end>
      <status>modified</status>
      <modifiedWord>（</modifiedWord>
      <trackRevisions>false</trackRevisions>
    </reviewItem>
    <reviewItem>
      <errorID>e2c5cb52-d054-4d1b-a21f-2133592eea73</errorID>
      <errorWord>)</errorWord>
      <group>L1_Format</group>
      <groupName>格式问题</groupName>
      <ability>L2_HalfPunc</ability>
      <abilityName>全半角检查</abilityName>
      <candidateList>
        <item>）</item>
      </candidateList>
      <explain>文本全半角错误。</explain>
      <paraID>3E5664B9</paraID>
      <start>23</start>
      <end>24</end>
      <status>modified</status>
      <modifiedWord>）</modifiedWord>
      <trackRevisions>false</trackRevisions>
    </reviewItem>
    <reviewItem>
      <errorID>654f7d4a-d186-4730-8e86-a78d61b857c9</errorID>
      <errorWord>:</errorWord>
      <group>L1_Format</group>
      <groupName>格式问题</groupName>
      <ability>L2_HalfPunc</ability>
      <abilityName>全半角检查</abilityName>
      <candidateList>
        <item>：</item>
      </candidateList>
      <explain>文本全半角错误。</explain>
      <paraID>1ABF0B5B</paraID>
      <start>5</start>
      <end>6</end>
      <status>modified</status>
      <modifiedWord>：</modifiedWord>
      <trackRevisions>false</trackRevisions>
    </reviewItem>
    <reviewItem>
      <errorID>e6e573aa-642d-4530-b117-08081ba53d59</errorID>
      <errorWord>(</errorWord>
      <group>L1_Format</group>
      <groupName>格式问题</groupName>
      <ability>L2_HalfPunc</ability>
      <abilityName>全半角检查</abilityName>
      <candidateList>
        <item>（</item>
      </candidateList>
      <explain>文本全半角错误。</explain>
      <paraID>1ABF0B5B</paraID>
      <start>17</start>
      <end>18</end>
      <status>modified</status>
      <modifiedWord>（</modifiedWord>
      <trackRevisions>false</trackRevisions>
    </reviewItem>
    <reviewItem>
      <errorID>d93630c5-0e41-4b92-a534-5284b4009273</errorID>
      <errorWord>)</errorWord>
      <group>L1_Format</group>
      <groupName>格式问题</groupName>
      <ability>L2_HalfPunc</ability>
      <abilityName>全半角检查</abilityName>
      <candidateList>
        <item>）</item>
      </candidateList>
      <explain>文本全半角错误。</explain>
      <paraID>1ABF0B5B</paraID>
      <start>23</start>
      <end>24</end>
      <status>modified</status>
      <modifiedWord>）</modifiedWord>
      <trackRevisions>false</trackRevisions>
    </reviewItem>
    <reviewItem>
      <errorID>35f1baa8-0cb5-4391-84bf-56c8f9d5ca89</errorID>
      <errorWord>:</errorWord>
      <group>L1_Format</group>
      <groupName>格式问题</groupName>
      <ability>L2_HalfPunc</ability>
      <abilityName>全半角检查</abilityName>
      <candidateList>
        <item>：</item>
      </candidateList>
      <explain>文本全半角错误。</explain>
      <paraID>427BA826</paraID>
      <start>5</start>
      <end>6</end>
      <status>modified</status>
      <modifiedWord>：</modifiedWord>
      <trackRevisions>false</trackRevisions>
    </reviewItem>
    <reviewItem>
      <errorID>7e936a21-3176-4712-92e1-f1b1c9edf6eb</errorID>
      <errorWord>(</errorWord>
      <group>L1_Format</group>
      <groupName>格式问题</groupName>
      <ability>L2_HalfPunc</ability>
      <abilityName>全半角检查</abilityName>
      <candidateList>
        <item>（</item>
      </candidateList>
      <explain>文本全半角错误。</explain>
      <paraID>427BA826</paraID>
      <start>17</start>
      <end>18</end>
      <status>modified</status>
      <modifiedWord>（</modifiedWord>
      <trackRevisions>false</trackRevisions>
    </reviewItem>
    <reviewItem>
      <errorID>55fdfa43-de6a-4e34-8eba-73eac5cc0218</errorID>
      <errorWord>)</errorWord>
      <group>L1_Format</group>
      <groupName>格式问题</groupName>
      <ability>L2_HalfPunc</ability>
      <abilityName>全半角检查</abilityName>
      <candidateList>
        <item>）</item>
      </candidateList>
      <explain>文本全半角错误。</explain>
      <paraID>427BA826</paraID>
      <start>23</start>
      <end>24</end>
      <status>modified</status>
      <modifiedWord>）</modifiedWord>
      <trackRevisions>false</trackRevisions>
    </reviewItem>
    <reviewItem>
      <errorID>2e5bdcd3-69ec-4943-9d98-b0784c704e76</errorID>
      <errorWord>:</errorWord>
      <group>L1_Format</group>
      <groupName>格式问题</groupName>
      <ability>L2_HalfPunc</ability>
      <abilityName>全半角检查</abilityName>
      <candidateList>
        <item>：</item>
      </candidateList>
      <explain>文本全半角错误。</explain>
      <paraID>55B97922</paraID>
      <start>5</start>
      <end>6</end>
      <status>modified</status>
      <modifiedWord>：</modifiedWord>
      <trackRevisions>false</trackRevisions>
    </reviewItem>
    <reviewItem>
      <errorID>e6eb4a18-602c-4517-993b-acd5c108ab9f</errorID>
      <errorWord>(</errorWord>
      <group>L1_Format</group>
      <groupName>格式问题</groupName>
      <ability>L2_HalfPunc</ability>
      <abilityName>全半角检查</abilityName>
      <candidateList>
        <item>（</item>
      </candidateList>
      <explain>文本全半角错误。</explain>
      <paraID>55B97922</paraID>
      <start>17</start>
      <end>18</end>
      <status>modified</status>
      <modifiedWord>（</modifiedWord>
      <trackRevisions>false</trackRevisions>
    </reviewItem>
    <reviewItem>
      <errorID>d3d684ca-48d5-48ce-b672-529d46bc722c</errorID>
      <errorWord>)</errorWord>
      <group>L1_Format</group>
      <groupName>格式问题</groupName>
      <ability>L2_HalfPunc</ability>
      <abilityName>全半角检查</abilityName>
      <candidateList>
        <item>）</item>
      </candidateList>
      <explain>文本全半角错误。</explain>
      <paraID>55B97922</paraID>
      <start>23</start>
      <end>24</end>
      <status>modified</status>
      <modifiedWord>）</modifiedWord>
      <trackRevisions>false</trackRevisions>
    </reviewItem>
    <reviewItem>
      <errorID>41fa4005-4e66-4da2-858e-4fe1ea465e91</errorID>
      <errorWord>粘度</errorWord>
      <group>L1_Word</group>
      <groupName>字词问题</groupName>
      <ability>L2_Alias</ability>
      <abilityName>也作/曾用词</abilityName>
      <candidateList>
        <item>黏度</item>
      </candidateList>
      <explain>词汇[粘度]为不规范表述或旧称，其规范书面表述为[黏度]。</explain>
      <paraID>189E5194</paraID>
      <start>2</start>
      <end>4</end>
      <status>ignored</status>
      <modifiedWord/>
      <trackRevisions>false</trackRevisions>
    </reviewItem>
    <reviewItem>
      <errorID>6ea453a6-b1c0-459e-927a-e5322cd7a7c0</errorID>
      <errorWord>水</errorWord>
      <group>L1_Word</group>
      <groupName>字词问题</groupName>
      <ability>L2_Typo</ability>
      <abilityName>字词错误</abilityName>
      <candidateList>
        <item>水平</item>
      </candidateList>
      <explain>❶〈形〉属性词。跟水平面平行的：～方向。❷〈名〉在生产、生活、政治、思想、文化、艺术、技术、业务等方面所达到的高度：提高思想～和业务～。</explain>
      <paraID>4C890A1A</paraID>
      <start>2</start>
      <end>3</end>
      <status>ignored</status>
      <modifiedWord/>
      <trackRevisions>false</trackRevisions>
    </reviewItem>
    <reviewItem>
      <errorID>9350c506-b3a3-4217-8679-b2966340f70c</errorID>
      <errorWord>，</errorWord>
      <group>L1_Word</group>
      <groupName>字词问题</groupName>
      <ability>L2_Typo</ability>
      <abilityName>字词错误</abilityName>
      <candidateList>
        <item>，需</item>
      </candidateList>
      <explain/>
      <paraID>656D48E2</paraID>
      <start>20</start>
      <end>22</end>
      <status>modified</status>
      <modifiedWord>，需</modifiedWord>
      <trackRevisions>false</trackRevisions>
    </reviewItem>
    <reviewItem>
      <errorID>803f7ad7-c54b-4d6e-b3b3-386317ab3ceb</errorID>
      <errorWord>[2022]104号</errorWord>
      <group>L1_Knowledge</group>
      <groupName>知识性问题</groupName>
      <ability>L2_Knowledge</ability>
      <abilityName>其他知识</abilityName>
      <candidateList>
        <item>〔2022〕104号</item>
      </candidateList>
      <explain>发文字号格式错误。</explain>
      <paraID>1D427F16</paraID>
      <start>90</start>
      <end>100</end>
      <status>modified</status>
      <modifiedWord>〔2022〕104号</modifiedWord>
      <trackRevisions>false</trackRevisions>
    </reviewItem>
    <reviewItem>
      <errorID>80a9c69b-2626-49e7-a35d-3931d4780ca6</errorID>
      <errorWord>后段系统</errorWord>
      <group>L1_Word</group>
      <groupName>字词问题</groupName>
      <ability>L2_Typo</ability>
      <abilityName>字词错误</abilityName>
      <candidateList>
        <item>后端系统</item>
      </candidateList>
      <explain/>
      <paraID>24CED02B</paraID>
      <start>30</start>
      <end>34</end>
      <status>ignored</status>
      <modifiedWord/>
      <trackRevisions>false</trackRevisions>
    </reviewItem>
    <reviewItem>
      <errorID>e23a09bb-f8f6-4687-8c7b-893f15d9fa5d</errorID>
      <errorWord>环空</errorWord>
      <group>L1_Word</group>
      <groupName>字词问题</groupName>
      <ability>L2_Typo</ability>
      <abilityName>字词错误</abilityName>
      <candidateList>
        <item>环孔</item>
      </candidateList>
      <explain/>
      <paraID> E95C6B3</paraID>
      <start>26</start>
      <end>28</end>
      <status>ignored</status>
      <modifiedWord/>
      <trackRevisions>false</trackRevisions>
    </reviewItem>
    <reviewItem>
      <errorID>fb3ed13c-c135-4ccd-96ed-586f6f5868db</errorID>
      <errorWord>注入到</errorWord>
      <group>L1_Word</group>
      <groupName>字词问题</groupName>
      <ability>L2_Typo</ability>
      <abilityName>字词错误</abilityName>
      <candidateList>
        <item>注入</item>
      </candidateList>
      <explain/>
      <paraID>22F471F5</paraID>
      <start>85</start>
      <end>87</end>
      <status>modified</status>
      <modifiedWord>注入</modifiedWord>
      <trackRevisions>false</trackRevisions>
    </reviewItem>
    <reviewItem>
      <errorID>dd757c9a-a3e0-4d7f-b974-b23cc4f06ac1</errorID>
      <errorWord>两个</errorWord>
      <group>L1_Word</group>
      <groupName>字词问题</groupName>
      <ability>L2_Typo</ability>
      <abilityName>字词错误</abilityName>
      <candidateList>
        <item>两道</item>
      </candidateList>
      <explain/>
      <paraID>195C939B</paraID>
      <start>11</start>
      <end>13</end>
      <status>ignored</status>
      <modifiedWord/>
      <trackRevisions>false</trackRevisions>
    </reviewItem>
    <reviewItem>
      <errorID>212a77e3-ba8e-4d51-9adc-a0b822e7e9d0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3789753F</paraID>
      <start>141</start>
      <end>142</end>
      <status>modified</status>
      <modifiedWord>—</modifiedWord>
      <trackRevisions>false</trackRevisions>
    </reviewItem>
    <reviewItem>
      <errorID>867412a3-f259-4022-bc8c-b196d00156f4</errorID>
      <errorWord>-</errorWord>
      <group>L1_Format</group>
      <groupName>格式问题</groupName>
      <ability>L2_HalfPunc</ability>
      <abilityName>全半角检查</abilityName>
      <candidateList>
        <item>－</item>
      </candidateList>
      <explain>文本全半角错误。</explain>
      <paraID>6BD1DABF</paraID>
      <start>49</start>
      <end>50</end>
      <status>modified</status>
      <modifiedWord>－</modifiedWord>
      <trackRevisions>false</trackRevisions>
    </reviewItem>
    <reviewItem>
      <errorID>c0dd0d94-b200-4651-b351-af7a4730cc12</errorID>
      <errorWord>-</errorWord>
      <group>L1_Format</group>
      <groupName>格式问题</groupName>
      <ability>L2_HalfPunc</ability>
      <abilityName>全半角检查</abilityName>
      <candidateList>
        <item>－</item>
      </candidateList>
      <explain>文本全半角错误。</explain>
      <paraID>6BD1DABF</paraID>
      <start>53</start>
      <end>54</end>
      <status>modified</status>
      <modifiedWord>－</modifiedWord>
      <trackRevisions>false</trackRevisions>
    </reviewItem>
    <reviewItem>
      <errorID>0549992e-e63b-4cb4-9bee-ff24da9f1929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5D793240</paraID>
      <start>78</start>
      <end>79</end>
      <status>modified</status>
      <modifiedWord>—</modifiedWord>
      <trackRevisions>false</trackRevisions>
    </reviewItem>
    <reviewItem>
      <errorID>3aa87188-b329-49cb-9da3-aebda2e9b3a7</errorID>
      <errorWord>(</errorWord>
      <group>L1_Format</group>
      <groupName>格式问题</groupName>
      <ability>L2_HalfPunc</ability>
      <abilityName>全半角检查</abilityName>
      <candidateList>
        <item>（</item>
      </candidateList>
      <explain>文本全半角错误。</explain>
      <paraID>3309459D</paraID>
      <start>4</start>
      <end>5</end>
      <status>modified</status>
      <modifiedWord>（</modifiedWord>
      <trackRevisions>false</trackRevisions>
    </reviewItem>
    <reviewItem>
      <errorID>ee22de7a-ce13-4e99-945c-f7a2ee247d93</errorID>
      <errorWord>(</errorWord>
      <group>L1_Format</group>
      <groupName>格式问题</groupName>
      <ability>L2_HalfPunc</ability>
      <abilityName>全半角检查</abilityName>
      <candidateList>
        <item>（</item>
      </candidateList>
      <explain>文本全半角错误。</explain>
      <paraID> 5C062D1</paraID>
      <start>3</start>
      <end>4</end>
      <status>modified</status>
      <modifiedWord>（</modifiedWord>
      <trackRevisions>false</trackRevisions>
    </reviewItem>
    <reviewItem>
      <errorID>9797a3ee-4383-48c5-bfc5-a040064cd353</errorID>
      <errorWord>-</errorWord>
      <group>L1_Format</group>
      <groupName>格式问题</groupName>
      <ability>L2_HalfPunc</ability>
      <abilityName>全半角检查</abilityName>
      <candidateList>
        <item>－</item>
      </candidateList>
      <explain>文本全半角错误。</explain>
      <paraID>199C0CD7</paraID>
      <start>39</start>
      <end>40</end>
      <status>modified</status>
      <modifiedWord>－</modifiedWord>
      <trackRevisions>false</trackRevisions>
    </reviewItem>
    <reviewItem>
      <errorID>c6d928e5-986a-4b27-b430-e1a7551986fd</errorID>
      <errorWord>(</errorWord>
      <group>L1_Format</group>
      <groupName>格式问题</groupName>
      <ability>L2_HalfPunc</ability>
      <abilityName>全半角检查</abilityName>
      <candidateList>
        <item>（</item>
      </candidateList>
      <explain>文本全半角错误。</explain>
      <paraID>4FC52A59</paraID>
      <start>12</start>
      <end>13</end>
      <status>modified</status>
      <modifiedWord>（</modifiedWord>
      <trackRevisions>false</trackRevisions>
    </reviewItem>
    <reviewItem>
      <errorID>6d3dd2df-6e77-4227-8d8f-29cd7abea85d</errorID>
      <errorWord>)</errorWord>
      <group>L1_Format</group>
      <groupName>格式问题</groupName>
      <ability>L2_HalfPunc</ability>
      <abilityName>全半角检查</abilityName>
      <candidateList>
        <item>）</item>
      </candidateList>
      <explain>文本全半角错误。</explain>
      <paraID>4FC52A59</paraID>
      <start>24</start>
      <end>25</end>
      <status>modified</status>
      <modifiedWord>）</modifiedWord>
      <trackRevisions>false</trackRevisions>
    </reviewItem>
    <reviewItem>
      <errorID>10bc7ea8-3f15-450d-a39b-304e51cdd5ed</errorID>
      <errorWord>(</errorWord>
      <group>L1_Format</group>
      <groupName>格式问题</groupName>
      <ability>L2_HalfPunc</ability>
      <abilityName>全半角检查</abilityName>
      <candidateList>
        <item>（</item>
      </candidateList>
      <explain>文本全半角错误。</explain>
      <paraID>40B817F8</paraID>
      <start>9</start>
      <end>10</end>
      <status>modified</status>
      <modifiedWord>（</modifiedWord>
      <trackRevisions>false</trackRevisions>
    </reviewItem>
    <reviewItem>
      <errorID>c95c4972-c3fd-4fa5-9333-f30da1b20737</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72C1939B</paraID>
      <start>15</start>
      <end>16</end>
      <status>ignored</status>
      <modifiedWord/>
      <trackRevisions>false</trackRevisions>
    </reviewItem>
    <reviewItem>
      <errorID>59a695aa-6f61-4791-9809-0e83ae36e854</errorID>
      <errorWord>《土壤环境质量建设用地土壤污染风险管控标准》（试行）</errorWord>
      <group>L1_Knowledge</group>
      <groupName>知识性问题</groupName>
      <ability>L2_Knowledge</ability>
      <abilityName>其他知识</abilityName>
      <candidateList>
        <item>《土壤环境质量建设用地土壤污染风险管控标准（试行）》</item>
      </candidateList>
      <explain>疑似政策文件、法律法规名称等书写不规范，请注意检查。</explain>
      <paraID> 748A8DC</paraID>
      <start>16</start>
      <end>42</end>
      <status>modified</status>
      <modifiedWord>《土壤环境质量建设用地土壤污染风险管控标准（试行）》</modifiedWord>
      <trackRevisions>false</trackRevisions>
    </reviewItem>
    <reviewItem>
      <errorID>da57c7e7-146f-40d8-a067-9bb8b0332b1b</errorID>
      <errorWord>)</errorWord>
      <group>L1_Format</group>
      <groupName>格式问题</groupName>
      <ability>L2_HalfPunc</ability>
      <abilityName>全半角检查</abilityName>
      <candidateList>
        <item>）</item>
      </candidateList>
      <explain>文本全半角错误。</explain>
      <paraID> 748A8DC</paraID>
      <start>107</start>
      <end>108</end>
      <status>modified</status>
      <modifiedWord>）</modifiedWord>
      <trackRevisions>false</trackRevisions>
    </reviewItem>
    <reviewItem>
      <errorID>d3151755-c1cb-4c5d-8369-1717cd1636d6</errorID>
      <errorWord>：</errorWord>
      <group>L1_Format</group>
      <groupName>格式问题</groupName>
      <ability>L2_HalfPunc</ability>
      <abilityName>全半角检查</abilityName>
      <candidateList>
        <item>:</item>
      </candidateList>
      <explain>文本全半角错误。</explain>
      <paraID>650F1B0C</paraID>
      <start>33</start>
      <end>34</end>
      <status>modified</status>
      <modifiedWord>:</modifiedWord>
      <trackRevisions>false</trackRevisions>
    </reviewItem>
    <reviewItem>
      <errorID>3407f7d7-c8bc-47a0-b99b-33d023f46a49</errorID>
      <errorWord>：</errorWord>
      <group>L1_Format</group>
      <groupName>格式问题</groupName>
      <ability>L2_HalfPunc</ability>
      <abilityName>全半角检查</abilityName>
      <candidateList>
        <item>:</item>
      </candidateList>
      <explain>文本全半角错误。</explain>
      <paraID>650F1B0C</paraID>
      <start>45</start>
      <end>46</end>
      <status>modified</status>
      <modifiedWord>:</modifiedWord>
      <trackRevisions>false</trackRevisions>
    </reviewItem>
    <reviewItem>
      <errorID>92442f01-45ef-4d5e-9ac2-49f47da18fa3</errorID>
      <errorWord>：</errorWord>
      <group>L1_Format</group>
      <groupName>格式问题</groupName>
      <ability>L2_HalfPunc</ability>
      <abilityName>全半角检查</abilityName>
      <candidateList>
        <item>:</item>
      </candidateList>
      <explain>文本全半角错误。</explain>
      <paraID>650F1B0C</paraID>
      <start>58</start>
      <end>59</end>
      <status>modified</status>
      <modifiedWord>:</modifiedWord>
      <trackRevisions>false</trackRevisions>
    </reviewItem>
    <reviewItem>
      <errorID>006abe66-2c1c-4f49-bfdd-7dd1a3b91346</errorID>
      <errorWord>：</errorWord>
      <group>L1_Format</group>
      <groupName>格式问题</groupName>
      <ability>L2_HalfPunc</ability>
      <abilityName>全半角检查</abilityName>
      <candidateList>
        <item>:</item>
      </candidateList>
      <explain>文本全半角错误。</explain>
      <paraID>650F1B0C</paraID>
      <start>72</start>
      <end>73</end>
      <status>modified</status>
      <modifiedWord>:</modifiedWord>
      <trackRevisions>false</trackRevisions>
    </reviewItem>
    <reviewItem>
      <errorID>75168814-61a8-434d-96d3-8455750b4b58</errorID>
      <errorWord>(</errorWord>
      <group>L1_Format</group>
      <groupName>格式问题</groupName>
      <ability>L2_HalfPunc</ability>
      <abilityName>全半角检查</abilityName>
      <candidateList>
        <item>（</item>
      </candidateList>
      <explain>文本全半角错误。</explain>
      <paraID>288FC999</paraID>
      <start>37</start>
      <end>38</end>
      <status>modified</status>
      <modifiedWord>（</modifiedWord>
      <trackRevisions>false</trackRevisions>
    </reviewItem>
    <reviewItem>
      <errorID>a44d11ed-a134-4b41-83f4-45801e9ac850</errorID>
      <errorWord>)</errorWord>
      <group>L1_Format</group>
      <groupName>格式问题</groupName>
      <ability>L2_HalfPunc</ability>
      <abilityName>全半角检查</abilityName>
      <candidateList>
        <item>）</item>
      </candidateList>
      <explain>文本全半角错误。</explain>
      <paraID>73D0FC64</paraID>
      <start>35</start>
      <end>36</end>
      <status>modified</status>
      <modifiedWord>）</modifiedWord>
      <trackRevisions>false</trackRevisions>
    </reviewItem>
    <reviewItem>
      <errorID>5325b5ce-1a25-4fa0-8564-60bb45c1f2ce</errorID>
      <errorWord>)</errorWord>
      <group>L1_Format</group>
      <groupName>格式问题</groupName>
      <ability>L2_HalfPunc</ability>
      <abilityName>全半角检查</abilityName>
      <candidateList>
        <item>）</item>
      </candidateList>
      <explain>文本全半角错误。</explain>
      <paraID>2EF28835</paraID>
      <start>34</start>
      <end>35</end>
      <status>modified</status>
      <modifiedWord>）</modifiedWord>
      <trackRevisions>false</trackRevisions>
    </reviewItem>
    <reviewItem>
      <errorID>da8eda7b-b5e0-40e5-b36b-780b42de062e</errorID>
      <errorWord>目</errorWord>
      <group>L1_Word</group>
      <groupName>字词问题</groupName>
      <ability>L2_Typo</ability>
      <abilityName>字词错误</abilityName>
      <candidateList>
        <item>目在</item>
      </candidateList>
      <explain/>
      <paraID>775F5EDD</paraID>
      <start>2</start>
      <end>4</end>
      <status>modified</status>
      <modifiedWord>目在</modifiedWord>
      <trackRevisions>false</trackRevisions>
    </reviewItem>
    <reviewItem>
      <errorID>c50715b4-9446-4e7e-ad1b-be9f5cf8bfcb</errorID>
      <errorWord>其中其中</errorWord>
      <group>L1_Word</group>
      <groupName>字词问题</groupName>
      <ability>L2_Typo</ability>
      <abilityName>字词错误</abilityName>
      <candidateList>
        <item>其中</item>
      </candidateList>
      <explain>〈名〉方位词。那里面：不知～奥妙｜气象站一共五个人，～三个是新来的。</explain>
      <paraID>5BD9CD3A</paraID>
      <start>225</start>
      <end>227</end>
      <status>modified</status>
      <modifiedWord>其中</modifiedWord>
      <trackRevisions>false</trackRevisions>
    </reviewItem>
    <reviewItem>
      <errorID>0c837958-84df-4709-8636-0f137ae166bd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5E149F19</paraID>
      <start>90</start>
      <end>91</end>
      <status>modified</status>
      <modifiedWord>—</modifiedWord>
      <trackRevisions>false</trackRevisions>
    </reviewItem>
    <reviewItem>
      <errorID>71a366ea-8b43-4932-90e6-ea1c13bc9608</errorID>
      <errorWord>来自于</errorWord>
      <group>L1_Word</group>
      <groupName>字词问题</groupName>
      <ability>L2_Typo</ability>
      <abilityName>字词错误</abilityName>
      <candidateList>
        <item>来自</item>
      </candidateList>
      <explain/>
      <paraID>49F07D17</paraID>
      <start>24</start>
      <end>26</end>
      <status>modified</status>
      <modifiedWord>来自</modifiedWord>
      <trackRevisions>false</trackRevisions>
    </reviewItem>
    <reviewItem>
      <errorID>6cb20a8d-de11-4fde-bd45-5003d12cdeb2</errorID>
      <errorWord>大都</errorWord>
      <group>L1_Word</group>
      <groupName>字词问题</groupName>
      <ability>L2_Typo</ability>
      <abilityName>字词错误</abilityName>
      <candidateList>
        <item>大多</item>
      </candidateList>
      <explain/>
      <paraID>307180B3</paraID>
      <start>35</start>
      <end>37</end>
      <status>modified</status>
      <modifiedWord>大多</modifiedWord>
      <trackRevisions>false</trackRevisions>
    </reviewItem>
    <reviewItem>
      <errorID>dfd38609-1244-4f04-ad21-70d9de911a2c</errorID>
      <errorWord>野生植被</errorWord>
      <group>L1_Knowledge</group>
      <groupName>知识性问题</groupName>
      <ability>L2_Term</ability>
      <abilityName>专业术语</abilityName>
      <candidateList>
        <item>原生植被</item>
      </candidateList>
      <explain/>
      <paraID>4C5AB92A</paraID>
      <start>48</start>
      <end>52</end>
      <status>ignored</status>
      <modifiedWord/>
      <trackRevisions>false</trackRevisions>
    </reviewItem>
    <reviewItem>
      <errorID>fef8d0fa-ea60-4685-819e-52f4c7501a5b</errorID>
      <errorWord>随</errorWord>
      <group>L1_Word</group>
      <groupName>字词问题</groupName>
      <ability>L2_Typo</ability>
      <abilityName>字词错误</abilityName>
      <candidateList>
        <item>随着</item>
      </candidateList>
      <explain/>
      <paraID>1BCBB9AF</paraID>
      <start>314</start>
      <end>316</end>
      <status>modified</status>
      <modifiedWord>随着</modifiedWord>
      <trackRevisions>false</trackRevisions>
    </reviewItem>
    <reviewItem>
      <errorID>df30ae05-7c99-4ddd-bce8-c14a148af5c2</errorID>
      <errorWord>期</errorWord>
      <group>L1_Word</group>
      <groupName>字词问题</groupName>
      <ability>L2_Typo</ability>
      <abilityName>字词错误</abilityName>
      <candidateList>
        <item>期间</item>
      </candidateList>
      <explain>〈名〉某个时期里面：农忙～｜春节～｜抗战～。</explain>
      <paraID> 5622AED</paraID>
      <start>5</start>
      <end>6</end>
      <status>ignored</status>
      <modifiedWord/>
      <trackRevisions>false</trackRevisions>
    </reviewItem>
    <reviewItem>
      <errorID>1d1f7999-ac31-4d8d-88d2-277de6507e8e</errorID>
      <errorWord>探</errorWord>
      <group>L1_Word</group>
      <groupName>字词问题</groupName>
      <ability>L2_Typo</ability>
      <abilityName>字词错误</abilityName>
      <candidateList>
        <item>沿</item>
      </candidateList>
      <explain>存在发音相近字词的误用。</explain>
      <paraID> 574A183</paraID>
      <start>5</start>
      <end>6</end>
      <status>ignored</status>
      <modifiedWord/>
      <trackRevisions>false</trackRevisions>
    </reviewItem>
    <reviewItem>
      <errorID>43a8f01e-5750-40c2-93ee-67af1034ac15</errorID>
      <errorWord>（</errorWord>
      <group>L1_Format</group>
      <groupName>格式问题</groupName>
      <ability>L2_HalfPunc</ability>
      <abilityName>全半角检查</abilityName>
      <candidateList>
        <item>(</item>
      </candidateList>
      <explain>文本全半角错误。</explain>
      <paraID>70EC3134</paraID>
      <start>5</start>
      <end>6</end>
      <status>modified</status>
      <modifiedWord>(</modifiedWord>
      <trackRevisions>false</trackRevisions>
    </reviewItem>
    <reviewItem>
      <errorID>fd11015f-6e92-4a19-979c-ad3dccfcac16</errorID>
      <errorWord>）</errorWord>
      <group>L1_Format</group>
      <groupName>格式问题</groupName>
      <ability>L2_HalfPunc</ability>
      <abilityName>全半角检查</abilityName>
      <candidateList>
        <item>)</item>
      </candidateList>
      <explain>文本全半角错误。</explain>
      <paraID>70EC3134</paraID>
      <start>8</start>
      <end>9</end>
      <status>modified</status>
      <modifiedWord>)</modifiedWord>
      <trackRevisions>false</trackRevisions>
    </reviewItem>
    <reviewItem>
      <errorID>579bfdbc-d504-4a9e-a154-63223d821f71</errorID>
      <errorWord>（</errorWord>
      <group>L1_Format</group>
      <groupName>格式问题</groupName>
      <ability>L2_HalfPunc</ability>
      <abilityName>全半角检查</abilityName>
      <candidateList>
        <item>(</item>
      </candidateList>
      <explain>文本全半角错误。</explain>
      <paraID>30288F1A</paraID>
      <start>5</start>
      <end>6</end>
      <status>modified</status>
      <modifiedWord>(</modifiedWord>
      <trackRevisions>false</trackRevisions>
    </reviewItem>
    <reviewItem>
      <errorID>307476c9-8b4c-47e8-b21d-40fc5463e719</errorID>
      <errorWord>）</errorWord>
      <group>L1_Format</group>
      <groupName>格式问题</groupName>
      <ability>L2_HalfPunc</ability>
      <abilityName>全半角检查</abilityName>
      <candidateList>
        <item>)</item>
      </candidateList>
      <explain>文本全半角错误。</explain>
      <paraID>30288F1A</paraID>
      <start>8</start>
      <end>9</end>
      <status>modified</status>
      <modifiedWord>)</modifiedWord>
      <trackRevisions>false</trackRevisions>
    </reviewItem>
    <reviewItem>
      <errorID>5c17da4e-ab80-44fe-830f-b363c91cf57c</errorID>
      <errorWord>（</errorWord>
      <group>L1_Format</group>
      <groupName>格式问题</groupName>
      <ability>L2_HalfPunc</ability>
      <abilityName>全半角检查</abilityName>
      <candidateList>
        <item>(</item>
      </candidateList>
      <explain>文本全半角错误。</explain>
      <paraID>1F06B1FD</paraID>
      <start>6</start>
      <end>7</end>
      <status>modified</status>
      <modifiedWord>(</modifiedWord>
      <trackRevisions>false</trackRevisions>
    </reviewItem>
    <reviewItem>
      <errorID>95bedf6a-a3bf-4d90-bedb-276264cbb56b</errorID>
      <errorWord>）</errorWord>
      <group>L1_Format</group>
      <groupName>格式问题</groupName>
      <ability>L2_HalfPunc</ability>
      <abilityName>全半角检查</abilityName>
      <candidateList>
        <item>)</item>
      </candidateList>
      <explain>文本全半角错误。</explain>
      <paraID>1F06B1FD</paraID>
      <start>9</start>
      <end>10</end>
      <status>modified</status>
      <modifiedWord>)</modifiedWord>
      <trackRevisions>false</trackRevisions>
    </reviewItem>
    <reviewItem>
      <errorID>7b9734a3-7d4f-4769-9acb-18fc3deb9afb</errorID>
      <errorWord>蒸气压</errorWord>
      <group>L1_Word</group>
      <groupName>字词问题</groupName>
      <ability>L2_Typo</ability>
      <abilityName>字词错误</abilityName>
      <candidateList>
        <item>蒸汽压</item>
      </candidateList>
      <explain/>
      <paraID> E090A99</paraID>
      <start>82</start>
      <end>85</end>
      <status>ignored</status>
      <modifiedWord/>
      <trackRevisions>false</trackRevisions>
    </reviewItem>
    <reviewItem>
      <errorID>046ae4a9-1736-4550-bdd4-38a646d55269</errorID>
      <errorWord>（</errorWord>
      <group>L1_Format</group>
      <groupName>格式问题</groupName>
      <ability>L2_HalfPunc</ability>
      <abilityName>全半角检查</abilityName>
      <candidateList>
        <item>(</item>
      </candidateList>
      <explain>文本全半角错误。</explain>
      <paraID>3AC168DE</paraID>
      <start>22</start>
      <end>23</end>
      <status>modified</status>
      <modifiedWord>(</modifiedWord>
      <trackRevisions>false</trackRevisions>
    </reviewItem>
    <reviewItem>
      <errorID>9b254713-6a7b-4874-80c0-8db425ef6a9e</errorID>
      <errorWord>，</errorWord>
      <group>L1_Format</group>
      <groupName>格式问题</groupName>
      <ability>L2_HalfPunc</ability>
      <abilityName>全半角检查</abilityName>
      <candidateList>
        <item>, </item>
      </candidateList>
      <explain>文本全半角错误。</explain>
      <paraID>3AC168DE</paraID>
      <start>41</start>
      <end>43</end>
      <status>modified</status>
      <modifiedWord>, </modifiedWord>
      <trackRevisions>false</trackRevisions>
    </reviewItem>
    <reviewItem>
      <errorID>847894a9-9dee-4c35-981a-adc3a4c03e9f</errorID>
      <errorWord>）</errorWord>
      <group>L1_Format</group>
      <groupName>格式问题</groupName>
      <ability>L2_HalfPunc</ability>
      <abilityName>全半角检查</abilityName>
      <candidateList>
        <item>)</item>
      </candidateList>
      <explain>文本全半角错误。</explain>
      <paraID>3AC168DE</paraID>
      <start>51</start>
      <end>52</end>
      <status>modified</status>
      <modifiedWord>)</modifiedWord>
      <trackRevisions>false</trackRevisions>
    </reviewItem>
    <reviewItem>
      <errorID>a0743305-5ff2-4f2a-a141-2d30e9348d26</errorID>
      <errorWord>-</errorWord>
      <group>L1_Format</group>
      <groupName>格式问题</groupName>
      <ability>L2_HalfPunc</ability>
      <abilityName>全半角检查</abilityName>
      <candidateList>
        <item>－</item>
      </candidateList>
      <explain>文本全半角错误。</explain>
      <paraID>26156F44</paraID>
      <start>65</start>
      <end>66</end>
      <status>modified</status>
      <modifiedWord>－</modifiedWord>
      <trackRevisions>false</trackRevisions>
    </reviewItem>
    <reviewItem>
      <errorID>862f047d-17d0-41f2-8f7d-d68e2d1c906a</errorID>
      <errorWord>-</errorWord>
      <group>L1_Format</group>
      <groupName>格式问题</groupName>
      <ability>L2_HalfPunc</ability>
      <abilityName>全半角检查</abilityName>
      <candidateList>
        <item>－</item>
      </candidateList>
      <explain>文本全半角错误。</explain>
      <paraID>662B6D0A</paraID>
      <start>67</start>
      <end>68</end>
      <status>modified</status>
      <modifiedWord>－</modifiedWord>
      <trackRevisions>false</trackRevisions>
    </reviewItem>
    <reviewItem>
      <errorID>30fe54cc-50b7-4379-986d-c454f2b3bed4</errorID>
      <errorWord>~</errorWord>
      <group>L1_Format</group>
      <groupName>格式问题</groupName>
      <ability>L2_HalfPunc</ability>
      <abilityName>全半角检查</abilityName>
      <candidateList>
        <item>～</item>
      </candidateList>
      <explain>文本全半角错误。</explain>
      <paraID>7524B723</paraID>
      <start>79</start>
      <end>80</end>
      <status>modified</status>
      <modifiedWord>～</modifiedWord>
      <trackRevisions>false</trackRevisions>
    </reviewItem>
    <reviewItem>
      <errorID>d2cc474b-cd3a-40a8-8eb2-7b7e04a5a0c9</errorID>
      <errorWord>污</errorWord>
      <group>L1_Word</group>
      <groupName>字词问题</groupName>
      <ability>L2_Typo</ability>
      <abilityName>字词错误</abilityName>
      <candidateList>
        <item>污量</item>
      </candidateList>
      <explain/>
      <paraID>7524B723</paraID>
      <start>101</start>
      <end>102</end>
      <status>ignored</status>
      <modifiedWord/>
      <trackRevisions>false</trackRevisions>
    </reviewItem>
    <reviewItem>
      <errorID>dab4b7e6-8f7c-4c73-8482-dc83caec80fc</errorID>
      <errorWord>试油废水</errorWord>
      <group>L1_Knowledge</group>
      <groupName>知识性问题</groupName>
      <ability>L2_Term</ability>
      <abilityName>专业术语</abilityName>
      <candidateList>
        <item>含油废水</item>
      </candidateList>
      <explain/>
      <paraID>39EA5682</paraID>
      <start>0</start>
      <end>4</end>
      <status>ignored</status>
      <modifiedWord/>
      <trackRevisions>false</trackRevisions>
    </reviewItem>
    <reviewItem>
      <errorID>25181650-2b0a-4ea8-abbd-32f04244711d</errorID>
      <errorWord>下土深度</errorWord>
      <group>L1_Knowledge</group>
      <groupName>知识性问题</groupName>
      <ability>L2_Term</ability>
      <abilityName>专业术语</abilityName>
      <candidateList>
        <item>覆土深度</item>
      </candidateList>
      <explain/>
      <paraID>7D202F0B</paraID>
      <start>25</start>
      <end>29</end>
      <status>ignored</status>
      <modifiedWord/>
      <trackRevisions>false</trackRevisions>
    </reviewItem>
    <reviewItem>
      <errorID>3e80c5fa-9638-4fb7-9d4f-f5f6378f2e46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507A628D</paraID>
      <start>66</start>
      <end>67</end>
      <status>modified</status>
      <modifiedWord>—</modifiedWord>
      <trackRevisions>false</trackRevisions>
    </reviewItem>
    <reviewItem>
      <errorID>f9d2a2dd-c701-4091-a185-937f64f1e0a9</errorID>
      <errorWord>（</errorWord>
      <group>L1_Format</group>
      <groupName>格式问题</groupName>
      <ability>L2_HalfPunc</ability>
      <abilityName>全半角检查</abilityName>
      <candidateList>
        <item>(</item>
      </candidateList>
      <explain>文本全半角错误。</explain>
      <paraID>19821929</paraID>
      <start>0</start>
      <end>1</end>
      <status>modified</status>
      <modifiedWord>(</modifiedWord>
      <trackRevisions>false</trackRevisions>
    </reviewItem>
    <reviewItem>
      <errorID>f3a62bcb-ab44-4d9f-b463-a5442355bed6</errorID>
      <errorWord>）</errorWord>
      <group>L1_Format</group>
      <groupName>格式问题</groupName>
      <ability>L2_HalfPunc</ability>
      <abilityName>全半角检查</abilityName>
      <candidateList>
        <item>)</item>
      </candidateList>
      <explain>文本全半角错误。</explain>
      <paraID>19821929</paraID>
      <start>3</start>
      <end>4</end>
      <status>modified</status>
      <modifiedWord>)</modifiedWord>
      <trackRevisions>false</trackRevisions>
    </reviewItem>
    <reviewItem>
      <errorID>c71bd815-9c53-4880-9e2c-bd3401d8f416</errorID>
      <errorWord>（</errorWord>
      <group>L1_Format</group>
      <groupName>格式问题</groupName>
      <ability>L2_HalfPunc</ability>
      <abilityName>全半角检查</abilityName>
      <candidateList>
        <item>(</item>
      </candidateList>
      <explain>文本全半角错误。</explain>
      <paraID>1F018CD6</paraID>
      <start>0</start>
      <end>1</end>
      <status>modified</status>
      <modifiedWord>(</modifiedWord>
      <trackRevisions>false</trackRevisions>
    </reviewItem>
    <reviewItem>
      <errorID>1b15071d-dc1d-40f5-99c2-f3b8b3aa3308</errorID>
      <errorWord>）</errorWord>
      <group>L1_Format</group>
      <groupName>格式问题</groupName>
      <ability>L2_HalfPunc</ability>
      <abilityName>全半角检查</abilityName>
      <candidateList>
        <item>)</item>
      </candidateList>
      <explain>文本全半角错误。</explain>
      <paraID>1F018CD6</paraID>
      <start>3</start>
      <end>4</end>
      <status>modified</status>
      <modifiedWord>)</modifiedWord>
      <trackRevisions>false</trackRevisions>
    </reviewItem>
    <reviewItem>
      <errorID>235f1c49-a4ee-473a-8ab0-aa587c281563</errorID>
      <errorWord>期</errorWord>
      <group>L1_Word</group>
      <groupName>字词问题</groupName>
      <ability>L2_Typo</ability>
      <abilityName>字词错误</abilityName>
      <candidateList>
        <item>期间</item>
      </candidateList>
      <explain>〈名〉某个时期里面：农忙～｜春节～｜抗战～。</explain>
      <paraID>540337A8</paraID>
      <start>2</start>
      <end>3</end>
      <status>ignored</status>
      <modifiedWord/>
      <trackRevisions>false</trackRevisions>
    </reviewItem>
    <reviewItem>
      <errorID>972185a6-0972-469a-a8e5-637ca191d82f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7E71DCB2</paraID>
      <start>138</start>
      <end>139</end>
      <status>modified</status>
      <modifiedWord>—</modifiedWord>
      <trackRevisions>false</trackRevisions>
    </reviewItem>
    <reviewItem>
      <errorID>59e3d5ec-e490-49b2-a484-2720a87d5189</errorID>
      <errorWord>)</errorWord>
      <group>L1_Format</group>
      <groupName>格式问题</groupName>
      <ability>L2_HalfPunc</ability>
      <abilityName>全半角检查</abilityName>
      <candidateList>
        <item>）</item>
      </candidateList>
      <explain>文本全半角错误。</explain>
      <paraID>65B029F7</paraID>
      <start>9</start>
      <end>10</end>
      <status>modified</status>
      <modifiedWord>）</modifiedWord>
      <trackRevisions>false</trackRevisions>
    </reviewItem>
    <reviewItem>
      <errorID>1820e1e5-fbb1-4afa-9a67-2c4cd9d60095</errorID>
      <errorWord>（</errorWord>
      <group>L1_Format</group>
      <groupName>格式问题</groupName>
      <ability>L2_HalfPunc</ability>
      <abilityName>全半角检查</abilityName>
      <candidateList>
        <item>(</item>
      </candidateList>
      <explain>文本全半角错误。</explain>
      <paraID>75EEECEA</paraID>
      <start>0</start>
      <end>1</end>
      <status>modified</status>
      <modifiedWord>(</modifiedWord>
      <trackRevisions>false</trackRevisions>
    </reviewItem>
    <reviewItem>
      <errorID>ac8ca4eb-6cb2-4ab1-9446-490ca7c1c7f4</errorID>
      <errorWord>）</errorWord>
      <group>L1_Format</group>
      <groupName>格式问题</groupName>
      <ability>L2_HalfPunc</ability>
      <abilityName>全半角检查</abilityName>
      <candidateList>
        <item>)</item>
      </candidateList>
      <explain>文本全半角错误。</explain>
      <paraID>6A03B18F</paraID>
      <start>3</start>
      <end>4</end>
      <status>modified</status>
      <modifiedWord>)</modifiedWord>
      <trackRevisions>false</trackRevisions>
    </reviewItem>
    <reviewItem>
      <errorID>73737255-004a-48ed-950b-d9206af0e817</errorID>
      <errorWord>（</errorWord>
      <group>L1_Format</group>
      <groupName>格式问题</groupName>
      <ability>L2_HalfPunc</ability>
      <abilityName>全半角检查</abilityName>
      <candidateList>
        <item>(</item>
      </candidateList>
      <explain>文本全半角错误。</explain>
      <paraID>3E27CC64</paraID>
      <start>0</start>
      <end>1</end>
      <status>modified</status>
      <modifiedWord>(</modifiedWord>
      <trackRevisions>false</trackRevisions>
    </reviewItem>
    <reviewItem>
      <errorID>5e5752e6-1458-49fa-ad7a-b183c31a37d5</errorID>
      <errorWord>）</errorWord>
      <group>L1_Format</group>
      <groupName>格式问题</groupName>
      <ability>L2_HalfPunc</ability>
      <abilityName>全半角检查</abilityName>
      <candidateList>
        <item>)</item>
      </candidateList>
      <explain>文本全半角错误。</explain>
      <paraID>17D8EBBA</paraID>
      <start>3</start>
      <end>4</end>
      <status>modified</status>
      <modifiedWord>)</modifiedWord>
      <trackRevisions>false</trackRevisions>
    </reviewItem>
    <reviewItem>
      <errorID>448d449f-06ba-429f-859f-226f35ade1b4</errorID>
      <errorWord>1.1～6.4%</errorWord>
      <group>L1_Knowledge</group>
      <groupName>知识性问题</groupName>
      <ability>L2_Knowledge</ability>
      <abilityName>其他知识</abilityName>
      <candidateList>
        <item>1.1%～6.4%</item>
      </candidateList>
      <explain>1. “1.1～6.4%”中的单位“%”仅出现在后一个数字上，容易引起歧义；根据《现代汉语标点符号数字用法规范手册》，数字表示范围两边需要使用统一的格式。2. 根据标点国标 4.13 中的规则，数字、时间或地域连接符应使用（视觉上更长的）“—”或“～”。</explain>
      <paraID>1A0EB70E</paraID>
      <start>40</start>
      <end>49</end>
      <status>modified</status>
      <modifiedWord>1.1%～6.4%</modifiedWord>
      <trackRevisions>false</trackRevisions>
    </reviewItem>
    <reviewItem>
      <errorID>b84d1550-8e89-460f-9df0-233b69594694</errorID>
      <errorWord>5～14%</errorWord>
      <group>L1_Knowledge</group>
      <groupName>知识性问题</groupName>
      <ability>L2_Knowledge</ability>
      <abilityName>其他知识</abilityName>
      <candidateList>
        <item>5%～14%</item>
      </candidateList>
      <explain>1. “5～14%”中的单位“%”仅出现在后一个数字上，容易引起歧义；根据《现代汉语标点符号数字用法规范手册》，数字表示范围两边需要使用统一的格式。2. 根据标点国标 4.13 中的规则，数字、时间或地域连接符应使用（视觉上更长的）“—”或“～”。</explain>
      <paraID>3C63CCD7</paraID>
      <start>19</start>
      <end>25</end>
      <status>modified</status>
      <modifiedWord>5%～14%</modifiedWord>
      <trackRevisions>false</trackRevisions>
    </reviewItem>
    <reviewItem>
      <errorID>72ad36f6-f054-47c2-9dde-8b8ccff9e324</errorID>
      <errorWord>(</errorWord>
      <group>L1_Format</group>
      <groupName>格式问题</groupName>
      <ability>L2_HalfPunc</ability>
      <abilityName>全半角检查</abilityName>
      <candidateList>
        <item>（</item>
      </candidateList>
      <explain>文本全半角错误。</explain>
      <paraID> B33DA88</paraID>
      <start>4</start>
      <end>5</end>
      <status>modified</status>
      <modifiedWord>（</modifiedWord>
      <trackRevisions>false</trackRevisions>
    </reviewItem>
    <reviewItem>
      <errorID>45afa363-7cd2-472f-b489-1cf3b36e857c</errorID>
      <errorWord>)</errorWord>
      <group>L1_Format</group>
      <groupName>格式问题</groupName>
      <ability>L2_HalfPunc</ability>
      <abilityName>全半角检查</abilityName>
      <candidateList>
        <item>）</item>
      </candidateList>
      <explain>文本全半角错误。</explain>
      <paraID> B33DA88</paraID>
      <start>15</start>
      <end>16</end>
      <status>modified</status>
      <modifiedWord>）</modifiedWord>
      <trackRevisions>false</trackRevisions>
    </reviewItem>
    <reviewItem>
      <errorID>4b80ee7a-09d3-45db-8d74-e43d40d6b7fe</errorID>
      <errorWord>(</errorWord>
      <group>L1_Format</group>
      <groupName>格式问题</groupName>
      <ability>L2_HalfPunc</ability>
      <abilityName>全半角检查</abilityName>
      <candidateList>
        <item>（</item>
      </candidateList>
      <explain>文本全半角错误。</explain>
      <paraID>5F535CFC</paraID>
      <start>17</start>
      <end>18</end>
      <status>modified</status>
      <modifiedWord>（</modifiedWord>
      <trackRevisions>false</trackRevisions>
    </reviewItem>
    <reviewItem>
      <errorID>d25c042c-750c-47aa-8fdb-fce1ab78c8a9</errorID>
      <errorWord>)</errorWord>
      <group>L1_Format</group>
      <groupName>格式问题</groupName>
      <ability>L2_HalfPunc</ability>
      <abilityName>全半角检查</abilityName>
      <candidateList>
        <item>）</item>
      </candidateList>
      <explain>文本全半角错误。</explain>
      <paraID>5F535CFC</paraID>
      <start>23</start>
      <end>24</end>
      <status>modified</status>
      <modifiedWord>）</modifiedWord>
      <trackRevisions>false</trackRevisions>
    </reviewItem>
    <reviewItem>
      <errorID>767e81ae-50a1-431a-9da8-fafb3759b34a</errorID>
      <errorWord>(</errorWord>
      <group>L1_Format</group>
      <groupName>格式问题</groupName>
      <ability>L2_HalfPunc</ability>
      <abilityName>全半角检查</abilityName>
      <candidateList>
        <item>（</item>
      </candidateList>
      <explain>文本全半角错误。</explain>
      <paraID> 55CC147</paraID>
      <start>97</start>
      <end>98</end>
      <status>modified</status>
      <modifiedWord>（</modifiedWord>
      <trackRevisions>false</trackRevisions>
    </reviewItem>
    <reviewItem>
      <errorID>7329f293-504c-4e8f-ae4f-566cd6a21cbd</errorID>
      <errorWord>)</errorWord>
      <group>L1_Format</group>
      <groupName>格式问题</groupName>
      <ability>L2_HalfPunc</ability>
      <abilityName>全半角检查</abilityName>
      <candidateList>
        <item>）</item>
      </candidateList>
      <explain>文本全半角错误。</explain>
      <paraID> 55CC147</paraID>
      <start>109</start>
      <end>110</end>
      <status>modified</status>
      <modifiedWord>）</modifiedWord>
      <trackRevisions>false</trackRevisions>
    </reviewItem>
    <reviewItem>
      <errorID>5cdba6aa-81c7-48fe-adfc-b0cad3769f01</errorID>
      <errorWord>闪电型</errorWord>
      <group>L1_Word</group>
      <groupName>字词问题</groupName>
      <ability>L2_Typo</ability>
      <abilityName>字词错误</abilityName>
      <candidateList>
        <item>闪电性</item>
      </candidateList>
      <explain/>
      <paraID> 55CC147</paraID>
      <start>132</start>
      <end>135</end>
      <status>ignored</status>
      <modifiedWord/>
      <trackRevisions>false</trackRevisions>
    </reviewItem>
    <reviewItem>
      <errorID>7552c5a9-9078-44d0-94a1-149682682420</errorID>
      <errorWord>燃烧炸</errorWord>
      <group>L1_Word</group>
      <groupName>字词问题</groupName>
      <ability>L2_Typo</ability>
      <abilityName>字词错误</abilityName>
      <candidateList>
        <item>燃烧</item>
      </candidateList>
      <explain/>
      <paraID>526F7FCF</paraID>
      <start>27</start>
      <end>29</end>
      <status>modified</status>
      <modifiedWord>燃烧</modifiedWord>
      <trackRevisions>false</trackRevisions>
    </reviewItem>
    <reviewItem>
      <errorID>c365c4ec-d076-4541-bdab-7d9b4e1bdab7</errorID>
      <errorWord>其它</errorWord>
      <group>L1_Word</group>
      <groupName>字词问题</groupName>
      <ability>L2_Alias</ability>
      <abilityName>也作/曾用词</abilityName>
      <candidateList>
        <item>其他</item>
      </candidateList>
      <explain>词汇[其它]为不规范表述或旧称，其规范书面表述为[其他]。</explain>
      <paraID>526F7FCF</paraID>
      <start>40</start>
      <end>42</end>
      <status>modified</status>
      <modifiedWord>其他</modifiedWord>
      <trackRevisions>false</trackRevisions>
    </reviewItem>
    <reviewItem>
      <errorID>bdc6352f-9f19-4e5f-b537-e765b38d94d9</errorID>
      <errorWord>人口稀少</errorWord>
      <group>L1_Knowledge</group>
      <groupName>知识性问题</groupName>
      <ability>L2_Idiom</ability>
      <abilityName>成语和诗歌</abilityName>
      <candidateList>
        <item>人烟稀少</item>
      </candidateList>
      <explain/>
      <paraID>6E98A1EE</paraID>
      <start>93</start>
      <end>97</end>
      <status>ignored</status>
      <modifiedWord/>
      <trackRevisions>false</trackRevisions>
    </reviewItem>
    <reviewItem>
      <errorID>f4598fc1-fc07-441a-9810-a8d788b2ea51</errorID>
      <errorWord>降低</errorWord>
      <group>L1_Grammar</group>
      <groupName>语法问题</groupName>
      <ability>L2_Grammar</ability>
      <abilityName>语法错误</abilityName>
      <candidateList>
        <item>防止</item>
      </candidateList>
      <explain>“降低～发生”搭配不当，建议修改为“防止～发生”。</explain>
      <paraID>3D696944</paraID>
      <start>278</start>
      <end>280</end>
      <status>ignored</status>
      <modifiedWord/>
      <trackRevisions>false</trackRevisions>
    </reviewItem>
    <reviewItem>
      <errorID>c495588c-899b-46bd-95f7-afd6a583c936</errorID>
      <errorWord>粘附</errorWord>
      <group>L1_Word</group>
      <groupName>字词问题</groupName>
      <ability>L2_Alias</ability>
      <abilityName>也作/曾用词</abilityName>
      <candidateList>
        <item>黏附</item>
      </candidateList>
      <explain>词汇[粘附]为不规范表述或旧称，其规范书面表述为[黏附]。</explain>
      <paraID>4FB3DCFB</paraID>
      <start>28</start>
      <end>30</end>
      <status>ignored</status>
      <modifiedWord/>
      <trackRevisions>false</trackRevisions>
    </reviewItem>
    <reviewItem>
      <errorID>243b1c3a-8490-41d0-91e2-b73a3d39957e</errorID>
      <errorWord>组份</errorWord>
      <group>L1_Word</group>
      <groupName>字词问题</groupName>
      <ability>L2_Variant</ability>
      <abilityName>异形词</abilityName>
      <candidateList>
        <item>组分</item>
      </candidateList>
      <explain>词汇[组份]的规范词形写作[组分]。</explain>
      <paraID>4FB3DCFB</paraID>
      <start>104</start>
      <end>106</end>
      <status>ignored</status>
      <modifiedWord/>
      <trackRevisions>false</trackRevisions>
    </reviewItem>
    <reviewItem>
      <errorID>2ac30ce6-76ac-4346-8bb3-56fcba442721</errorID>
      <errorWord>洒落</errorWord>
      <group>L1_Word</group>
      <groupName>字词问题</groupName>
      <ability>L2_Typo</ability>
      <abilityName>字词错误</abilityName>
      <candidateList>
        <item>撒落</item>
      </candidateList>
      <explain/>
      <paraID>27C77569</paraID>
      <start>49</start>
      <end>51</end>
      <status>ignored</status>
      <modifiedWord/>
      <trackRevisions>false</trackRevisions>
    </reviewItem>
    <reviewItem>
      <errorID>96839336-4b2b-4f61-bbe9-b9d8f2cd45b5</errorID>
      <errorWord>其环境影响评价</errorWord>
      <group>L1_Knowledge</group>
      <groupName>知识性问题</groupName>
      <ability>L2_Term</ability>
      <abilityName>专业术语</abilityName>
      <candidateList>
        <item>声环境影响评价</item>
      </candidateList>
      <explain/>
      <paraID>4C44F49B</paraID>
      <start>49</start>
      <end>56</end>
      <status>ignored</status>
      <modifiedWord/>
      <trackRevisions>false</trackRevisions>
    </reviewItem>
    <reviewItem>
      <errorID>9ed898c1-d26b-41b4-9971-fc09559b0e95</errorID>
      <errorWord>井井</errorWord>
      <group>L1_Word</group>
      <groupName>字词问题</groupName>
      <ability>L2_Typo</ability>
      <abilityName>字词错误</abilityName>
      <candidateList>
        <item>井</item>
      </candidateList>
      <explain/>
      <paraID>66D77B70</paraID>
      <start>1</start>
      <end>2</end>
      <status>modified</status>
      <modifiedWord>井</modifiedWord>
      <trackRevisions>false</trackRevisions>
    </reviewItem>
    <reviewItem>
      <errorID>ae2d51d8-8bbc-4612-a185-466885650677</errorID>
      <errorWord>可</errorWord>
      <group>L1_Word</group>
      <groupName>字词问题</groupName>
      <ability>L2_Typo</ability>
      <abilityName>字词错误</abilityName>
      <candidateList>
        <item>可得</item>
      </candidateList>
      <explain/>
      <paraID>73A761A2</paraID>
      <start>155</start>
      <end>157</end>
      <status>modified</status>
      <modifiedWord>可得</modifiedWord>
      <trackRevisions>false</trackRevisions>
    </reviewItem>
    <reviewItem>
      <errorID>35d43104-c738-4ad6-b2ed-9803ffc545c2</errorID>
      <errorWord>稀疏壳</errorWord>
      <group>L1_Word</group>
      <groupName>字词问题</groupName>
      <ability>L2_Typo</ability>
      <abilityName>字词错误</abilityName>
      <candidateList>
        <item>稀疏</item>
      </candidateList>
      <explain/>
      <paraID>649788FB</paraID>
      <start>26</start>
      <end>28</end>
      <status>modified</status>
      <modifiedWord>稀疏</modifiedWord>
      <trackRevisions>false</trackRevisions>
    </reviewItem>
    <reviewItem>
      <errorID>12b4b3a8-4c50-4499-8602-87f7ee8f5909</errorID>
      <errorWord>减缓</errorWord>
      <group>L1_Grammar</group>
      <groupName>语法问题</groupName>
      <ability>L2_Grammar</ability>
      <abilityName>语法错误</abilityName>
      <candidateList>
        <item>减少</item>
      </candidateList>
      <explain>“最大限度～减缓”搭配不当，建议修改为“最大限度～减少”。</explain>
      <paraID>649788FB</paraID>
      <start>175</start>
      <end>177</end>
      <status>ignored</status>
      <modifiedWord/>
      <trackRevisions>false</trackRevisions>
    </reviewItem>
    <reviewItem>
      <errorID>8c9b9699-fda9-433a-819f-06fc3888c635</errorID>
      <errorWord>提高</errorWord>
      <group>L1_Grammar</group>
      <groupName>语法问题</groupName>
      <ability>L2_Grammar</ability>
      <abilityName>语法错误</abilityName>
      <candidateList>
        <item>增强</item>
      </candidateList>
      <explain>“提高～意识”搭配不当，建议修改为“增强～意识”。</explain>
      <paraID>66F84362</paraID>
      <start>18</start>
      <end>20</end>
      <status>modified</status>
      <modifiedWord>增强</modifiedWord>
      <trackRevisions>false</trackRevisions>
    </reviewItem>
    <reviewItem>
      <errorID>a8ca49ac-4a2d-4d6a-b8e0-e1ce7c5f1072</errorID>
      <errorWord>）中</errorWord>
      <group>L1_Word</group>
      <groupName>字词问题</groupName>
      <ability>L2_Typo</ability>
      <abilityName>字词错误</abilityName>
      <candidateList>
        <item>）</item>
      </candidateList>
      <explain/>
      <paraID>63DDEC87</paraID>
      <start>43</start>
      <end>44</end>
      <status>modified</status>
      <modifiedWord>）</modifiedWord>
      <trackRevisions>false</trackRevisions>
    </reviewItem>
    <reviewItem>
      <errorID>55ce2a84-7610-4e84-bd3b-e8ecc6cd345c</errorID>
      <errorWord>以示明</errorWord>
      <group>L1_Word</group>
      <groupName>字词问题</groupName>
      <ability>L2_Typo</ability>
      <abilityName>字词错误</abilityName>
      <candidateList>
        <item>以示</item>
      </candidateList>
      <explain/>
      <paraID>69276442</paraID>
      <start>27</start>
      <end>29</end>
      <status>modified</status>
      <modifiedWord>以示</modifiedWord>
      <trackRevisions>false</trackRevisions>
    </reviewItem>
    <reviewItem>
      <errorID>0cee13d0-4daf-40e4-8e40-e5373fd60ef2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300957FF</paraID>
      <start>24</start>
      <end>27</end>
      <status>ignored</status>
      <modifiedWord/>
      <trackRevisions>false</trackRevisions>
    </reviewItem>
    <reviewItem>
      <errorID>6b9ffdcf-31b9-43f7-868b-00c76faeade9</errorID>
      <errorWord>探</errorWord>
      <group>L1_Word</group>
      <groupName>字词问题</groupName>
      <ability>L2_Typo</ability>
      <abilityName>字词错误</abilityName>
      <candidateList>
        <item>沿</item>
      </candidateList>
      <explain>存在发音相近字词的误用。</explain>
      <paraID>300957FF</paraID>
      <start>102</start>
      <end>103</end>
      <status>ignored</status>
      <modifiedWord/>
      <trackRevisions>false</trackRevisions>
    </reviewItem>
    <reviewItem>
      <errorID>f025907d-d81b-4d01-9abc-b639986287f7</errorID>
      <errorWord>(</errorWord>
      <group>L1_Format</group>
      <groupName>格式问题</groupName>
      <ability>L2_HalfPunc</ability>
      <abilityName>全半角检查</abilityName>
      <candidateList>
        <item>（</item>
      </candidateList>
      <explain>文本全半角错误。</explain>
      <paraID>53CA1803</paraID>
      <start>25</start>
      <end>26</end>
      <status>modified</status>
      <modifiedWord>（</modifiedWord>
      <trackRevisions>false</trackRevisions>
    </reviewItem>
    <reviewItem>
      <errorID>2b41b697-9e85-474b-a087-7cc093f33d95</errorID>
      <errorWord>)</errorWord>
      <group>L1_Format</group>
      <groupName>格式问题</groupName>
      <ability>L2_HalfPunc</ability>
      <abilityName>全半角检查</abilityName>
      <candidateList>
        <item>）</item>
      </candidateList>
      <explain>文本全半角错误。</explain>
      <paraID>53CA1803</paraID>
      <start>36</start>
      <end>37</end>
      <status>modified</status>
      <modifiedWord>）</modifiedWord>
      <trackRevisions>false</trackRevisions>
    </reviewItem>
    <reviewItem>
      <errorID>ea9f5df7-6be8-498e-81eb-668835efe7ab</errorID>
      <errorWord>期</errorWord>
      <group>L1_Word</group>
      <groupName>字词问题</groupName>
      <ability>L2_Typo</ability>
      <abilityName>字词错误</abilityName>
      <candidateList>
        <item>期间</item>
      </candidateList>
      <explain>〈名〉某个时期里面：农忙～｜春节～｜抗战～。</explain>
      <paraID>783283BA</paraID>
      <start>103</start>
      <end>104</end>
      <status>ignored</status>
      <modifiedWord/>
      <trackRevisions>false</trackRevisions>
    </reviewItem>
    <reviewItem>
      <errorID>41c4b357-714e-412b-a576-2cc6ea0318bf</errorID>
      <errorWord>，为</errorWord>
      <group>L1_Word</group>
      <groupName>字词问题</groupName>
      <ability>L2_Typo</ability>
      <abilityName>字词错误</abilityName>
      <candidateList>
        <item>，</item>
      </candidateList>
      <explain/>
      <paraID>4185CEAC</paraID>
      <start>26</start>
      <end>27</end>
      <status>modified</status>
      <modifiedWord>，</modifiedWord>
      <trackRevisions>false</trackRevisions>
    </reviewItem>
    <reviewItem>
      <errorID>cb235b3d-b6f2-4f98-bc93-d9e41d9fb424</errorID>
      <errorWord>试油废水</errorWord>
      <group>L1_Knowledge</group>
      <groupName>知识性问题</groupName>
      <ability>L2_Term</ability>
      <abilityName>专业术语</abilityName>
      <candidateList>
        <item>含油废水</item>
      </candidateList>
      <explain/>
      <paraID>1DFB22E0</paraID>
      <start>241</start>
      <end>245</end>
      <status>ignored</status>
      <modifiedWord/>
      <trackRevisions>false</trackRevisions>
    </reviewItem>
    <reviewItem>
      <errorID>f470a3fb-74ae-4591-b6d2-ae15d98cfa40</errorID>
      <errorWord>~</errorWord>
      <group>L1_Format</group>
      <groupName>格式问题</groupName>
      <ability>L2_HalfPunc</ability>
      <abilityName>全半角检查</abilityName>
      <candidateList>
        <item>～</item>
      </candidateList>
      <explain>文本全半角错误。</explain>
      <paraID>3D225076</paraID>
      <start>137</start>
      <end>138</end>
      <status>modified</status>
      <modifiedWord>～</modifiedWord>
      <trackRevisions>false</trackRevisions>
    </reviewItem>
    <reviewItem>
      <errorID>b16c0f62-9831-4cc3-b897-20f94e59f8f2</errorID>
      <errorWord>水泥浆返</errorWord>
      <group>L1_Knowledge</group>
      <groupName>知识性问题</groupName>
      <ability>L2_Term</ability>
      <abilityName>专业术语</abilityName>
      <candidateList>
        <item>水泥浆液</item>
      </candidateList>
      <explain/>
      <paraID> ADF3A0D</paraID>
      <start>35</start>
      <end>39</end>
      <status>ignored</status>
      <modifiedWord/>
      <trackRevisions>false</trackRevisions>
    </reviewItem>
    <reviewItem>
      <errorID>86bfe890-b7da-4593-89af-2b9d83780aa3</errorID>
      <errorWord>水泥浆均</errorWord>
      <group>L1_Knowledge</group>
      <groupName>知识性问题</groupName>
      <ability>L2_Term</ability>
      <abilityName>专业术语</abilityName>
      <candidateList>
        <item>水泥浆液</item>
      </candidateList>
      <explain/>
      <paraID>30C2BC52</paraID>
      <start>48</start>
      <end>52</end>
      <status>ignored</status>
      <modifiedWord/>
      <trackRevisions>false</trackRevisions>
    </reviewItem>
    <reviewItem>
      <errorID>d3805c4c-b4b6-4a51-821a-35142d1fc932</errorID>
      <errorWord>固废废物</errorWord>
      <group>L1_Word</group>
      <groupName>字词问题</groupName>
      <ability>L2_Typo</ability>
      <abilityName>字词错误</abilityName>
      <candidateList>
        <item>固体废物</item>
      </candidateList>
      <explain/>
      <paraID>7AA08019</paraID>
      <start>3</start>
      <end>7</end>
      <status>modified</status>
      <modifiedWord>固体废物</modifiedWord>
      <trackRevisions>false</trackRevisions>
    </reviewItem>
    <reviewItem>
      <errorID>6ff29091-a479-43e2-acc9-950c96a2937d</errorID>
      <errorWord>发生能</errorWord>
      <group>L1_Word</group>
      <groupName>字词问题</groupName>
      <ability>L2_Typo</ability>
      <abilityName>字词错误</abilityName>
      <candidateList>
        <item>发生</item>
      </candidateList>
      <explain>〈动〉❶原来没有的事出现了；产生：～变化｜～事故｜～关系。❷卵子受精后逐渐生长。</explain>
      <paraID>69F70D8E</paraID>
      <start>60</start>
      <end>63</end>
      <status>ignored</status>
      <modifiedWord/>
      <trackRevisions>false</trackRevisions>
    </reviewItem>
    <reviewItem>
      <errorID>81219c13-81ab-4f18-8e39-4735b0ae8aab</errorID>
      <errorWord>腐蚀余量</errorWord>
      <group>L1_Knowledge</group>
      <groupName>知识性问题</groupName>
      <ability>L2_Term</ability>
      <abilityName>专业术语</abilityName>
      <candidateList>
        <item>汽蚀余量</item>
      </candidateList>
      <explain/>
      <paraID>6D2F63B9</paraID>
      <start>32</start>
      <end>36</end>
      <status>ignored</status>
      <modifiedWord/>
      <trackRevisions>false</trackRevisions>
    </reviewItem>
    <reviewItem>
      <errorID>f8213f1b-8064-4320-9c58-d1407c416a51</errorID>
      <errorWord>需</errorWord>
      <group>L1_Word</group>
      <groupName>字词问题</groupName>
      <ability>L2_Typo</ability>
      <abilityName>字词错误</abilityName>
      <candidateList>
        <item>须</item>
      </candidateList>
      <explain>存在发音相同字词的误用。</explain>
      <paraID>50CBA703</paraID>
      <start>7</start>
      <end>8</end>
      <status>ignored</status>
      <modifiedWord/>
      <trackRevisions>false</trackRevisions>
    </reviewItem>
    <reviewItem>
      <errorID>bd570709-6fc6-4b94-befb-5e488a83b5c6</errorID>
      <errorWord>监测仪</errorWord>
      <group>L1_Word</group>
      <groupName>字词问题</groupName>
      <ability>L2_Typo</ability>
      <abilityName>字词错误</abilityName>
      <candidateList>
        <item>检测仪</item>
      </candidateList>
      <explain/>
      <paraID>4F412BCF</paraID>
      <start>20</start>
      <end>23</end>
      <status>ignored</status>
      <modifiedWord/>
      <trackRevisions>false</trackRevisions>
    </reviewItem>
    <reviewItem>
      <errorID>c5f44ad7-bcb1-4ab5-8a9b-d266c8794313</errorID>
      <errorWord>,</errorWord>
      <group>L1_Format</group>
      <groupName>格式问题</groupName>
      <ability>L2_HalfPunc</ability>
      <abilityName>全半角检查</abilityName>
      <candidateList>
        <item>，</item>
      </candidateList>
      <explain>文本全半角错误。</explain>
      <paraID>7E8B4E9D</paraID>
      <start>98</start>
      <end>99</end>
      <status>modified</status>
      <modifiedWord>，</modifiedWord>
      <trackRevisions>false</trackRevisions>
    </reviewItem>
    <reviewItem>
      <errorID>6a3ca32a-e5f5-4d91-84b8-ba8eee328106</errorID>
      <errorWord>作法</errorWord>
      <group>L1_Word</group>
      <groupName>字词问题</groupName>
      <ability>L2_Typo</ability>
      <abilityName>字词错误</abilityName>
      <candidateList>
        <item>做法</item>
      </candidateList>
      <explain>存在发音相同字词的误用。</explain>
      <paraID>7A7C9418</paraID>
      <start>155</start>
      <end>157</end>
      <status>ignored</status>
      <modifiedWord/>
      <trackRevisions>false</trackRevisions>
    </reviewItem>
    <reviewItem>
      <errorID>92ccf448-a2cd-4cb3-8e93-3c989d0b473f</errorID>
      <errorWord>确保无</errorWord>
      <group>L1_Word</group>
      <groupName>字词问题</groupName>
      <ability>L2_Typo</ability>
      <abilityName>字词错误</abilityName>
      <candidateList>
        <item>确保</item>
      </candidateList>
      <explain>〈动〉确实地保持或保证：～交通畅通｜加强田间管理，～粮食丰收。</explain>
      <paraID>7A7C9418</paraID>
      <start>258</start>
      <end>261</end>
      <status>ignored</status>
      <modifiedWord/>
      <trackRevisions>false</trackRevisions>
    </reviewItem>
    <reviewItem>
      <errorID>d2f9e446-e3ca-4633-bbc8-eb5805275300</errorID>
      <errorWord>（</errorWord>
      <group>L1_Punc</group>
      <groupName>标点问题</groupName>
      <ability>L2_Punc</ability>
      <abilityName>标点符号检查</abilityName>
      <candidateList>
        <item/>
      </candidateList>
      <explain>同一形式括号套用。</explain>
      <paraID>42585CAD</paraID>
      <start>0</start>
      <end>0</end>
      <status>modified</status>
      <modifiedWord/>
      <trackRevisions>false</trackRevisions>
    </reviewItem>
    <reviewItem>
      <errorID>c74fe627-96fd-4d32-a9e8-80d205405bea</errorID>
      <errorWord>(</errorWord>
      <group>L1_Punc</group>
      <groupName>标点问题</groupName>
      <ability>L2_Punc</ability>
      <abilityName>标点符号检查</abilityName>
      <candidateList/>
      <explain>同一形式括号套用。</explain>
      <paraID>42585CAD</paraID>
      <start>27</start>
      <end>28</end>
      <status>ignored</status>
      <modifiedWord/>
      <trackRevisions>false</trackRevisions>
    </reviewItem>
    <reviewItem>
      <errorID>cd8b7734-ded9-42b3-a53f-ec0fab084a3c</errorID>
      <errorWord>)</errorWord>
      <group>L1_Punc</group>
      <groupName>标点问题</groupName>
      <ability>L2_Punc</ability>
      <abilityName>标点符号检查</abilityName>
      <candidateList/>
      <explain>同一形式括号套用。</explain>
      <paraID>42585CAD</paraID>
      <start>33</start>
      <end>34</end>
      <status>ignored</status>
      <modifiedWord/>
      <trackRevisions>false</trackRevisions>
    </reviewItem>
    <reviewItem>
      <errorID>68bed198-2c63-457d-9855-8728c68698a5</errorID>
      <errorWord>环评影响</errorWord>
      <group>L1_Word</group>
      <groupName>字词问题</groupName>
      <ability>L2_Typo</ability>
      <abilityName>字词错误</abilityName>
      <candidateList>
        <item>环境影响</item>
      </candidateList>
      <explain/>
      <paraID>21704DC4</paraID>
      <start>0</start>
      <end>4</end>
      <status>modified</status>
      <modifiedWord>环境影响</modifiedWord>
      <trackRevisions>false</trackRevisions>
    </reviewItem>
    <reviewItem>
      <errorID>7956ce97-67ef-49fa-b5c8-731c52263b8a</errorID>
      <errorWord>辗</errorWord>
      <group>L1_Word</group>
      <groupName>字词问题</groupName>
      <ability>L2_Typo</ability>
      <abilityName>字词错误</abilityName>
      <candidateList>
        <item>碾</item>
      </candidateList>
      <explain>存在发音相同字词的误用。</explain>
      <paraID> 377A5DC</paraID>
      <start>39</start>
      <end>40</end>
      <status>ignored</status>
      <modifiedWord/>
      <trackRevisions>false</trackRevisions>
    </reviewItem>
    <reviewItem>
      <errorID>d62e119b-1a72-490c-abce-e4205ed27b48</errorID>
      <errorWord>探</errorWord>
      <group>L1_Word</group>
      <groupName>字词问题</groupName>
      <ability>L2_Typo</ability>
      <abilityName>字词错误</abilityName>
      <candidateList>
        <item>沿</item>
      </candidateList>
      <explain>存在发音相近字词的误用。</explain>
      <paraID>6C049925</paraID>
      <start>44</start>
      <end>45</end>
      <status>ignored</status>
      <modifiedWord/>
      <trackRevisions>false</trackRevisions>
    </reviewItem>
    <reviewItem>
      <errorID>3f548438-3a2e-404e-a2c2-9704864152ea</errorID>
      <errorWord>(</errorWord>
      <group>L1_Format</group>
      <groupName>格式问题</groupName>
      <ability>L2_HalfPunc</ability>
      <abilityName>全半角检查</abilityName>
      <candidateList>
        <item>（</item>
      </candidateList>
      <explain>文本全半角错误。</explain>
      <paraID>4E5FAE02</paraID>
      <start>108</start>
      <end>109</end>
      <status>modified</status>
      <modifiedWord>（</modifiedWord>
      <trackRevisions>false</trackRevisions>
    </reviewItem>
    <reviewItem>
      <errorID>023716d5-d6b7-4e2f-82a0-92a47586c500</errorID>
      <errorWord>)</errorWord>
      <group>L1_Format</group>
      <groupName>格式问题</groupName>
      <ability>L2_HalfPunc</ability>
      <abilityName>全半角检查</abilityName>
      <candidateList>
        <item>）</item>
      </candidateList>
      <explain>文本全半角错误。</explain>
      <paraID>4E5FAE02</paraID>
      <start>121</start>
      <end>122</end>
      <status>modified</status>
      <modifiedWord>）</modifiedWord>
      <trackRevisions>false</trackRevisions>
    </reviewItem>
    <reviewItem>
      <errorID>7ab3e04d-3a9d-4d44-bb50-262a289e82a4</errorID>
      <errorWord>程</errorWord>
      <group>L1_Word</group>
      <groupName>字词问题</groupName>
      <ability>L2_Typo</ability>
      <abilityName>字词错误</abilityName>
      <candidateList>
        <item>程中</item>
      </candidateList>
      <explain/>
      <paraID>4A58979A</paraID>
      <start>38</start>
      <end>39</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a0d0fa-8f2f-4c6b-b529-8cd059d51a52}">
  <ds:schemaRefs/>
</ds:datastoreItem>
</file>

<file path=docProps/app.xml><?xml version="1.0" encoding="utf-8"?>
<Properties xmlns="http://schemas.openxmlformats.org/officeDocument/2006/extended-properties" xmlns:vt="http://schemas.openxmlformats.org/officeDocument/2006/docPropsVTypes">
  <Template>Normal</Template>
  <Pages>111</Pages>
  <Words>5554</Words>
  <Characters>5929</Characters>
  <Lines>2898</Lines>
  <Paragraphs>2397</Paragraphs>
  <TotalTime>1</TotalTime>
  <ScaleCrop>false</ScaleCrop>
  <LinksUpToDate>false</LinksUpToDate>
  <CharactersWithSpaces>6021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2025-07-04T11:49:00Z</dcterms:created>
  <dc:creator>Administrator</dc:creator>
  <cp:lastModifiedBy>小麦啾</cp:lastModifiedBy>
  <dcterms:modified xsi:type="dcterms:W3CDTF">2026-03-19T02:51:37Z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2025-07-11T17:57:40Z</vt:filetime>
  </property>
  <property fmtid="{D5CDD505-2E9C-101B-9397-08002B2CF9AE}" pid="4" name="KSOProductBuildVer">
    <vt:lpwstr>2052-12.1.0.24657</vt:lpwstr>
  </property>
  <property fmtid="{D5CDD505-2E9C-101B-9397-08002B2CF9AE}" pid="5" name="ICV">
    <vt:lpwstr>831C131FC48E4017BE381DA6A1D173BF_12</vt:lpwstr>
  </property>
  <property fmtid="{D5CDD505-2E9C-101B-9397-08002B2CF9AE}" pid="6" name="KSOTemplateDocerSaveRecord">
    <vt:lpwstr>eyJoZGlkIjoiM2Q5NDlmNDc3N2ZkYzk3ZGJmOTUwNTM0Mzc5MTVlNDMiLCJ1c2VySWQiOiIzMjQ5NjUzODcifQ==</vt:lpwstr>
  </property>
</Properties>
</file>