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D608F">
      <w:pPr>
        <w:rPr>
          <w:rFonts w:hint="eastAsia" w:ascii="宋体" w:hAnsi="宋体"/>
          <w:sz w:val="28"/>
        </w:rPr>
      </w:pPr>
      <w:bookmarkStart w:id="0" w:name="_Hlk57883707"/>
      <w:bookmarkStart w:id="85" w:name="_GoBack"/>
      <w:bookmarkEnd w:id="85"/>
      <w:r>
        <w:rPr>
          <w:rFonts w:ascii="宋体" w:hAnsi="宋体"/>
        </w:rPr>
        <w:drawing>
          <wp:inline distT="0" distB="0" distL="0" distR="0">
            <wp:extent cx="723265" cy="723265"/>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7">
                      <a:extLst>
                        <a:ext uri="{28A0092B-C50C-407E-A947-70E740481C1C}">
                          <a14:useLocalDpi xmlns:a14="http://schemas.microsoft.com/office/drawing/2010/main" val="0"/>
                        </a:ext>
                      </a:extLst>
                    </a:blip>
                    <a:srcRect b="31914"/>
                    <a:stretch>
                      <a:fillRect/>
                    </a:stretch>
                  </pic:blipFill>
                  <pic:spPr>
                    <a:xfrm>
                      <a:off x="0" y="0"/>
                      <a:ext cx="723265" cy="723265"/>
                    </a:xfrm>
                    <a:prstGeom prst="rect">
                      <a:avLst/>
                    </a:prstGeom>
                    <a:noFill/>
                    <a:ln>
                      <a:noFill/>
                    </a:ln>
                  </pic:spPr>
                </pic:pic>
              </a:graphicData>
            </a:graphic>
          </wp:inline>
        </w:drawing>
      </w:r>
      <w:r>
        <w:rPr>
          <w:rFonts w:ascii="宋体" w:hAnsi="宋体"/>
          <w:sz w:val="28"/>
        </w:rPr>
        <w:t xml:space="preserve"> </w:t>
      </w:r>
    </w:p>
    <w:p w14:paraId="4DDE06E5">
      <w:pPr>
        <w:ind w:firstLine="720"/>
        <w:rPr>
          <w:rFonts w:hint="eastAsia" w:ascii="宋体" w:hAnsi="宋体" w:cs="仿宋_GB2312"/>
          <w:sz w:val="36"/>
          <w:szCs w:val="36"/>
        </w:rPr>
      </w:pPr>
    </w:p>
    <w:p w14:paraId="59BB5AD4">
      <w:pPr>
        <w:ind w:firstLine="720"/>
        <w:rPr>
          <w:rFonts w:hint="eastAsia" w:ascii="宋体" w:hAnsi="宋体" w:cs="仿宋_GB2312"/>
          <w:sz w:val="36"/>
          <w:szCs w:val="36"/>
        </w:rPr>
      </w:pPr>
    </w:p>
    <w:p w14:paraId="0398567A">
      <w:pPr>
        <w:jc w:val="center"/>
        <w:rPr>
          <w:rFonts w:hint="eastAsia" w:ascii="宋体" w:hAnsi="宋体"/>
          <w:bCs/>
          <w:sz w:val="72"/>
          <w:szCs w:val="72"/>
        </w:rPr>
      </w:pPr>
      <w:r>
        <w:rPr>
          <w:rFonts w:hint="eastAsia" w:ascii="宋体" w:hAnsi="宋体" w:cs="微软雅黑"/>
          <w:bCs/>
          <w:sz w:val="72"/>
          <w:szCs w:val="72"/>
        </w:rPr>
        <w:t>建设项目环境影响报告表</w:t>
      </w:r>
    </w:p>
    <w:p w14:paraId="063A4989">
      <w:pPr>
        <w:adjustRightInd w:val="0"/>
        <w:snapToGrid w:val="0"/>
        <w:spacing w:before="192" w:beforeLines="80"/>
        <w:jc w:val="center"/>
        <w:rPr>
          <w:rFonts w:hint="eastAsia" w:ascii="宋体" w:hAnsi="宋体"/>
          <w:bCs/>
          <w:sz w:val="48"/>
          <w:szCs w:val="48"/>
        </w:rPr>
      </w:pPr>
      <w:r>
        <w:rPr>
          <w:rFonts w:hint="eastAsia" w:ascii="宋体" w:hAnsi="宋体"/>
          <w:bCs/>
          <w:sz w:val="48"/>
          <w:szCs w:val="48"/>
        </w:rPr>
        <w:t>（生态影响类）</w:t>
      </w:r>
    </w:p>
    <w:p w14:paraId="0523BDA0">
      <w:pPr>
        <w:pStyle w:val="3"/>
        <w:tabs>
          <w:tab w:val="left" w:pos="6497"/>
        </w:tabs>
        <w:ind w:firstLine="196" w:firstLineChars="41"/>
        <w:jc w:val="center"/>
        <w:rPr>
          <w:rFonts w:hint="eastAsia"/>
        </w:rPr>
      </w:pPr>
      <w:r>
        <w:rPr>
          <w:rFonts w:hint="eastAsia"/>
          <w:bCs/>
          <w:sz w:val="48"/>
          <w:szCs w:val="48"/>
        </w:rPr>
        <w:t>（送审版）</w:t>
      </w:r>
    </w:p>
    <w:p w14:paraId="472E6716">
      <w:pPr>
        <w:jc w:val="center"/>
        <w:rPr>
          <w:rFonts w:hint="eastAsia" w:ascii="宋体" w:hAnsi="宋体"/>
          <w:sz w:val="52"/>
          <w:szCs w:val="52"/>
        </w:rPr>
      </w:pPr>
    </w:p>
    <w:p w14:paraId="5A35872A">
      <w:pPr>
        <w:ind w:firstLine="1040"/>
        <w:rPr>
          <w:rFonts w:hint="eastAsia" w:ascii="宋体" w:hAnsi="宋体"/>
          <w:sz w:val="44"/>
          <w:szCs w:val="44"/>
        </w:rPr>
      </w:pPr>
    </w:p>
    <w:p w14:paraId="528F3DBC">
      <w:pPr>
        <w:ind w:firstLine="1040"/>
        <w:rPr>
          <w:rFonts w:hint="eastAsia" w:ascii="宋体" w:hAnsi="宋体"/>
          <w:sz w:val="44"/>
          <w:szCs w:val="44"/>
        </w:rPr>
      </w:pPr>
    </w:p>
    <w:p w14:paraId="5C402937">
      <w:pPr>
        <w:ind w:firstLine="1040"/>
        <w:rPr>
          <w:rFonts w:hint="eastAsia" w:ascii="宋体" w:hAnsi="宋体"/>
          <w:sz w:val="44"/>
          <w:szCs w:val="44"/>
        </w:rPr>
      </w:pPr>
    </w:p>
    <w:p w14:paraId="247A0D9B">
      <w:pPr>
        <w:ind w:firstLine="1040"/>
        <w:rPr>
          <w:rFonts w:hint="eastAsia" w:ascii="宋体" w:hAnsi="宋体"/>
          <w:sz w:val="44"/>
          <w:szCs w:val="44"/>
        </w:rPr>
      </w:pPr>
    </w:p>
    <w:p w14:paraId="7968B8FD">
      <w:pPr>
        <w:ind w:firstLine="1040"/>
        <w:rPr>
          <w:rFonts w:hint="eastAsia" w:ascii="宋体" w:hAnsi="宋体"/>
          <w:sz w:val="44"/>
          <w:szCs w:val="44"/>
        </w:rPr>
      </w:pPr>
    </w:p>
    <w:p w14:paraId="418DBF44">
      <w:pPr>
        <w:ind w:firstLine="1040"/>
        <w:rPr>
          <w:rFonts w:hint="eastAsia" w:ascii="宋体" w:hAnsi="宋体"/>
          <w:sz w:val="44"/>
          <w:szCs w:val="44"/>
        </w:rPr>
      </w:pPr>
    </w:p>
    <w:tbl>
      <w:tblPr>
        <w:tblStyle w:val="29"/>
        <w:tblW w:w="0" w:type="auto"/>
        <w:tblInd w:w="1242" w:type="dxa"/>
        <w:tblLayout w:type="fixed"/>
        <w:tblCellMar>
          <w:top w:w="0" w:type="dxa"/>
          <w:left w:w="108" w:type="dxa"/>
          <w:bottom w:w="0" w:type="dxa"/>
          <w:right w:w="108" w:type="dxa"/>
        </w:tblCellMar>
      </w:tblPr>
      <w:tblGrid>
        <w:gridCol w:w="1884"/>
        <w:gridCol w:w="243"/>
        <w:gridCol w:w="4536"/>
      </w:tblGrid>
      <w:tr w14:paraId="3FB5CBA1">
        <w:tc>
          <w:tcPr>
            <w:tcW w:w="1884" w:type="dxa"/>
          </w:tcPr>
          <w:p w14:paraId="75EF6931">
            <w:pPr>
              <w:adjustRightInd w:val="0"/>
              <w:snapToGrid w:val="0"/>
              <w:spacing w:line="288" w:lineRule="auto"/>
              <w:rPr>
                <w:rFonts w:hint="eastAsia" w:ascii="宋体" w:hAnsi="宋体"/>
                <w:sz w:val="36"/>
                <w:szCs w:val="36"/>
              </w:rPr>
            </w:pPr>
            <w:r>
              <w:rPr>
                <w:rFonts w:hint="eastAsia" w:ascii="宋体" w:hAnsi="宋体"/>
                <w:sz w:val="36"/>
                <w:szCs w:val="36"/>
              </w:rPr>
              <w:t>项目名称</w:t>
            </w:r>
          </w:p>
        </w:tc>
        <w:tc>
          <w:tcPr>
            <w:tcW w:w="243" w:type="dxa"/>
          </w:tcPr>
          <w:p w14:paraId="7CA386AA">
            <w:pPr>
              <w:adjustRightInd w:val="0"/>
              <w:snapToGrid w:val="0"/>
              <w:spacing w:line="288" w:lineRule="auto"/>
              <w:rPr>
                <w:rFonts w:hint="eastAsia" w:ascii="宋体" w:hAnsi="宋体"/>
                <w:sz w:val="36"/>
                <w:szCs w:val="36"/>
              </w:rPr>
            </w:pPr>
            <w:r>
              <w:rPr>
                <w:rFonts w:hint="eastAsia" w:ascii="宋体" w:hAnsi="宋体"/>
                <w:sz w:val="36"/>
                <w:szCs w:val="36"/>
              </w:rPr>
              <w:t>：</w:t>
            </w:r>
          </w:p>
        </w:tc>
        <w:tc>
          <w:tcPr>
            <w:tcW w:w="4536" w:type="dxa"/>
          </w:tcPr>
          <w:p w14:paraId="2872305B">
            <w:pPr>
              <w:adjustRightInd w:val="0"/>
              <w:snapToGrid w:val="0"/>
              <w:spacing w:line="288" w:lineRule="auto"/>
              <w:jc w:val="left"/>
              <w:rPr>
                <w:rFonts w:hint="eastAsia" w:ascii="宋体" w:hAnsi="宋体"/>
                <w:sz w:val="36"/>
                <w:szCs w:val="36"/>
                <w:u w:val="single"/>
              </w:rPr>
            </w:pPr>
            <w:r>
              <w:rPr>
                <w:rFonts w:hint="eastAsia" w:ascii="宋体" w:hAnsi="宋体"/>
                <w:sz w:val="36"/>
                <w:szCs w:val="36"/>
                <w:u w:val="single"/>
              </w:rPr>
              <w:t xml:space="preserve">征121井 </w:t>
            </w:r>
            <w:r>
              <w:rPr>
                <w:rFonts w:ascii="宋体" w:hAnsi="宋体"/>
                <w:sz w:val="36"/>
                <w:szCs w:val="36"/>
                <w:u w:val="single"/>
              </w:rPr>
              <w:t xml:space="preserve">                  </w:t>
            </w:r>
          </w:p>
        </w:tc>
      </w:tr>
      <w:tr w14:paraId="76F5B8A2">
        <w:tblPrEx>
          <w:tblCellMar>
            <w:top w:w="0" w:type="dxa"/>
            <w:left w:w="108" w:type="dxa"/>
            <w:bottom w:w="0" w:type="dxa"/>
            <w:right w:w="108" w:type="dxa"/>
          </w:tblCellMar>
        </w:tblPrEx>
        <w:tc>
          <w:tcPr>
            <w:tcW w:w="1884" w:type="dxa"/>
          </w:tcPr>
          <w:p w14:paraId="3C51BEA6">
            <w:pPr>
              <w:adjustRightInd w:val="0"/>
              <w:snapToGrid w:val="0"/>
              <w:spacing w:line="288" w:lineRule="auto"/>
              <w:rPr>
                <w:rFonts w:hint="eastAsia" w:ascii="宋体" w:hAnsi="宋体"/>
                <w:sz w:val="36"/>
                <w:szCs w:val="36"/>
              </w:rPr>
            </w:pPr>
            <w:r>
              <w:rPr>
                <w:rFonts w:hint="eastAsia" w:ascii="宋体" w:hAnsi="宋体"/>
                <w:sz w:val="36"/>
                <w:szCs w:val="36"/>
              </w:rPr>
              <w:t>建设单位（盖章）</w:t>
            </w:r>
          </w:p>
        </w:tc>
        <w:tc>
          <w:tcPr>
            <w:tcW w:w="243" w:type="dxa"/>
          </w:tcPr>
          <w:p w14:paraId="270BB402">
            <w:pPr>
              <w:adjustRightInd w:val="0"/>
              <w:snapToGrid w:val="0"/>
              <w:spacing w:line="288" w:lineRule="auto"/>
              <w:jc w:val="center"/>
              <w:rPr>
                <w:rFonts w:hint="eastAsia" w:ascii="宋体" w:hAnsi="宋体"/>
                <w:sz w:val="36"/>
                <w:szCs w:val="36"/>
              </w:rPr>
            </w:pPr>
            <w:r>
              <w:rPr>
                <w:rFonts w:hint="eastAsia" w:ascii="宋体" w:hAnsi="宋体"/>
                <w:sz w:val="36"/>
                <w:szCs w:val="36"/>
              </w:rPr>
              <w:t>：</w:t>
            </w:r>
          </w:p>
        </w:tc>
        <w:tc>
          <w:tcPr>
            <w:tcW w:w="4536" w:type="dxa"/>
          </w:tcPr>
          <w:p w14:paraId="07057211">
            <w:pPr>
              <w:adjustRightInd w:val="0"/>
              <w:snapToGrid w:val="0"/>
              <w:spacing w:line="288" w:lineRule="auto"/>
              <w:jc w:val="left"/>
              <w:rPr>
                <w:rFonts w:hint="eastAsia" w:ascii="宋体" w:hAnsi="宋体"/>
                <w:sz w:val="36"/>
                <w:szCs w:val="36"/>
              </w:rPr>
            </w:pPr>
            <w:r>
              <w:rPr>
                <w:rFonts w:hint="eastAsia" w:ascii="宋体" w:hAnsi="宋体"/>
                <w:sz w:val="36"/>
                <w:szCs w:val="36"/>
                <w:u w:val="single"/>
              </w:rPr>
              <w:t>中石化新疆新春石油开发有限责任公司</w:t>
            </w:r>
            <w:r>
              <w:rPr>
                <w:rFonts w:ascii="宋体" w:hAnsi="宋体"/>
                <w:sz w:val="36"/>
                <w:szCs w:val="36"/>
                <w:u w:val="single"/>
              </w:rPr>
              <w:t xml:space="preserve">                      </w:t>
            </w:r>
          </w:p>
        </w:tc>
      </w:tr>
      <w:tr w14:paraId="50BB169E">
        <w:tblPrEx>
          <w:tblCellMar>
            <w:top w:w="0" w:type="dxa"/>
            <w:left w:w="108" w:type="dxa"/>
            <w:bottom w:w="0" w:type="dxa"/>
            <w:right w:w="108" w:type="dxa"/>
          </w:tblCellMar>
        </w:tblPrEx>
        <w:tc>
          <w:tcPr>
            <w:tcW w:w="1884" w:type="dxa"/>
          </w:tcPr>
          <w:p w14:paraId="4BB92379">
            <w:pPr>
              <w:adjustRightInd w:val="0"/>
              <w:snapToGrid w:val="0"/>
              <w:spacing w:line="288" w:lineRule="auto"/>
              <w:rPr>
                <w:rFonts w:hint="eastAsia" w:ascii="宋体" w:hAnsi="宋体"/>
                <w:sz w:val="36"/>
                <w:szCs w:val="36"/>
              </w:rPr>
            </w:pPr>
            <w:r>
              <w:rPr>
                <w:rFonts w:hint="eastAsia" w:ascii="宋体" w:hAnsi="宋体"/>
                <w:sz w:val="36"/>
                <w:szCs w:val="36"/>
              </w:rPr>
              <w:t>编制日期</w:t>
            </w:r>
          </w:p>
        </w:tc>
        <w:tc>
          <w:tcPr>
            <w:tcW w:w="243" w:type="dxa"/>
          </w:tcPr>
          <w:p w14:paraId="1892C648">
            <w:pPr>
              <w:adjustRightInd w:val="0"/>
              <w:snapToGrid w:val="0"/>
              <w:spacing w:line="288" w:lineRule="auto"/>
              <w:rPr>
                <w:rFonts w:hint="eastAsia" w:ascii="宋体" w:hAnsi="宋体"/>
                <w:sz w:val="36"/>
                <w:szCs w:val="36"/>
              </w:rPr>
            </w:pPr>
            <w:r>
              <w:rPr>
                <w:rFonts w:hint="eastAsia" w:ascii="宋体" w:hAnsi="宋体"/>
                <w:sz w:val="36"/>
                <w:szCs w:val="36"/>
              </w:rPr>
              <w:t>：</w:t>
            </w:r>
          </w:p>
        </w:tc>
        <w:tc>
          <w:tcPr>
            <w:tcW w:w="4536" w:type="dxa"/>
          </w:tcPr>
          <w:p w14:paraId="51CD6C28">
            <w:pPr>
              <w:adjustRightInd w:val="0"/>
              <w:snapToGrid w:val="0"/>
              <w:spacing w:line="288" w:lineRule="auto"/>
              <w:jc w:val="left"/>
              <w:rPr>
                <w:rFonts w:hint="eastAsia" w:ascii="宋体" w:hAnsi="宋体"/>
                <w:sz w:val="36"/>
                <w:szCs w:val="36"/>
                <w:u w:val="single"/>
              </w:rPr>
            </w:pPr>
            <w:r>
              <w:rPr>
                <w:rFonts w:ascii="宋体" w:hAnsi="宋体"/>
                <w:sz w:val="36"/>
                <w:szCs w:val="36"/>
                <w:u w:val="single"/>
              </w:rPr>
              <w:t>2025</w:t>
            </w:r>
            <w:r>
              <w:rPr>
                <w:rFonts w:hint="eastAsia" w:ascii="宋体" w:hAnsi="宋体"/>
                <w:sz w:val="36"/>
                <w:szCs w:val="36"/>
                <w:u w:val="single"/>
              </w:rPr>
              <w:t xml:space="preserve">年12月 </w:t>
            </w:r>
            <w:r>
              <w:rPr>
                <w:rFonts w:ascii="宋体" w:hAnsi="宋体"/>
                <w:sz w:val="36"/>
                <w:szCs w:val="36"/>
                <w:u w:val="single"/>
              </w:rPr>
              <w:t xml:space="preserve">                 </w:t>
            </w:r>
          </w:p>
        </w:tc>
      </w:tr>
    </w:tbl>
    <w:p w14:paraId="345F8E4E">
      <w:pPr>
        <w:adjustRightInd w:val="0"/>
        <w:snapToGrid w:val="0"/>
        <w:spacing w:line="288" w:lineRule="auto"/>
        <w:ind w:firstLine="1040"/>
        <w:rPr>
          <w:rFonts w:hint="eastAsia" w:ascii="宋体" w:hAnsi="宋体"/>
          <w:sz w:val="36"/>
          <w:szCs w:val="36"/>
          <w:u w:val="single"/>
        </w:rPr>
      </w:pPr>
    </w:p>
    <w:p w14:paraId="50E3172F">
      <w:pPr>
        <w:adjustRightInd w:val="0"/>
        <w:snapToGrid w:val="0"/>
        <w:spacing w:line="288" w:lineRule="auto"/>
        <w:ind w:firstLine="1040"/>
        <w:rPr>
          <w:rFonts w:hint="eastAsia" w:ascii="宋体" w:hAnsi="宋体"/>
          <w:sz w:val="36"/>
          <w:szCs w:val="36"/>
          <w:u w:val="single"/>
        </w:rPr>
      </w:pPr>
    </w:p>
    <w:p w14:paraId="32FD3F8A">
      <w:pPr>
        <w:adjustRightInd w:val="0"/>
        <w:snapToGrid w:val="0"/>
        <w:spacing w:line="288" w:lineRule="auto"/>
        <w:ind w:firstLine="720"/>
        <w:jc w:val="center"/>
        <w:rPr>
          <w:rFonts w:hint="eastAsia" w:ascii="宋体" w:hAnsi="宋体"/>
          <w:sz w:val="36"/>
          <w:szCs w:val="36"/>
        </w:rPr>
      </w:pPr>
      <w:r>
        <w:rPr>
          <w:rFonts w:hint="eastAsia" w:ascii="宋体" w:hAnsi="宋体"/>
          <w:sz w:val="36"/>
          <w:szCs w:val="36"/>
        </w:rPr>
        <w:t>中华人民共和国生态环境部制</w:t>
      </w:r>
    </w:p>
    <w:p w14:paraId="387B6654">
      <w:pPr>
        <w:rPr>
          <w:rFonts w:hint="eastAsia" w:hAnsi="宋体"/>
          <w:sz w:val="28"/>
        </w:rPr>
      </w:pPr>
    </w:p>
    <w:bookmarkEnd w:id="0"/>
    <w:p w14:paraId="71116C25">
      <w:pPr>
        <w:adjustRightInd w:val="0"/>
        <w:snapToGrid w:val="0"/>
        <w:spacing w:line="288" w:lineRule="auto"/>
        <w:jc w:val="center"/>
      </w:pPr>
    </w:p>
    <w:p w14:paraId="66E86DF7">
      <w:pPr>
        <w:adjustRightInd w:val="0"/>
        <w:snapToGrid w:val="0"/>
        <w:spacing w:line="288" w:lineRule="auto"/>
        <w:jc w:val="cente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14:paraId="7DCF89F9">
      <w:pPr>
        <w:pStyle w:val="115"/>
        <w:jc w:val="center"/>
        <w:rPr>
          <w:rFonts w:hint="eastAsia" w:ascii="宋体" w:hAnsi="宋体" w:eastAsia="宋体"/>
          <w:b/>
          <w:bCs/>
          <w:color w:val="auto"/>
        </w:rPr>
      </w:pPr>
      <w:r>
        <w:rPr>
          <w:rFonts w:ascii="宋体" w:hAnsi="宋体" w:eastAsia="宋体"/>
          <w:b/>
          <w:bCs/>
          <w:color w:val="auto"/>
          <w:lang w:val="zh-CN"/>
        </w:rPr>
        <w:t>目</w:t>
      </w:r>
      <w:r>
        <w:rPr>
          <w:rFonts w:hint="eastAsia" w:ascii="宋体" w:hAnsi="宋体" w:eastAsia="宋体"/>
          <w:b/>
          <w:bCs/>
          <w:color w:val="auto"/>
          <w:lang w:val="zh-CN"/>
        </w:rPr>
        <w:t xml:space="preserve"> </w:t>
      </w:r>
      <w:r>
        <w:rPr>
          <w:rFonts w:ascii="宋体" w:hAnsi="宋体" w:eastAsia="宋体"/>
          <w:b/>
          <w:bCs/>
          <w:color w:val="auto"/>
          <w:lang w:val="zh-CN"/>
        </w:rPr>
        <w:t xml:space="preserve"> 录</w:t>
      </w:r>
    </w:p>
    <w:p w14:paraId="43AA5225">
      <w:pPr>
        <w:pStyle w:val="23"/>
        <w:tabs>
          <w:tab w:val="right" w:leader="dot" w:pos="8834"/>
        </w:tabs>
        <w:rPr>
          <w:rFonts w:hint="eastAsia" w:asciiTheme="minorHAnsi" w:hAnsiTheme="minorHAnsi" w:eastAsiaTheme="minorEastAsia" w:cstheme="minorBidi"/>
          <w:b w:val="0"/>
          <w:bCs w:val="0"/>
          <w:sz w:val="22"/>
          <w:szCs w:val="24"/>
          <w14:ligatures w14:val="standardContextual"/>
        </w:rPr>
      </w:pPr>
      <w:r>
        <w:fldChar w:fldCharType="begin"/>
      </w:r>
      <w:r>
        <w:instrText xml:space="preserve"> TOC \o 1-3 \h \z \u </w:instrText>
      </w:r>
      <w:r>
        <w:fldChar w:fldCharType="separate"/>
      </w:r>
      <w:r>
        <w:fldChar w:fldCharType="begin"/>
      </w:r>
      <w:r>
        <w:instrText xml:space="preserve"> HYPERLINK \l "_Toc216179947" </w:instrText>
      </w:r>
      <w:r>
        <w:fldChar w:fldCharType="separate"/>
      </w:r>
      <w:r>
        <w:rPr>
          <w:rStyle w:val="36"/>
          <w:rFonts w:hint="eastAsia" w:hAnsi="黑体" w:eastAsia="黑体"/>
          <w:snapToGrid w:val="0"/>
        </w:rPr>
        <w:t>一、建设项目基本情况</w:t>
      </w:r>
      <w:r>
        <w:rPr>
          <w:rFonts w:hint="eastAsia"/>
        </w:rPr>
        <w:tab/>
      </w:r>
      <w:r>
        <w:rPr>
          <w:rFonts w:hint="eastAsia"/>
        </w:rPr>
        <w:fldChar w:fldCharType="begin"/>
      </w:r>
      <w:r>
        <w:rPr>
          <w:rFonts w:hint="eastAsia"/>
        </w:rPr>
        <w:instrText xml:space="preserve"> </w:instrText>
      </w:r>
      <w:r>
        <w:instrText xml:space="preserve">PAGEREF _Toc216179947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81E1ECB">
      <w:pPr>
        <w:pStyle w:val="23"/>
        <w:tabs>
          <w:tab w:val="right" w:leader="dot" w:pos="8834"/>
        </w:tabs>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"_Toc216179948" </w:instrText>
      </w:r>
      <w:r>
        <w:fldChar w:fldCharType="separate"/>
      </w:r>
      <w:r>
        <w:rPr>
          <w:rStyle w:val="36"/>
          <w:rFonts w:hint="eastAsia" w:hAnsi="黑体" w:eastAsia="黑体"/>
          <w:snapToGrid w:val="0"/>
        </w:rPr>
        <w:t>二、建设内容</w:t>
      </w:r>
      <w:r>
        <w:rPr>
          <w:rFonts w:hint="eastAsia"/>
        </w:rPr>
        <w:tab/>
      </w:r>
      <w:r>
        <w:rPr>
          <w:rFonts w:hint="eastAsia"/>
        </w:rPr>
        <w:fldChar w:fldCharType="begin"/>
      </w:r>
      <w:r>
        <w:rPr>
          <w:rFonts w:hint="eastAsia"/>
        </w:rPr>
        <w:instrText xml:space="preserve"> </w:instrText>
      </w:r>
      <w:r>
        <w:instrText xml:space="preserve">PAGEREF _Toc216179948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36904B48">
      <w:pPr>
        <w:pStyle w:val="23"/>
        <w:tabs>
          <w:tab w:val="right" w:leader="dot" w:pos="8834"/>
        </w:tabs>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"_Toc216179949" </w:instrText>
      </w:r>
      <w:r>
        <w:fldChar w:fldCharType="separate"/>
      </w:r>
      <w:r>
        <w:rPr>
          <w:rStyle w:val="36"/>
          <w:rFonts w:hint="eastAsia" w:hAnsi="黑体" w:eastAsia="黑体"/>
          <w:snapToGrid w:val="0"/>
        </w:rPr>
        <w:t>三、生态环境现状、保护目标及评价标准</w:t>
      </w:r>
      <w:r>
        <w:rPr>
          <w:rFonts w:hint="eastAsia"/>
        </w:rPr>
        <w:tab/>
      </w:r>
      <w:r>
        <w:rPr>
          <w:rFonts w:hint="eastAsia"/>
        </w:rPr>
        <w:fldChar w:fldCharType="begin"/>
      </w:r>
      <w:r>
        <w:rPr>
          <w:rFonts w:hint="eastAsia"/>
        </w:rPr>
        <w:instrText xml:space="preserve"> </w:instrText>
      </w:r>
      <w:r>
        <w:instrText xml:space="preserve">PAGEREF _Toc216179949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14:paraId="58A4D49C">
      <w:pPr>
        <w:pStyle w:val="23"/>
        <w:tabs>
          <w:tab w:val="right" w:leader="dot" w:pos="8834"/>
        </w:tabs>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"_Toc216179950" </w:instrText>
      </w:r>
      <w:r>
        <w:fldChar w:fldCharType="separate"/>
      </w:r>
      <w:r>
        <w:rPr>
          <w:rStyle w:val="36"/>
          <w:rFonts w:hint="eastAsia" w:hAnsi="黑体" w:eastAsia="黑体"/>
          <w:snapToGrid w:val="0"/>
        </w:rPr>
        <w:t>四、生态环境影响分析</w:t>
      </w:r>
      <w:r>
        <w:rPr>
          <w:rFonts w:hint="eastAsia"/>
        </w:rPr>
        <w:tab/>
      </w:r>
      <w:r>
        <w:rPr>
          <w:rFonts w:hint="eastAsia"/>
        </w:rPr>
        <w:fldChar w:fldCharType="begin"/>
      </w:r>
      <w:r>
        <w:rPr>
          <w:rFonts w:hint="eastAsia"/>
        </w:rPr>
        <w:instrText xml:space="preserve"> </w:instrText>
      </w:r>
      <w:r>
        <w:instrText xml:space="preserve">PAGEREF _Toc216179950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467D3B24">
      <w:pPr>
        <w:pStyle w:val="23"/>
        <w:tabs>
          <w:tab w:val="right" w:leader="dot" w:pos="8834"/>
        </w:tabs>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"_Toc216179951" </w:instrText>
      </w:r>
      <w:r>
        <w:fldChar w:fldCharType="separate"/>
      </w:r>
      <w:r>
        <w:rPr>
          <w:rStyle w:val="36"/>
          <w:rFonts w:hint="eastAsia" w:hAnsi="黑体" w:eastAsia="黑体"/>
          <w:snapToGrid w:val="0"/>
        </w:rPr>
        <w:t>五、主要生态环境保护措施</w:t>
      </w:r>
      <w:r>
        <w:rPr>
          <w:rFonts w:hint="eastAsia"/>
        </w:rPr>
        <w:tab/>
      </w:r>
      <w:r>
        <w:rPr>
          <w:rFonts w:hint="eastAsia"/>
        </w:rPr>
        <w:fldChar w:fldCharType="begin"/>
      </w:r>
      <w:r>
        <w:rPr>
          <w:rFonts w:hint="eastAsia"/>
        </w:rPr>
        <w:instrText xml:space="preserve"> </w:instrText>
      </w:r>
      <w:r>
        <w:instrText xml:space="preserve">PAGEREF _Toc216179951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14:paraId="4D529F15">
      <w:pPr>
        <w:pStyle w:val="23"/>
        <w:tabs>
          <w:tab w:val="right" w:leader="dot" w:pos="8834"/>
        </w:tabs>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"_Toc216179952" </w:instrText>
      </w:r>
      <w:r>
        <w:fldChar w:fldCharType="separate"/>
      </w:r>
      <w:r>
        <w:rPr>
          <w:rStyle w:val="36"/>
          <w:rFonts w:hint="eastAsia" w:hAnsi="黑体" w:eastAsia="黑体"/>
          <w:snapToGrid w:val="0"/>
        </w:rPr>
        <w:t>六、生态环境保护措施监督检查清单</w:t>
      </w:r>
      <w:r>
        <w:rPr>
          <w:rFonts w:hint="eastAsia"/>
        </w:rPr>
        <w:tab/>
      </w:r>
      <w:r>
        <w:rPr>
          <w:rFonts w:hint="eastAsia"/>
        </w:rPr>
        <w:fldChar w:fldCharType="begin"/>
      </w:r>
      <w:r>
        <w:rPr>
          <w:rFonts w:hint="eastAsia"/>
        </w:rPr>
        <w:instrText xml:space="preserve"> </w:instrText>
      </w:r>
      <w:r>
        <w:instrText xml:space="preserve">PAGEREF _Toc216179952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75ADBBA6">
      <w:pPr>
        <w:pStyle w:val="23"/>
        <w:tabs>
          <w:tab w:val="right" w:leader="dot" w:pos="8834"/>
        </w:tabs>
        <w:rPr>
          <w:rFonts w:hint="eastAsia" w:asciiTheme="minorHAnsi" w:hAnsiTheme="minorHAnsi" w:eastAsiaTheme="minorEastAsia" w:cstheme="minorBidi"/>
          <w:b w:val="0"/>
          <w:bCs w:val="0"/>
          <w:sz w:val="22"/>
          <w:szCs w:val="24"/>
          <w14:ligatures w14:val="standardContextual"/>
        </w:rPr>
      </w:pPr>
      <w:r>
        <w:fldChar w:fldCharType="begin"/>
      </w:r>
      <w:r>
        <w:instrText xml:space="preserve"> HYPERLINK \l "_Toc216179953" </w:instrText>
      </w:r>
      <w:r>
        <w:fldChar w:fldCharType="separate"/>
      </w:r>
      <w:r>
        <w:rPr>
          <w:rStyle w:val="36"/>
          <w:rFonts w:hint="eastAsia" w:hAnsi="黑体" w:eastAsia="黑体"/>
          <w:snapToGrid w:val="0"/>
        </w:rPr>
        <w:t>七、结论</w:t>
      </w:r>
      <w:r>
        <w:rPr>
          <w:rFonts w:hint="eastAsia"/>
        </w:rPr>
        <w:tab/>
      </w:r>
      <w:r>
        <w:rPr>
          <w:rFonts w:hint="eastAsia"/>
        </w:rPr>
        <w:fldChar w:fldCharType="begin"/>
      </w:r>
      <w:r>
        <w:rPr>
          <w:rFonts w:hint="eastAsia"/>
        </w:rPr>
        <w:instrText xml:space="preserve"> </w:instrText>
      </w:r>
      <w:r>
        <w:instrText xml:space="preserve">PAGEREF _Toc216179953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602BCFC5">
      <w:pPr>
        <w:sectPr>
          <w:pgSz w:w="11906" w:h="16838"/>
          <w:pgMar w:top="1701" w:right="1531" w:bottom="1701" w:left="1531" w:header="851" w:footer="1077" w:gutter="0"/>
          <w:pgNumType w:start="21"/>
          <w:cols w:space="720" w:num="1"/>
          <w:docGrid w:linePitch="312" w:charSpace="0"/>
        </w:sectPr>
      </w:pPr>
      <w:r>
        <w:rPr>
          <w:bCs/>
          <w:lang w:val="zh-CN"/>
        </w:rPr>
        <w:fldChar w:fldCharType="end"/>
      </w:r>
    </w:p>
    <w:p w14:paraId="0BCEA418">
      <w:pPr>
        <w:pStyle w:val="26"/>
        <w:adjustRightInd w:val="0"/>
        <w:snapToGrid w:val="0"/>
        <w:spacing w:before="0" w:beforeAutospacing="0" w:after="0" w:afterAutospacing="0"/>
        <w:jc w:val="center"/>
        <w:outlineLvl w:val="0"/>
        <w:rPr>
          <w:rFonts w:hint="eastAsia" w:ascii="黑体" w:hAnsi="黑体" w:eastAsia="黑体"/>
          <w:snapToGrid w:val="0"/>
          <w:sz w:val="30"/>
          <w:szCs w:val="30"/>
        </w:rPr>
      </w:pPr>
      <w:bookmarkStart w:id="1" w:name="_Toc216179947"/>
      <w:r>
        <w:rPr>
          <w:rFonts w:hint="eastAsia" w:ascii="黑体" w:hAnsi="黑体" w:eastAsia="黑体"/>
          <w:snapToGrid w:val="0"/>
          <w:sz w:val="30"/>
          <w:szCs w:val="30"/>
        </w:rPr>
        <w:t>一、建设项目基本情况</w:t>
      </w:r>
      <w:bookmarkEnd w:id="1"/>
    </w:p>
    <w:tbl>
      <w:tblPr>
        <w:tblStyle w:val="29"/>
        <w:tblW w:w="90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
        <w:gridCol w:w="226"/>
        <w:gridCol w:w="908"/>
        <w:gridCol w:w="3135"/>
        <w:gridCol w:w="2218"/>
        <w:gridCol w:w="10"/>
        <w:gridCol w:w="2363"/>
        <w:gridCol w:w="179"/>
      </w:tblGrid>
      <w:tr w14:paraId="09A94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1179D2EF">
            <w:pPr>
              <w:adjustRightInd w:val="0"/>
              <w:snapToGrid w:val="0"/>
              <w:jc w:val="center"/>
              <w:rPr>
                <w:rFonts w:hint="eastAsia" w:ascii="宋体" w:hAnsi="宋体" w:cs="宋体"/>
                <w:szCs w:val="21"/>
              </w:rPr>
            </w:pPr>
            <w:r>
              <w:rPr>
                <w:rFonts w:hint="eastAsia" w:ascii="宋体" w:hAnsi="宋体" w:cs="宋体"/>
                <w:szCs w:val="21"/>
              </w:rPr>
              <w:t>建设项目名称</w:t>
            </w:r>
          </w:p>
        </w:tc>
        <w:tc>
          <w:tcPr>
            <w:tcW w:w="7905" w:type="dxa"/>
            <w:gridSpan w:val="5"/>
            <w:vAlign w:val="center"/>
          </w:tcPr>
          <w:p w14:paraId="099DE6BB">
            <w:pPr>
              <w:adjustRightInd w:val="0"/>
              <w:snapToGrid w:val="0"/>
              <w:jc w:val="center"/>
              <w:rPr>
                <w:rFonts w:hint="eastAsia" w:ascii="宋体" w:hAnsi="宋体" w:cs="宋体"/>
                <w:szCs w:val="21"/>
              </w:rPr>
            </w:pPr>
            <w:r>
              <w:rPr>
                <w:rFonts w:hint="eastAsia" w:ascii="宋体" w:hAnsi="宋体" w:cs="宋体"/>
                <w:szCs w:val="21"/>
              </w:rPr>
              <w:t>征121井</w:t>
            </w:r>
          </w:p>
        </w:tc>
      </w:tr>
      <w:tr w14:paraId="111CF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606" w:hRule="atLeast"/>
        </w:trPr>
        <w:tc>
          <w:tcPr>
            <w:tcW w:w="1134" w:type="dxa"/>
            <w:gridSpan w:val="2"/>
            <w:tcMar>
              <w:top w:w="16" w:type="dxa"/>
              <w:left w:w="16" w:type="dxa"/>
              <w:right w:w="16" w:type="dxa"/>
            </w:tcMar>
            <w:vAlign w:val="center"/>
          </w:tcPr>
          <w:p w14:paraId="3E2838B0">
            <w:pPr>
              <w:adjustRightInd w:val="0"/>
              <w:snapToGrid w:val="0"/>
              <w:jc w:val="center"/>
              <w:rPr>
                <w:rFonts w:hint="eastAsia" w:ascii="宋体" w:hAnsi="宋体" w:cs="宋体"/>
                <w:szCs w:val="21"/>
              </w:rPr>
            </w:pPr>
            <w:r>
              <w:rPr>
                <w:rFonts w:hint="eastAsia" w:ascii="宋体" w:hAnsi="宋体" w:cs="宋体"/>
                <w:szCs w:val="21"/>
              </w:rPr>
              <w:t>项目代码</w:t>
            </w:r>
          </w:p>
        </w:tc>
        <w:tc>
          <w:tcPr>
            <w:tcW w:w="7905" w:type="dxa"/>
            <w:gridSpan w:val="5"/>
            <w:vAlign w:val="center"/>
          </w:tcPr>
          <w:p w14:paraId="28138D35">
            <w:pPr>
              <w:adjustRightInd w:val="0"/>
              <w:snapToGrid w:val="0"/>
              <w:jc w:val="center"/>
              <w:rPr>
                <w:rFonts w:hint="eastAsia" w:ascii="宋体" w:hAnsi="宋体" w:cs="宋体"/>
                <w:szCs w:val="21"/>
              </w:rPr>
            </w:pPr>
            <w:r>
              <w:rPr>
                <w:rFonts w:hint="eastAsia" w:ascii="宋体" w:hAnsi="宋体" w:cs="宋体"/>
                <w:szCs w:val="21"/>
              </w:rPr>
              <w:t>无</w:t>
            </w:r>
          </w:p>
        </w:tc>
      </w:tr>
      <w:tr w14:paraId="789F2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1F83B1CB">
            <w:pPr>
              <w:adjustRightInd w:val="0"/>
              <w:snapToGrid w:val="0"/>
              <w:jc w:val="center"/>
              <w:rPr>
                <w:rFonts w:hint="eastAsia" w:ascii="宋体" w:hAnsi="宋体" w:cs="宋体"/>
                <w:szCs w:val="21"/>
              </w:rPr>
            </w:pPr>
            <w:r>
              <w:rPr>
                <w:rFonts w:hint="eastAsia" w:ascii="宋体" w:hAnsi="宋体" w:cs="宋体"/>
                <w:szCs w:val="21"/>
              </w:rPr>
              <w:t>建设单位联系人</w:t>
            </w:r>
          </w:p>
        </w:tc>
        <w:tc>
          <w:tcPr>
            <w:tcW w:w="3135" w:type="dxa"/>
            <w:vAlign w:val="center"/>
          </w:tcPr>
          <w:p w14:paraId="1A48701F">
            <w:pPr>
              <w:adjustRightInd w:val="0"/>
              <w:snapToGrid w:val="0"/>
              <w:jc w:val="center"/>
              <w:rPr>
                <w:rFonts w:hint="eastAsia" w:ascii="宋体" w:hAnsi="宋体" w:cs="宋体"/>
                <w:szCs w:val="21"/>
              </w:rPr>
            </w:pPr>
            <w:r>
              <w:rPr>
                <w:rFonts w:hint="eastAsia"/>
              </w:rPr>
              <w:t>张庆春</w:t>
            </w:r>
          </w:p>
        </w:tc>
        <w:tc>
          <w:tcPr>
            <w:tcW w:w="2228" w:type="dxa"/>
            <w:gridSpan w:val="2"/>
            <w:vAlign w:val="center"/>
          </w:tcPr>
          <w:p w14:paraId="680211A7">
            <w:pPr>
              <w:adjustRightInd w:val="0"/>
              <w:snapToGrid w:val="0"/>
              <w:jc w:val="center"/>
              <w:rPr>
                <w:rFonts w:hint="eastAsia" w:ascii="宋体" w:hAnsi="宋体" w:cs="宋体"/>
                <w:szCs w:val="21"/>
              </w:rPr>
            </w:pPr>
            <w:r>
              <w:rPr>
                <w:rFonts w:hint="eastAsia" w:ascii="宋体" w:hAnsi="宋体" w:cs="宋体"/>
                <w:szCs w:val="21"/>
              </w:rPr>
              <w:t>联系方式</w:t>
            </w:r>
          </w:p>
        </w:tc>
        <w:tc>
          <w:tcPr>
            <w:tcW w:w="2542" w:type="dxa"/>
            <w:gridSpan w:val="2"/>
            <w:vAlign w:val="center"/>
          </w:tcPr>
          <w:p w14:paraId="326C1CF2">
            <w:pPr>
              <w:adjustRightInd w:val="0"/>
              <w:snapToGrid w:val="0"/>
              <w:jc w:val="center"/>
              <w:rPr>
                <w:rFonts w:hint="eastAsia" w:ascii="宋体" w:hAnsi="宋体" w:cs="宋体"/>
                <w:szCs w:val="21"/>
              </w:rPr>
            </w:pPr>
            <w:r>
              <w:rPr>
                <w:rFonts w:ascii="宋体" w:hAnsi="宋体" w:cs="宋体"/>
                <w:szCs w:val="21"/>
              </w:rPr>
              <w:t>19905469931</w:t>
            </w:r>
          </w:p>
        </w:tc>
      </w:tr>
      <w:tr w14:paraId="3AAAD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0D4B576D">
            <w:pPr>
              <w:adjustRightInd w:val="0"/>
              <w:snapToGrid w:val="0"/>
              <w:jc w:val="center"/>
              <w:rPr>
                <w:rFonts w:hint="eastAsia" w:ascii="宋体" w:hAnsi="宋体" w:cs="宋体"/>
                <w:szCs w:val="21"/>
              </w:rPr>
            </w:pPr>
            <w:r>
              <w:rPr>
                <w:rFonts w:hint="eastAsia" w:ascii="宋体" w:hAnsi="宋体" w:cs="宋体"/>
                <w:szCs w:val="21"/>
              </w:rPr>
              <w:t>建设地点</w:t>
            </w:r>
          </w:p>
        </w:tc>
        <w:tc>
          <w:tcPr>
            <w:tcW w:w="7905" w:type="dxa"/>
            <w:gridSpan w:val="5"/>
            <w:vAlign w:val="center"/>
          </w:tcPr>
          <w:p w14:paraId="1E6598FD">
            <w:pPr>
              <w:adjustRightInd w:val="0"/>
              <w:snapToGrid w:val="0"/>
              <w:jc w:val="center"/>
              <w:rPr>
                <w:rFonts w:hint="eastAsia" w:ascii="宋体" w:hAnsi="宋体" w:cs="宋体"/>
                <w:szCs w:val="21"/>
              </w:rPr>
            </w:pPr>
            <w:bookmarkStart w:id="2" w:name="OLE_LINK17"/>
            <w:bookmarkStart w:id="3" w:name="OLE_LINK15"/>
            <w:r>
              <w:rPr>
                <w:rFonts w:hint="eastAsia" w:ascii="宋体" w:hAnsi="宋体" w:cs="宋体"/>
                <w:szCs w:val="21"/>
              </w:rPr>
              <w:t>新疆维吾尔自治区昌吉回族自治州玛纳斯县</w:t>
            </w:r>
            <w:bookmarkEnd w:id="2"/>
            <w:r>
              <w:rPr>
                <w:rFonts w:hint="eastAsia" w:ascii="宋体" w:hAnsi="宋体" w:cs="宋体"/>
                <w:szCs w:val="21"/>
              </w:rPr>
              <w:t>，一五零团五连西南侧2.28km处</w:t>
            </w:r>
            <w:bookmarkEnd w:id="3"/>
          </w:p>
        </w:tc>
      </w:tr>
      <w:tr w14:paraId="55366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463C2EF9">
            <w:pPr>
              <w:adjustRightInd w:val="0"/>
              <w:snapToGrid w:val="0"/>
              <w:jc w:val="center"/>
              <w:rPr>
                <w:rFonts w:hint="eastAsia" w:ascii="宋体" w:hAnsi="宋体" w:cs="宋体"/>
                <w:szCs w:val="21"/>
              </w:rPr>
            </w:pPr>
            <w:r>
              <w:rPr>
                <w:rFonts w:hint="eastAsia" w:ascii="宋体" w:hAnsi="宋体" w:cs="宋体"/>
                <w:szCs w:val="21"/>
              </w:rPr>
              <w:t>地理坐标</w:t>
            </w:r>
          </w:p>
        </w:tc>
        <w:tc>
          <w:tcPr>
            <w:tcW w:w="7905" w:type="dxa"/>
            <w:gridSpan w:val="5"/>
            <w:vAlign w:val="center"/>
          </w:tcPr>
          <w:p w14:paraId="0DE2E9F7">
            <w:pPr>
              <w:adjustRightInd w:val="0"/>
              <w:snapToGrid w:val="0"/>
              <w:jc w:val="center"/>
              <w:rPr>
                <w:rFonts w:hint="eastAsia" w:ascii="宋体" w:hAnsi="宋体" w:cs="宋体"/>
                <w:szCs w:val="21"/>
              </w:rPr>
            </w:pPr>
            <w:r>
              <w:rPr>
                <w:rFonts w:hint="eastAsia" w:ascii="宋体" w:hAnsi="宋体" w:cs="宋体"/>
                <w:szCs w:val="21"/>
              </w:rPr>
              <w:t xml:space="preserve">东经 </w:t>
            </w:r>
            <w:r>
              <w:rPr>
                <w:rFonts w:ascii="宋体" w:hAnsi="宋体" w:cs="宋体"/>
                <w:szCs w:val="21"/>
              </w:rPr>
              <w:t>86</w:t>
            </w:r>
            <w:r>
              <w:rPr>
                <w:rFonts w:hint="eastAsia" w:ascii="宋体" w:hAnsi="宋体" w:cs="宋体"/>
                <w:szCs w:val="21"/>
              </w:rPr>
              <w:t xml:space="preserve">度42分56.0154秒，北纬 </w:t>
            </w:r>
            <w:r>
              <w:rPr>
                <w:rFonts w:ascii="宋体" w:hAnsi="宋体" w:cs="宋体"/>
                <w:szCs w:val="21"/>
              </w:rPr>
              <w:t>44</w:t>
            </w:r>
            <w:r>
              <w:rPr>
                <w:rFonts w:hint="eastAsia" w:ascii="宋体" w:hAnsi="宋体" w:cs="宋体"/>
                <w:szCs w:val="21"/>
              </w:rPr>
              <w:t>度56分20.8261秒</w:t>
            </w:r>
          </w:p>
        </w:tc>
      </w:tr>
      <w:tr w14:paraId="051BE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22BE2072">
            <w:pPr>
              <w:adjustRightInd w:val="0"/>
              <w:snapToGrid w:val="0"/>
              <w:jc w:val="center"/>
              <w:rPr>
                <w:rFonts w:hint="eastAsia" w:ascii="宋体" w:hAnsi="宋体" w:cs="宋体"/>
                <w:szCs w:val="21"/>
              </w:rPr>
            </w:pPr>
            <w:r>
              <w:rPr>
                <w:rFonts w:hint="eastAsia" w:ascii="宋体" w:hAnsi="宋体" w:cs="宋体"/>
                <w:szCs w:val="21"/>
              </w:rPr>
              <w:t>建设项目</w:t>
            </w:r>
          </w:p>
          <w:p w14:paraId="72EF673D">
            <w:pPr>
              <w:adjustRightInd w:val="0"/>
              <w:snapToGrid w:val="0"/>
              <w:jc w:val="center"/>
              <w:rPr>
                <w:rFonts w:hint="eastAsia" w:ascii="宋体" w:hAnsi="宋体" w:cs="宋体"/>
                <w:szCs w:val="21"/>
              </w:rPr>
            </w:pPr>
            <w:r>
              <w:rPr>
                <w:rFonts w:hint="eastAsia" w:ascii="宋体" w:hAnsi="宋体" w:cs="宋体"/>
                <w:szCs w:val="21"/>
              </w:rPr>
              <w:t>行业类别</w:t>
            </w:r>
          </w:p>
        </w:tc>
        <w:tc>
          <w:tcPr>
            <w:tcW w:w="3135" w:type="dxa"/>
            <w:vAlign w:val="center"/>
          </w:tcPr>
          <w:p w14:paraId="65588758">
            <w:pPr>
              <w:adjustRightInd w:val="0"/>
              <w:snapToGrid w:val="0"/>
              <w:jc w:val="center"/>
              <w:rPr>
                <w:rFonts w:hint="eastAsia" w:ascii="宋体" w:hAnsi="宋体" w:cs="宋体"/>
                <w:szCs w:val="21"/>
              </w:rPr>
            </w:pPr>
            <w:r>
              <w:rPr>
                <w:rFonts w:ascii="宋体" w:hAnsi="宋体" w:cs="宋体"/>
                <w:szCs w:val="21"/>
              </w:rPr>
              <w:t>四十六、专业技术服务业</w:t>
            </w:r>
          </w:p>
          <w:p w14:paraId="104D224C">
            <w:pPr>
              <w:adjustRightInd w:val="0"/>
              <w:snapToGrid w:val="0"/>
              <w:jc w:val="center"/>
              <w:rPr>
                <w:rFonts w:hint="eastAsia" w:ascii="宋体" w:hAnsi="宋体" w:cs="宋体"/>
                <w:szCs w:val="21"/>
              </w:rPr>
            </w:pPr>
            <w:r>
              <w:rPr>
                <w:rFonts w:hint="eastAsia" w:ascii="宋体" w:hAnsi="宋体" w:cs="宋体"/>
                <w:szCs w:val="21"/>
              </w:rPr>
              <w:t>9</w:t>
            </w:r>
            <w:r>
              <w:rPr>
                <w:rFonts w:ascii="宋体" w:hAnsi="宋体" w:cs="宋体"/>
                <w:szCs w:val="21"/>
              </w:rPr>
              <w:t>9陆地矿产资源地质勘查（含油气资源勘探）；二氧化碳地质封存</w:t>
            </w:r>
          </w:p>
        </w:tc>
        <w:tc>
          <w:tcPr>
            <w:tcW w:w="2218" w:type="dxa"/>
            <w:vAlign w:val="center"/>
          </w:tcPr>
          <w:p w14:paraId="7A298397">
            <w:pPr>
              <w:adjustRightInd w:val="0"/>
              <w:snapToGrid w:val="0"/>
              <w:jc w:val="center"/>
              <w:rPr>
                <w:rFonts w:hint="eastAsia" w:ascii="宋体" w:hAnsi="宋体" w:cs="宋体"/>
                <w:szCs w:val="21"/>
              </w:rPr>
            </w:pPr>
            <w:r>
              <w:rPr>
                <w:rFonts w:hint="eastAsia" w:ascii="宋体" w:hAnsi="宋体" w:cs="宋体"/>
                <w:szCs w:val="21"/>
              </w:rPr>
              <w:t>用地（用海）面积（</w:t>
            </w:r>
            <w:r>
              <w:rPr>
                <w:rFonts w:ascii="宋体" w:hAnsi="宋体" w:cs="宋体"/>
                <w:szCs w:val="21"/>
              </w:rPr>
              <w:t>m</w:t>
            </w:r>
            <w:r>
              <w:rPr>
                <w:rFonts w:ascii="宋体" w:hAnsi="宋体" w:cs="宋体"/>
                <w:szCs w:val="21"/>
                <w:vertAlign w:val="superscript"/>
              </w:rPr>
              <w:t>2</w:t>
            </w:r>
            <w:r>
              <w:rPr>
                <w:rFonts w:hint="eastAsia" w:ascii="宋体" w:hAnsi="宋体" w:cs="宋体"/>
                <w:szCs w:val="21"/>
              </w:rPr>
              <w:t>）</w:t>
            </w:r>
            <w:r>
              <w:rPr>
                <w:rFonts w:ascii="宋体" w:hAnsi="宋体" w:cs="宋体"/>
                <w:szCs w:val="21"/>
              </w:rPr>
              <w:t>/</w:t>
            </w:r>
            <w:r>
              <w:rPr>
                <w:rFonts w:hint="eastAsia" w:ascii="宋体" w:hAnsi="宋体" w:cs="宋体"/>
                <w:szCs w:val="21"/>
              </w:rPr>
              <w:t>长度（</w:t>
            </w:r>
            <w:r>
              <w:rPr>
                <w:rFonts w:ascii="宋体" w:hAnsi="宋体" w:cs="宋体"/>
                <w:szCs w:val="21"/>
              </w:rPr>
              <w:t>km</w:t>
            </w:r>
            <w:r>
              <w:rPr>
                <w:rFonts w:hint="eastAsia" w:ascii="宋体" w:hAnsi="宋体" w:cs="宋体"/>
                <w:szCs w:val="21"/>
              </w:rPr>
              <w:t>）</w:t>
            </w:r>
          </w:p>
        </w:tc>
        <w:tc>
          <w:tcPr>
            <w:tcW w:w="2552" w:type="dxa"/>
            <w:gridSpan w:val="3"/>
            <w:vAlign w:val="center"/>
          </w:tcPr>
          <w:p w14:paraId="25AA2AB9">
            <w:pPr>
              <w:adjustRightInd w:val="0"/>
              <w:snapToGrid w:val="0"/>
              <w:jc w:val="center"/>
              <w:rPr>
                <w:rFonts w:hint="eastAsia" w:ascii="宋体" w:hAnsi="宋体" w:cs="宋体"/>
                <w:szCs w:val="21"/>
              </w:rPr>
            </w:pPr>
            <w:r>
              <w:rPr>
                <w:rFonts w:hint="eastAsia" w:ascii="宋体" w:hAnsi="宋体" w:cs="宋体"/>
                <w:szCs w:val="21"/>
              </w:rPr>
              <w:t>永久用地：0</w:t>
            </w:r>
          </w:p>
          <w:p w14:paraId="0C35C038">
            <w:pPr>
              <w:adjustRightInd w:val="0"/>
              <w:snapToGrid w:val="0"/>
              <w:jc w:val="center"/>
              <w:rPr>
                <w:rFonts w:hint="eastAsia" w:ascii="宋体" w:hAnsi="宋体" w:cs="宋体"/>
                <w:szCs w:val="21"/>
              </w:rPr>
            </w:pPr>
            <w:r>
              <w:rPr>
                <w:rFonts w:hint="eastAsia" w:ascii="宋体" w:hAnsi="宋体" w:cs="宋体"/>
                <w:szCs w:val="21"/>
              </w:rPr>
              <w:t>临时用地：</w:t>
            </w:r>
            <w:r>
              <w:rPr>
                <w:rFonts w:hint="eastAsia" w:ascii="宋体" w:hAnsi="宋体"/>
                <w:szCs w:val="21"/>
                <w:lang w:bidi="ar"/>
              </w:rPr>
              <w:t>44652</w:t>
            </w:r>
          </w:p>
        </w:tc>
      </w:tr>
      <w:tr w14:paraId="3A1CF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19DFB1B2">
            <w:pPr>
              <w:adjustRightInd w:val="0"/>
              <w:snapToGrid w:val="0"/>
              <w:jc w:val="center"/>
              <w:rPr>
                <w:rFonts w:hint="eastAsia" w:ascii="宋体" w:hAnsi="宋体" w:cs="宋体"/>
                <w:szCs w:val="21"/>
              </w:rPr>
            </w:pPr>
            <w:r>
              <w:rPr>
                <w:rFonts w:hint="eastAsia" w:ascii="宋体" w:hAnsi="宋体" w:cs="宋体"/>
                <w:szCs w:val="21"/>
              </w:rPr>
              <w:t>建设性质</w:t>
            </w:r>
          </w:p>
        </w:tc>
        <w:tc>
          <w:tcPr>
            <w:tcW w:w="3135" w:type="dxa"/>
            <w:vAlign w:val="center"/>
          </w:tcPr>
          <w:p w14:paraId="35B0AC77">
            <w:pPr>
              <w:adjustRightInd w:val="0"/>
              <w:snapToGrid w:val="0"/>
              <w:jc w:val="left"/>
              <w:rPr>
                <w:rFonts w:hint="eastAsia" w:ascii="宋体" w:hAnsi="宋体" w:cs="宋体"/>
                <w:szCs w:val="21"/>
              </w:rPr>
            </w:pPr>
            <w:r>
              <w:rPr>
                <w:rFonts w:ascii="Wingdings 2" w:hAnsi="Wingdings 2" w:cs="Segoe UI Symbol"/>
                <w:szCs w:val="21"/>
              </w:rPr>
              <w:t></w:t>
            </w:r>
            <w:r>
              <w:rPr>
                <w:rFonts w:hint="eastAsia" w:ascii="宋体" w:hAnsi="宋体" w:cs="宋体"/>
                <w:szCs w:val="21"/>
              </w:rPr>
              <w:t>新建（迁建）</w:t>
            </w:r>
          </w:p>
          <w:p w14:paraId="55D530EA">
            <w:pPr>
              <w:adjustRightInd w:val="0"/>
              <w:snapToGrid w:val="0"/>
              <w:jc w:val="left"/>
              <w:rPr>
                <w:rFonts w:hint="eastAsia" w:ascii="宋体" w:hAnsi="宋体" w:cs="宋体"/>
                <w:szCs w:val="21"/>
              </w:rPr>
            </w:pPr>
            <w:r>
              <w:rPr>
                <w:rFonts w:hint="eastAsia" w:ascii="宋体" w:hAnsi="宋体" w:cs="宋体"/>
                <w:szCs w:val="21"/>
              </w:rPr>
              <w:t>□改建</w:t>
            </w:r>
          </w:p>
          <w:p w14:paraId="6EC2591F">
            <w:pPr>
              <w:adjustRightInd w:val="0"/>
              <w:snapToGrid w:val="0"/>
              <w:jc w:val="left"/>
              <w:rPr>
                <w:rFonts w:hint="eastAsia" w:ascii="宋体" w:hAnsi="宋体" w:cs="宋体"/>
                <w:szCs w:val="21"/>
              </w:rPr>
            </w:pPr>
            <w:r>
              <w:rPr>
                <w:rFonts w:hint="eastAsia" w:ascii="宋体" w:hAnsi="宋体" w:cs="宋体"/>
                <w:szCs w:val="21"/>
              </w:rPr>
              <w:t>□扩建</w:t>
            </w:r>
          </w:p>
          <w:p w14:paraId="30E1EB7B">
            <w:pPr>
              <w:adjustRightInd w:val="0"/>
              <w:snapToGrid w:val="0"/>
              <w:jc w:val="left"/>
              <w:rPr>
                <w:rFonts w:hint="eastAsia" w:ascii="宋体" w:hAnsi="宋体" w:cs="宋体"/>
                <w:szCs w:val="21"/>
              </w:rPr>
            </w:pPr>
            <w:r>
              <w:rPr>
                <w:rFonts w:hint="eastAsia" w:ascii="宋体" w:hAnsi="宋体" w:cs="宋体"/>
                <w:szCs w:val="21"/>
              </w:rPr>
              <w:t>□技术改造</w:t>
            </w:r>
          </w:p>
        </w:tc>
        <w:tc>
          <w:tcPr>
            <w:tcW w:w="2218" w:type="dxa"/>
            <w:vAlign w:val="center"/>
          </w:tcPr>
          <w:p w14:paraId="661392D7">
            <w:pPr>
              <w:adjustRightInd w:val="0"/>
              <w:snapToGrid w:val="0"/>
              <w:jc w:val="center"/>
              <w:rPr>
                <w:rFonts w:hint="eastAsia" w:ascii="宋体" w:hAnsi="宋体" w:cs="宋体"/>
                <w:szCs w:val="21"/>
              </w:rPr>
            </w:pPr>
            <w:r>
              <w:rPr>
                <w:rFonts w:hint="eastAsia" w:ascii="宋体" w:hAnsi="宋体" w:cs="宋体"/>
                <w:szCs w:val="21"/>
              </w:rPr>
              <w:t>建设项目</w:t>
            </w:r>
          </w:p>
          <w:p w14:paraId="17F5350C">
            <w:pPr>
              <w:adjustRightInd w:val="0"/>
              <w:snapToGrid w:val="0"/>
              <w:jc w:val="center"/>
              <w:rPr>
                <w:rFonts w:hint="eastAsia" w:ascii="宋体" w:hAnsi="宋体" w:cs="宋体"/>
                <w:szCs w:val="21"/>
              </w:rPr>
            </w:pPr>
            <w:r>
              <w:rPr>
                <w:rFonts w:hint="eastAsia" w:ascii="宋体" w:hAnsi="宋体" w:cs="宋体"/>
                <w:szCs w:val="21"/>
              </w:rPr>
              <w:t>申报情形</w:t>
            </w:r>
          </w:p>
        </w:tc>
        <w:tc>
          <w:tcPr>
            <w:tcW w:w="2552" w:type="dxa"/>
            <w:gridSpan w:val="3"/>
            <w:vAlign w:val="center"/>
          </w:tcPr>
          <w:p w14:paraId="3500D943">
            <w:pPr>
              <w:adjustRightInd w:val="0"/>
              <w:snapToGrid w:val="0"/>
              <w:jc w:val="left"/>
              <w:rPr>
                <w:rFonts w:hint="eastAsia" w:ascii="宋体" w:hAnsi="宋体" w:cs="宋体"/>
                <w:szCs w:val="21"/>
              </w:rPr>
            </w:pPr>
            <w:r>
              <w:rPr>
                <w:rFonts w:ascii="Wingdings 2" w:hAnsi="Wingdings 2" w:cs="Segoe UI Symbol"/>
                <w:szCs w:val="21"/>
              </w:rPr>
              <w:t></w:t>
            </w:r>
            <w:r>
              <w:rPr>
                <w:rFonts w:hint="eastAsia" w:ascii="宋体" w:hAnsi="宋体" w:cs="宋体"/>
                <w:szCs w:val="21"/>
              </w:rPr>
              <w:t>首次申报项目</w:t>
            </w:r>
          </w:p>
          <w:p w14:paraId="7C9BB940">
            <w:pPr>
              <w:adjustRightInd w:val="0"/>
              <w:snapToGrid w:val="0"/>
              <w:jc w:val="left"/>
              <w:rPr>
                <w:rFonts w:hint="eastAsia" w:ascii="宋体" w:hAnsi="宋体" w:cs="宋体"/>
                <w:szCs w:val="21"/>
              </w:rPr>
            </w:pPr>
            <w:r>
              <w:rPr>
                <w:rFonts w:hint="eastAsia" w:ascii="宋体" w:hAnsi="宋体" w:cs="宋体"/>
                <w:szCs w:val="21"/>
              </w:rPr>
              <w:t>□不予批准后再次申报项目</w:t>
            </w:r>
          </w:p>
          <w:p w14:paraId="7D1ECB40">
            <w:pPr>
              <w:adjustRightInd w:val="0"/>
              <w:snapToGrid w:val="0"/>
              <w:jc w:val="left"/>
              <w:rPr>
                <w:rFonts w:hint="eastAsia" w:ascii="宋体" w:hAnsi="宋体" w:cs="宋体"/>
                <w:szCs w:val="21"/>
              </w:rPr>
            </w:pPr>
            <w:r>
              <w:rPr>
                <w:rFonts w:hint="eastAsia" w:ascii="宋体" w:hAnsi="宋体" w:cs="宋体"/>
                <w:szCs w:val="21"/>
              </w:rPr>
              <w:t>□超五年重新审核项目</w:t>
            </w:r>
          </w:p>
          <w:p w14:paraId="216851F5">
            <w:pPr>
              <w:adjustRightInd w:val="0"/>
              <w:snapToGrid w:val="0"/>
              <w:rPr>
                <w:rFonts w:hint="eastAsia" w:ascii="宋体" w:hAnsi="宋体" w:cs="宋体"/>
                <w:szCs w:val="21"/>
              </w:rPr>
            </w:pPr>
            <w:r>
              <w:rPr>
                <w:rFonts w:hint="eastAsia" w:ascii="宋体" w:hAnsi="宋体" w:cs="宋体"/>
                <w:szCs w:val="21"/>
              </w:rPr>
              <w:t>□重大变动重新报批项目</w:t>
            </w:r>
          </w:p>
        </w:tc>
      </w:tr>
      <w:tr w14:paraId="2938D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04A22063">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14:paraId="5AC12997">
            <w:pPr>
              <w:adjustRightInd w:val="0"/>
              <w:snapToGrid w:val="0"/>
              <w:jc w:val="center"/>
              <w:rPr>
                <w:rFonts w:hint="eastAsia" w:ascii="宋体" w:hAnsi="宋体" w:cs="宋体"/>
                <w:szCs w:val="21"/>
              </w:rPr>
            </w:pPr>
            <w:r>
              <w:rPr>
                <w:rFonts w:hint="eastAsia" w:ascii="宋体" w:hAnsi="宋体" w:cs="宋体"/>
                <w:szCs w:val="21"/>
              </w:rPr>
              <w:t>备案）部门（选填）</w:t>
            </w:r>
          </w:p>
        </w:tc>
        <w:tc>
          <w:tcPr>
            <w:tcW w:w="3135" w:type="dxa"/>
            <w:vAlign w:val="center"/>
          </w:tcPr>
          <w:p w14:paraId="3F656577">
            <w:pPr>
              <w:adjustRightInd w:val="0"/>
              <w:snapToGrid w:val="0"/>
              <w:jc w:val="center"/>
              <w:rPr>
                <w:rFonts w:hint="eastAsia" w:ascii="宋体" w:hAnsi="宋体" w:cs="宋体"/>
                <w:szCs w:val="21"/>
              </w:rPr>
            </w:pPr>
            <w:r>
              <w:rPr>
                <w:rFonts w:hint="eastAsia" w:ascii="宋体" w:hAnsi="宋体" w:cs="宋体"/>
                <w:szCs w:val="21"/>
              </w:rPr>
              <w:t>无</w:t>
            </w:r>
          </w:p>
        </w:tc>
        <w:tc>
          <w:tcPr>
            <w:tcW w:w="2218" w:type="dxa"/>
            <w:vAlign w:val="center"/>
          </w:tcPr>
          <w:p w14:paraId="2FF25761">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14:paraId="7F0EF336">
            <w:pPr>
              <w:adjustRightInd w:val="0"/>
              <w:snapToGrid w:val="0"/>
              <w:jc w:val="center"/>
              <w:rPr>
                <w:rFonts w:hint="eastAsia" w:ascii="宋体" w:hAnsi="宋体" w:cs="宋体"/>
                <w:szCs w:val="21"/>
              </w:rPr>
            </w:pPr>
            <w:r>
              <w:rPr>
                <w:rFonts w:hint="eastAsia" w:ascii="宋体" w:hAnsi="宋体" w:cs="宋体"/>
                <w:szCs w:val="21"/>
              </w:rPr>
              <w:t>备案）文号（选填）</w:t>
            </w:r>
          </w:p>
        </w:tc>
        <w:tc>
          <w:tcPr>
            <w:tcW w:w="2552" w:type="dxa"/>
            <w:gridSpan w:val="3"/>
            <w:vAlign w:val="center"/>
          </w:tcPr>
          <w:p w14:paraId="7B9549B0">
            <w:pPr>
              <w:adjustRightInd w:val="0"/>
              <w:snapToGrid w:val="0"/>
              <w:jc w:val="center"/>
              <w:rPr>
                <w:rFonts w:hint="eastAsia" w:ascii="宋体" w:hAnsi="宋体" w:cs="宋体"/>
                <w:szCs w:val="21"/>
              </w:rPr>
            </w:pPr>
            <w:r>
              <w:rPr>
                <w:rFonts w:hint="eastAsia" w:ascii="宋体" w:hAnsi="宋体" w:cs="宋体"/>
                <w:szCs w:val="21"/>
              </w:rPr>
              <w:t>无</w:t>
            </w:r>
          </w:p>
        </w:tc>
      </w:tr>
      <w:tr w14:paraId="6FB95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043D448A">
            <w:pPr>
              <w:adjustRightInd w:val="0"/>
              <w:snapToGrid w:val="0"/>
              <w:jc w:val="center"/>
              <w:rPr>
                <w:rFonts w:hint="eastAsia" w:ascii="宋体" w:hAnsi="宋体" w:cs="宋体"/>
                <w:szCs w:val="21"/>
              </w:rPr>
            </w:pPr>
            <w:r>
              <w:rPr>
                <w:rFonts w:hint="eastAsia" w:ascii="宋体" w:hAnsi="宋体" w:cs="宋体"/>
                <w:szCs w:val="21"/>
              </w:rPr>
              <w:t>总投资（万元）</w:t>
            </w:r>
          </w:p>
        </w:tc>
        <w:tc>
          <w:tcPr>
            <w:tcW w:w="3135" w:type="dxa"/>
            <w:vAlign w:val="center"/>
          </w:tcPr>
          <w:p w14:paraId="3D7B1649">
            <w:pPr>
              <w:adjustRightInd w:val="0"/>
              <w:snapToGrid w:val="0"/>
              <w:jc w:val="center"/>
              <w:rPr>
                <w:rFonts w:hint="eastAsia" w:ascii="宋体" w:hAnsi="宋体" w:cs="宋体"/>
                <w:szCs w:val="21"/>
              </w:rPr>
            </w:pPr>
            <w:r>
              <w:rPr>
                <w:rFonts w:hint="eastAsia" w:ascii="宋体" w:hAnsi="宋体" w:cs="宋体"/>
                <w:szCs w:val="21"/>
              </w:rPr>
              <w:t>4720.0</w:t>
            </w:r>
          </w:p>
        </w:tc>
        <w:tc>
          <w:tcPr>
            <w:tcW w:w="2218" w:type="dxa"/>
            <w:tcMar>
              <w:top w:w="16" w:type="dxa"/>
              <w:left w:w="16" w:type="dxa"/>
              <w:right w:w="16" w:type="dxa"/>
            </w:tcMar>
            <w:vAlign w:val="center"/>
          </w:tcPr>
          <w:p w14:paraId="3612B22E">
            <w:pPr>
              <w:adjustRightInd w:val="0"/>
              <w:snapToGrid w:val="0"/>
              <w:jc w:val="center"/>
              <w:rPr>
                <w:rFonts w:hint="eastAsia" w:ascii="宋体" w:hAnsi="宋体" w:cs="宋体"/>
                <w:szCs w:val="21"/>
              </w:rPr>
            </w:pPr>
            <w:r>
              <w:rPr>
                <w:rFonts w:hint="eastAsia" w:ascii="宋体" w:hAnsi="宋体" w:cs="宋体"/>
                <w:szCs w:val="21"/>
              </w:rPr>
              <w:t>环保投资（万元）</w:t>
            </w:r>
          </w:p>
        </w:tc>
        <w:tc>
          <w:tcPr>
            <w:tcW w:w="2552" w:type="dxa"/>
            <w:gridSpan w:val="3"/>
            <w:vAlign w:val="center"/>
          </w:tcPr>
          <w:p w14:paraId="064A6961">
            <w:pPr>
              <w:adjustRightInd w:val="0"/>
              <w:snapToGrid w:val="0"/>
              <w:jc w:val="center"/>
              <w:rPr>
                <w:rFonts w:hint="eastAsia" w:ascii="宋体" w:hAnsi="宋体" w:cs="宋体"/>
                <w:szCs w:val="21"/>
              </w:rPr>
            </w:pPr>
            <w:r>
              <w:rPr>
                <w:rFonts w:hint="eastAsia" w:ascii="宋体" w:hAnsi="宋体" w:cs="宋体"/>
                <w:szCs w:val="21"/>
              </w:rPr>
              <w:t>157</w:t>
            </w:r>
          </w:p>
        </w:tc>
      </w:tr>
      <w:tr w14:paraId="352F0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34AA4961">
            <w:pPr>
              <w:adjustRightInd w:val="0"/>
              <w:snapToGrid w:val="0"/>
              <w:jc w:val="center"/>
              <w:rPr>
                <w:rFonts w:hint="eastAsia"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3135" w:type="dxa"/>
            <w:vAlign w:val="center"/>
          </w:tcPr>
          <w:p w14:paraId="03CDE097">
            <w:pPr>
              <w:adjustRightInd w:val="0"/>
              <w:snapToGrid w:val="0"/>
              <w:jc w:val="center"/>
              <w:rPr>
                <w:rFonts w:hint="eastAsia" w:ascii="宋体" w:hAnsi="宋体" w:cs="宋体"/>
                <w:szCs w:val="21"/>
              </w:rPr>
            </w:pPr>
            <w:r>
              <w:rPr>
                <w:rFonts w:hint="eastAsia" w:ascii="宋体" w:hAnsi="宋体" w:cs="宋体"/>
                <w:szCs w:val="21"/>
              </w:rPr>
              <w:t>3.32</w:t>
            </w:r>
          </w:p>
        </w:tc>
        <w:tc>
          <w:tcPr>
            <w:tcW w:w="2218" w:type="dxa"/>
            <w:tcMar>
              <w:top w:w="16" w:type="dxa"/>
              <w:left w:w="16" w:type="dxa"/>
              <w:right w:w="16" w:type="dxa"/>
            </w:tcMar>
            <w:vAlign w:val="center"/>
          </w:tcPr>
          <w:p w14:paraId="0C2DA5E0">
            <w:pPr>
              <w:adjustRightInd w:val="0"/>
              <w:snapToGrid w:val="0"/>
              <w:jc w:val="center"/>
              <w:rPr>
                <w:rFonts w:hint="eastAsia" w:ascii="宋体" w:hAnsi="宋体" w:cs="宋体"/>
                <w:szCs w:val="21"/>
              </w:rPr>
            </w:pPr>
            <w:r>
              <w:rPr>
                <w:rFonts w:hint="eastAsia" w:ascii="宋体" w:hAnsi="宋体" w:cs="宋体"/>
                <w:szCs w:val="21"/>
              </w:rPr>
              <w:t>施工工期</w:t>
            </w:r>
          </w:p>
        </w:tc>
        <w:tc>
          <w:tcPr>
            <w:tcW w:w="2552" w:type="dxa"/>
            <w:gridSpan w:val="3"/>
            <w:vAlign w:val="center"/>
          </w:tcPr>
          <w:p w14:paraId="4E412B83">
            <w:pPr>
              <w:adjustRightInd w:val="0"/>
              <w:snapToGrid w:val="0"/>
              <w:jc w:val="center"/>
              <w:rPr>
                <w:rFonts w:hint="eastAsia" w:ascii="宋体" w:hAnsi="宋体" w:cs="宋体"/>
                <w:szCs w:val="21"/>
              </w:rPr>
            </w:pPr>
            <w:r>
              <w:rPr>
                <w:rFonts w:hint="eastAsia" w:ascii="宋体" w:hAnsi="宋体"/>
                <w:szCs w:val="21"/>
              </w:rPr>
              <w:t>钻井8</w:t>
            </w:r>
            <w:r>
              <w:rPr>
                <w:rFonts w:ascii="宋体" w:hAnsi="宋体"/>
                <w:szCs w:val="21"/>
              </w:rPr>
              <w:t>0d</w:t>
            </w:r>
            <w:r>
              <w:rPr>
                <w:rFonts w:hint="eastAsia" w:ascii="宋体" w:hAnsi="宋体"/>
                <w:szCs w:val="21"/>
              </w:rPr>
              <w:t>，试油8</w:t>
            </w:r>
            <w:r>
              <w:rPr>
                <w:rFonts w:ascii="宋体" w:hAnsi="宋体"/>
                <w:szCs w:val="21"/>
              </w:rPr>
              <w:t>0</w:t>
            </w:r>
            <w:r>
              <w:rPr>
                <w:rFonts w:hint="eastAsia" w:ascii="宋体" w:hAnsi="宋体" w:cs="宋体"/>
                <w:szCs w:val="21"/>
              </w:rPr>
              <w:t>d</w:t>
            </w:r>
          </w:p>
        </w:tc>
      </w:tr>
      <w:tr w14:paraId="2052D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697AB220">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7905" w:type="dxa"/>
            <w:gridSpan w:val="5"/>
            <w:vAlign w:val="center"/>
          </w:tcPr>
          <w:p w14:paraId="23105CE1">
            <w:pPr>
              <w:adjustRightInd w:val="0"/>
              <w:snapToGrid w:val="0"/>
              <w:ind w:firstLine="105"/>
              <w:jc w:val="left"/>
              <w:rPr>
                <w:rFonts w:hint="eastAsia" w:ascii="宋体" w:hAnsi="宋体" w:cs="宋体"/>
                <w:szCs w:val="21"/>
              </w:rPr>
            </w:pPr>
            <w:r>
              <w:rPr>
                <w:rFonts w:hint="eastAsia" w:ascii="宋体" w:hAnsi="宋体" w:cs="宋体"/>
                <w:szCs w:val="21"/>
              </w:rPr>
              <w:t>√否</w:t>
            </w:r>
          </w:p>
          <w:p w14:paraId="45C7E2C1">
            <w:pPr>
              <w:adjustRightInd w:val="0"/>
              <w:snapToGrid w:val="0"/>
              <w:ind w:firstLine="92"/>
              <w:jc w:val="left"/>
              <w:rPr>
                <w:rFonts w:hint="eastAsia" w:ascii="宋体" w:hAnsi="宋体" w:cs="宋体"/>
                <w:szCs w:val="21"/>
              </w:rPr>
            </w:pPr>
            <w:r>
              <w:rPr>
                <w:rFonts w:hint="eastAsia" w:ascii="宋体" w:hAnsi="宋体" w:cs="宋体"/>
                <w:szCs w:val="21"/>
              </w:rPr>
              <w:t>□是：</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p>
        </w:tc>
      </w:tr>
      <w:tr w14:paraId="2733B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2504D539">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专项评价设置情况</w:t>
            </w:r>
          </w:p>
        </w:tc>
        <w:tc>
          <w:tcPr>
            <w:tcW w:w="7905" w:type="dxa"/>
            <w:gridSpan w:val="5"/>
            <w:tcMar>
              <w:top w:w="16" w:type="dxa"/>
              <w:left w:w="16" w:type="dxa"/>
              <w:right w:w="16" w:type="dxa"/>
            </w:tcMar>
            <w:vAlign w:val="center"/>
          </w:tcPr>
          <w:p w14:paraId="4574A6E6">
            <w:pPr>
              <w:autoSpaceDE w:val="0"/>
              <w:autoSpaceDN w:val="0"/>
              <w:adjustRightInd w:val="0"/>
              <w:snapToGrid w:val="0"/>
              <w:jc w:val="center"/>
              <w:rPr>
                <w:rFonts w:hint="eastAsia" w:ascii="宋体" w:hAnsi="宋体"/>
                <w:szCs w:val="21"/>
              </w:rPr>
            </w:pPr>
            <w:r>
              <w:rPr>
                <w:rFonts w:ascii="宋体" w:hAnsi="宋体"/>
                <w:szCs w:val="21"/>
              </w:rPr>
              <w:t>无</w:t>
            </w:r>
          </w:p>
        </w:tc>
      </w:tr>
      <w:tr w14:paraId="5869F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640" w:hRule="atLeast"/>
        </w:trPr>
        <w:tc>
          <w:tcPr>
            <w:tcW w:w="1134" w:type="dxa"/>
            <w:gridSpan w:val="2"/>
            <w:tcMar>
              <w:top w:w="16" w:type="dxa"/>
              <w:left w:w="16" w:type="dxa"/>
              <w:right w:w="16" w:type="dxa"/>
            </w:tcMar>
            <w:vAlign w:val="center"/>
          </w:tcPr>
          <w:p w14:paraId="0550D685">
            <w:pPr>
              <w:autoSpaceDE w:val="0"/>
              <w:autoSpaceDN w:val="0"/>
              <w:adjustRightInd w:val="0"/>
              <w:snapToGrid w:val="0"/>
              <w:jc w:val="center"/>
              <w:rPr>
                <w:rFonts w:hint="eastAsia" w:ascii="宋体" w:hAnsi="宋体" w:cs="宋体"/>
                <w:szCs w:val="21"/>
              </w:rPr>
            </w:pPr>
            <w:r>
              <w:rPr>
                <w:rFonts w:hint="eastAsia" w:ascii="宋体" w:hAnsi="宋体" w:cs="宋体"/>
                <w:szCs w:val="21"/>
              </w:rPr>
              <w:t>规划情况</w:t>
            </w:r>
          </w:p>
        </w:tc>
        <w:tc>
          <w:tcPr>
            <w:tcW w:w="7905" w:type="dxa"/>
            <w:gridSpan w:val="5"/>
            <w:tcMar>
              <w:top w:w="16" w:type="dxa"/>
              <w:left w:w="16" w:type="dxa"/>
              <w:right w:w="16" w:type="dxa"/>
            </w:tcMar>
            <w:vAlign w:val="center"/>
          </w:tcPr>
          <w:p w14:paraId="09425468">
            <w:pPr>
              <w:pStyle w:val="3"/>
              <w:ind w:firstLine="420"/>
              <w:rPr>
                <w:rFonts w:hint="eastAsia"/>
                <w:sz w:val="21"/>
              </w:rPr>
            </w:pPr>
            <w:r>
              <w:rPr>
                <w:rFonts w:hint="eastAsia"/>
                <w:sz w:val="21"/>
              </w:rPr>
              <w:t>1、规划名称：《新疆维吾尔自治区矿产资源总体规划（2021-2025年）》</w:t>
            </w:r>
          </w:p>
          <w:p w14:paraId="50ACD413">
            <w:pPr>
              <w:pStyle w:val="3"/>
              <w:ind w:firstLine="420"/>
              <w:rPr>
                <w:rFonts w:hint="eastAsia"/>
                <w:sz w:val="21"/>
              </w:rPr>
            </w:pPr>
            <w:r>
              <w:rPr>
                <w:rFonts w:hint="eastAsia"/>
                <w:sz w:val="21"/>
              </w:rPr>
              <w:t>审批机关：自然资源部；</w:t>
            </w:r>
          </w:p>
          <w:p w14:paraId="1150C2E2">
            <w:pPr>
              <w:pStyle w:val="3"/>
              <w:ind w:firstLine="420"/>
              <w:rPr>
                <w:rFonts w:hint="eastAsia"/>
                <w:sz w:val="21"/>
              </w:rPr>
            </w:pPr>
            <w:r>
              <w:rPr>
                <w:rFonts w:hint="eastAsia"/>
                <w:sz w:val="21"/>
              </w:rPr>
              <w:t>审批文号：自然资函[2022]1092号。</w:t>
            </w:r>
          </w:p>
          <w:p w14:paraId="625113BE">
            <w:pPr>
              <w:pStyle w:val="3"/>
              <w:ind w:firstLine="420"/>
              <w:rPr>
                <w:rFonts w:hint="eastAsia"/>
                <w:sz w:val="21"/>
              </w:rPr>
            </w:pPr>
            <w:r>
              <w:rPr>
                <w:rFonts w:hint="eastAsia"/>
                <w:sz w:val="21"/>
              </w:rPr>
              <w:t>2、规划名称：《新疆维吾尔自治区昌吉回族自治州矿产资源总体规划（2021-2025年）》；</w:t>
            </w:r>
          </w:p>
          <w:p w14:paraId="5B6F5057">
            <w:pPr>
              <w:pStyle w:val="3"/>
              <w:ind w:firstLine="420"/>
              <w:rPr>
                <w:rFonts w:hint="eastAsia"/>
              </w:rPr>
            </w:pPr>
            <w:r>
              <w:rPr>
                <w:rFonts w:hint="eastAsia"/>
                <w:sz w:val="21"/>
              </w:rPr>
              <w:t>规划编制单位：昌吉回族自治州人民政府；</w:t>
            </w:r>
          </w:p>
        </w:tc>
      </w:tr>
      <w:tr w14:paraId="5DC91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794" w:hRule="atLeast"/>
        </w:trPr>
        <w:tc>
          <w:tcPr>
            <w:tcW w:w="1134" w:type="dxa"/>
            <w:gridSpan w:val="2"/>
            <w:tcMar>
              <w:top w:w="16" w:type="dxa"/>
              <w:left w:w="16" w:type="dxa"/>
              <w:right w:w="16" w:type="dxa"/>
            </w:tcMar>
            <w:vAlign w:val="center"/>
          </w:tcPr>
          <w:p w14:paraId="75483B97">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规划环境影响评价情况</w:t>
            </w:r>
          </w:p>
        </w:tc>
        <w:tc>
          <w:tcPr>
            <w:tcW w:w="7905" w:type="dxa"/>
            <w:gridSpan w:val="5"/>
            <w:tcMar>
              <w:top w:w="16" w:type="dxa"/>
              <w:left w:w="16" w:type="dxa"/>
              <w:right w:w="16" w:type="dxa"/>
            </w:tcMar>
            <w:vAlign w:val="center"/>
          </w:tcPr>
          <w:p w14:paraId="6F2301BE">
            <w:pPr>
              <w:pStyle w:val="3"/>
              <w:ind w:firstLine="420"/>
              <w:rPr>
                <w:rFonts w:hint="eastAsia"/>
                <w:sz w:val="21"/>
              </w:rPr>
            </w:pPr>
            <w:r>
              <w:rPr>
                <w:rFonts w:hint="eastAsia"/>
                <w:sz w:val="21"/>
              </w:rPr>
              <w:t>1、规划环评文件名称：《新疆维吾尔自治区矿产资源总体规划（2021-2025年）环境影响报告书》；</w:t>
            </w:r>
          </w:p>
          <w:p w14:paraId="2D06D9D3">
            <w:pPr>
              <w:pStyle w:val="3"/>
              <w:ind w:firstLine="420"/>
              <w:rPr>
                <w:rFonts w:hint="eastAsia"/>
                <w:sz w:val="21"/>
              </w:rPr>
            </w:pPr>
            <w:r>
              <w:rPr>
                <w:rFonts w:hint="eastAsia"/>
                <w:sz w:val="21"/>
              </w:rPr>
              <w:t>审查机关：中华人民共和国生态环境部；</w:t>
            </w:r>
          </w:p>
          <w:p w14:paraId="7ADF3A9B">
            <w:pPr>
              <w:pStyle w:val="3"/>
              <w:ind w:firstLine="420"/>
              <w:rPr>
                <w:rFonts w:hint="eastAsia"/>
                <w:sz w:val="21"/>
              </w:rPr>
            </w:pPr>
            <w:r>
              <w:rPr>
                <w:rFonts w:hint="eastAsia"/>
                <w:sz w:val="21"/>
              </w:rPr>
              <w:t>审查文件名称及文号：《关于〈新疆维吾尔自治区矿产资源总体规划（2021-2025年）环境影响报告书〉的审查意见》（环审[2022]124号）。</w:t>
            </w:r>
          </w:p>
          <w:p w14:paraId="60D84D09">
            <w:pPr>
              <w:pStyle w:val="3"/>
              <w:ind w:firstLine="420"/>
              <w:rPr>
                <w:rFonts w:hint="eastAsia"/>
                <w:sz w:val="21"/>
              </w:rPr>
            </w:pPr>
            <w:r>
              <w:rPr>
                <w:rFonts w:hint="eastAsia"/>
                <w:sz w:val="21"/>
              </w:rPr>
              <w:t>2、规划环评文件名称：《新疆维吾尔自治区昌吉回族自治州矿产资源总体规划（2021-2025年）环境影响报告书》；</w:t>
            </w:r>
          </w:p>
          <w:p w14:paraId="65102E81">
            <w:pPr>
              <w:pStyle w:val="3"/>
              <w:ind w:firstLine="420"/>
              <w:rPr>
                <w:rFonts w:hint="eastAsia"/>
                <w:sz w:val="21"/>
              </w:rPr>
            </w:pPr>
            <w:r>
              <w:rPr>
                <w:rFonts w:hint="eastAsia"/>
                <w:sz w:val="21"/>
              </w:rPr>
              <w:t>审查机关：昌吉回族自治州生态环境局；</w:t>
            </w:r>
          </w:p>
          <w:p w14:paraId="38D4FBB5">
            <w:pPr>
              <w:pStyle w:val="3"/>
              <w:ind w:firstLine="420"/>
              <w:rPr>
                <w:rFonts w:hint="eastAsia"/>
                <w:szCs w:val="20"/>
              </w:rPr>
            </w:pPr>
            <w:r>
              <w:rPr>
                <w:rFonts w:hint="eastAsia"/>
                <w:sz w:val="21"/>
              </w:rPr>
              <w:t>审查文件名称及文号：《关于〈新疆维吾尔自治区昌吉回族自治州矿产资源总体规划（2021-2025年）环境影响报告书〉的审查意见》（昌州环函[2023]40号）。</w:t>
            </w:r>
          </w:p>
        </w:tc>
      </w:tr>
      <w:tr w14:paraId="58685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16" w:type="dxa"/>
          <w:trHeight w:val="9681" w:hRule="atLeast"/>
        </w:trPr>
        <w:tc>
          <w:tcPr>
            <w:tcW w:w="1134" w:type="dxa"/>
            <w:gridSpan w:val="2"/>
            <w:tcMar>
              <w:top w:w="16" w:type="dxa"/>
              <w:left w:w="16" w:type="dxa"/>
              <w:right w:w="16" w:type="dxa"/>
            </w:tcMar>
            <w:vAlign w:val="center"/>
          </w:tcPr>
          <w:p w14:paraId="0691FEA4">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w:t>
            </w:r>
            <w:r>
              <w:rPr>
                <w:rFonts w:hint="eastAsia" w:ascii="宋体" w:hAnsi="宋体" w:cs="宋体"/>
                <w:szCs w:val="21"/>
              </w:rPr>
              <w:t>规划环境影响评价</w:t>
            </w:r>
            <w:r>
              <w:rPr>
                <w:rFonts w:hint="eastAsia" w:ascii="宋体" w:hAnsi="宋体" w:cs="宋体"/>
                <w:kern w:val="0"/>
                <w:szCs w:val="21"/>
              </w:rPr>
              <w:t>符合性分析</w:t>
            </w:r>
          </w:p>
        </w:tc>
        <w:tc>
          <w:tcPr>
            <w:tcW w:w="7905" w:type="dxa"/>
            <w:gridSpan w:val="5"/>
            <w:tcMar>
              <w:top w:w="16" w:type="dxa"/>
              <w:left w:w="16" w:type="dxa"/>
              <w:right w:w="16" w:type="dxa"/>
            </w:tcMar>
            <w:vAlign w:val="center"/>
          </w:tcPr>
          <w:p w14:paraId="29E2815E">
            <w:pPr>
              <w:pStyle w:val="3"/>
              <w:spacing w:line="332" w:lineRule="auto"/>
              <w:ind w:firstLine="420"/>
              <w:rPr>
                <w:rFonts w:hint="eastAsia"/>
                <w:sz w:val="21"/>
              </w:rPr>
            </w:pPr>
            <w:r>
              <w:rPr>
                <w:rFonts w:hint="eastAsia"/>
                <w:sz w:val="21"/>
              </w:rPr>
              <w:t>1、与《新疆维吾尔自治区矿产资源总体规划》（2021-2025）</w:t>
            </w:r>
            <w:r>
              <w:rPr>
                <w:rFonts w:hint="eastAsia" w:cs="宋体"/>
                <w:sz w:val="21"/>
                <w:szCs w:val="21"/>
              </w:rPr>
              <w:t>相符性</w:t>
            </w:r>
            <w:r>
              <w:rPr>
                <w:rFonts w:hint="eastAsia"/>
                <w:sz w:val="21"/>
              </w:rPr>
              <w:t>分析</w:t>
            </w:r>
          </w:p>
          <w:p w14:paraId="7189B7EE">
            <w:pPr>
              <w:pStyle w:val="89"/>
              <w:ind w:firstLine="420"/>
              <w:rPr>
                <w:rFonts w:hint="eastAsia" w:hAnsi="宋体"/>
              </w:rPr>
            </w:pPr>
            <w:r>
              <w:rPr>
                <w:rFonts w:hint="eastAsia"/>
              </w:rPr>
              <w:t>（1）《规划》</w:t>
            </w:r>
            <w:r>
              <w:rPr>
                <w:rFonts w:hint="eastAsia" w:hAnsi="宋体"/>
              </w:rPr>
              <w:t>指出“围绕新疆“三屏两环多廊”的生态安全格局，坚持矿产资源开发与资源环境承载力相匹配，做好与国家和新疆区域发展战略及主体功能区的衔接，执行国土空间三条控制线内矿业活动管控要求，探索对三条控制线内、建设项目压覆、政策性关闭矿山的矿产资源保护与储备。落实生态环境准入清单，严格落实矿产资源开发禁止和限制的环境准入要求。坚守环境质量底线，加强矿产资源开发管控，合理调控全区矿产资源开发利用总量、强度，提高矿产资源利用效率。依据矿产资源分布特点及勘查开发利用现状，按照“深化北疆东疆，加快南疆勘查开发”的总体思路，划分环准噶尔、环塔里木、阿尔泰、东准噶尔、西准噶尔、东天山、西天山、西南天山、西昆仑、东昆仑—阿尔金等“两环八带”十个勘查开发区”。</w:t>
            </w:r>
          </w:p>
          <w:p w14:paraId="4B621BEC">
            <w:pPr>
              <w:pStyle w:val="89"/>
              <w:wordWrap w:val="0"/>
              <w:ind w:firstLine="420"/>
              <w:rPr>
                <w:rFonts w:hint="eastAsia" w:hAnsi="宋体"/>
              </w:rPr>
            </w:pPr>
            <w:r>
              <w:rPr>
                <w:rFonts w:hint="eastAsia" w:hAnsi="宋体"/>
              </w:rPr>
              <w:t>本项目为陆地矿产资源地质勘查（油气资源勘探）项目，项目临时占地只在短期内改变土地利用类型和植被现状，施工结束后将对临时占用土地进行地貌恢复，即可恢复为原有土地利用类型。根据“两环八带”勘察开发布局，本项目属于环准噶尔能源矿产勘查开发区。本项目的建设符合《新疆维吾尔自治区矿产资源总体规划（2021-2025年）》要求。</w:t>
            </w:r>
          </w:p>
          <w:p w14:paraId="0DD60D52">
            <w:pPr>
              <w:pStyle w:val="89"/>
              <w:ind w:firstLine="420"/>
              <w:rPr>
                <w:rFonts w:hint="eastAsia" w:hAnsi="宋体"/>
              </w:rPr>
            </w:pPr>
            <w:r>
              <w:rPr>
                <w:rFonts w:hint="eastAsia"/>
              </w:rPr>
              <w:t>（2）《规划》</w:t>
            </w:r>
            <w:r>
              <w:rPr>
                <w:rFonts w:hint="eastAsia" w:hAnsi="宋体"/>
              </w:rPr>
              <w:t>指出“落实国家能源资源安全战略，结合新疆实际，合理确定重点、限制、禁止勘查开采矿种。”</w:t>
            </w:r>
          </w:p>
          <w:p w14:paraId="67C9BB6F">
            <w:pPr>
              <w:pStyle w:val="89"/>
              <w:ind w:firstLine="420"/>
              <w:rPr>
                <w:rFonts w:hint="eastAsia" w:hAnsi="宋体"/>
              </w:rPr>
            </w:pPr>
            <w:r>
              <w:rPr>
                <w:rFonts w:hint="eastAsia" w:hAnsi="宋体"/>
              </w:rPr>
              <w:t xml:space="preserve"> 重点勘查开采矿种：</w:t>
            </w:r>
            <w:r>
              <w:rPr>
                <w:rFonts w:hint="eastAsia" w:hAnsi="宋体"/>
                <w:b/>
              </w:rPr>
              <w:t>石油</w:t>
            </w:r>
            <w:r>
              <w:rPr>
                <w:rFonts w:hint="eastAsia" w:hAnsi="宋体"/>
              </w:rPr>
              <w:t>、天然气、页岩气、煤层气、煤、地热等能源矿产，铁、铬、锰、铜、镍、钴、铅锌、金、锂、铍、钒、钛等金属矿产，以及钾盐、萤石、硅质原料等非金属矿产。”</w:t>
            </w:r>
          </w:p>
          <w:p w14:paraId="41287774">
            <w:pPr>
              <w:pStyle w:val="113"/>
              <w:rPr>
                <w:rFonts w:hint="eastAsia"/>
              </w:rPr>
            </w:pPr>
            <w:r>
              <w:rPr>
                <w:rFonts w:hint="eastAsia"/>
              </w:rPr>
              <w:t>本项目为陆地矿产资源地质勘查（油气资源勘探）项目，</w:t>
            </w:r>
            <w:r>
              <w:rPr>
                <w:rFonts w:hint="eastAsia"/>
                <w:szCs w:val="21"/>
              </w:rPr>
              <w:t>为落实征12井三工河组一段二砂组岩性圈闭含油气范围，明确含油高度，兼探三工河组一砂组含油气情况</w:t>
            </w:r>
            <w:r>
              <w:rPr>
                <w:rFonts w:hint="eastAsia"/>
              </w:rPr>
              <w:t>，中石化新疆新春石油开发有限责任公司拟进行征121井的钻探和试油工作，主要是对油层进行勘探。因此，本项目勘探对象属于新疆地区重点勘查开采矿种。</w:t>
            </w:r>
          </w:p>
          <w:p w14:paraId="487B66B8">
            <w:pPr>
              <w:pStyle w:val="89"/>
              <w:ind w:firstLine="420"/>
              <w:jc w:val="both"/>
            </w:pPr>
            <w:r>
              <w:rPr>
                <w:rFonts w:hint="eastAsia"/>
              </w:rPr>
              <w:t>（3）《规划》</w:t>
            </w:r>
            <w:r>
              <w:rPr>
                <w:rFonts w:hint="eastAsia" w:hAnsi="宋体"/>
              </w:rPr>
              <w:t>指出“严格保护生态空间，优化《新疆维吾尔自治区矿产资源总体规划（2021-2025年）》布局。将生态保护红线作为保障和维护区域生态安全的底线，应进一步优化矿业权设置和空间布局，依法依规对生态空间实施严格保护。与生态保护红线存在空间重叠的6个能源资源基地、24个国家规划矿区、22个重点勘查区、32个重点开采区等，后续设置矿业权时，应进一步优化布局，确保满足生态保护红线管控要求。”</w:t>
            </w:r>
          </w:p>
          <w:p w14:paraId="412088EB">
            <w:pPr>
              <w:pStyle w:val="89"/>
              <w:wordWrap w:val="0"/>
              <w:ind w:firstLine="420"/>
              <w:rPr>
                <w:rFonts w:hint="eastAsia" w:hAnsi="宋体"/>
              </w:rPr>
            </w:pPr>
            <w:r>
              <w:rPr>
                <w:rFonts w:hint="eastAsia" w:hAnsi="宋体"/>
              </w:rPr>
              <w:t>本项目不占用生态红线，总体符合新疆生态保护红线规划要求。</w:t>
            </w:r>
          </w:p>
          <w:p w14:paraId="183184AD">
            <w:pPr>
              <w:pStyle w:val="89"/>
              <w:wordWrap w:val="0"/>
              <w:ind w:firstLine="420"/>
              <w:rPr>
                <w:rFonts w:hint="eastAsia" w:hAnsi="宋体"/>
              </w:rPr>
            </w:pPr>
            <w:r>
              <w:rPr>
                <w:rFonts w:hint="eastAsia" w:hAnsi="宋体"/>
              </w:rPr>
              <w:t>2、与《新疆维吾尔自治区昌吉回族自治州矿产资源总体规划（2021-2025年）》及规划环评的相符性分析</w:t>
            </w:r>
          </w:p>
          <w:p w14:paraId="3EBBAA81">
            <w:pPr>
              <w:pStyle w:val="89"/>
              <w:wordWrap w:val="0"/>
              <w:ind w:firstLine="420"/>
              <w:rPr>
                <w:rFonts w:hint="eastAsia" w:hAnsi="宋体"/>
              </w:rPr>
            </w:pPr>
            <w:r>
              <w:rPr>
                <w:rFonts w:hint="eastAsia" w:hAnsi="宋体"/>
              </w:rPr>
              <w:t>《规划》将石油、天然气列为鼓励勘查开采的矿种。以油气、煤、地热、硅质原料、饰面石材等矿产资源勘查开发为主，重点加强准噶尔南缘、准东冲断带等地区石油、天然气、页岩气等常规能源勘查，有序开发准东、准南等地区煤炭、煤层气资源，延伸煤炭产业链，推进煤电煤化工一体化等综合资源开发，助力天山北坡城市群经济高质量发展。</w:t>
            </w:r>
          </w:p>
          <w:p w14:paraId="4088DF8B">
            <w:pPr>
              <w:pStyle w:val="3"/>
              <w:spacing w:line="332" w:lineRule="auto"/>
              <w:ind w:firstLine="420"/>
              <w:rPr>
                <w:rFonts w:hint="eastAsia"/>
                <w:sz w:val="21"/>
              </w:rPr>
            </w:pPr>
            <w:r>
              <w:rPr>
                <w:rFonts w:hint="eastAsia"/>
                <w:sz w:val="21"/>
              </w:rPr>
              <w:t>本项目属于陆地石油天然气勘查行业，符合规划相关要求。项目占地范围内不涉及自然保护区、水源保护区、风景名胜区、城市规划区、居民密集区、重要水工设施、高速公路、铁路、永久基本农田等；施工期采取了严格的生态保护和修复措施。施工期产生的“三废”、噪声及生态影响均提出了相应的治理或减缓措施，符合规划环评的相关要求。</w:t>
            </w:r>
          </w:p>
          <w:p w14:paraId="5DF4B8AD">
            <w:pPr>
              <w:pStyle w:val="87"/>
              <w:spacing w:line="331" w:lineRule="auto"/>
              <w:jc w:val="both"/>
              <w:rPr>
                <w:rFonts w:hint="eastAsia" w:hAnsi="宋体"/>
              </w:rPr>
            </w:pPr>
          </w:p>
          <w:p w14:paraId="105DB53E">
            <w:pPr>
              <w:pStyle w:val="87"/>
              <w:spacing w:line="331" w:lineRule="auto"/>
              <w:jc w:val="both"/>
              <w:rPr>
                <w:rFonts w:hint="eastAsia" w:hAnsi="宋体"/>
              </w:rPr>
            </w:pPr>
          </w:p>
          <w:p w14:paraId="75FED0AE">
            <w:pPr>
              <w:pStyle w:val="87"/>
              <w:spacing w:line="331" w:lineRule="auto"/>
              <w:jc w:val="both"/>
              <w:rPr>
                <w:rFonts w:hint="eastAsia" w:hAnsi="宋体"/>
              </w:rPr>
            </w:pPr>
          </w:p>
          <w:p w14:paraId="4B989627">
            <w:pPr>
              <w:pStyle w:val="87"/>
              <w:spacing w:line="331" w:lineRule="auto"/>
              <w:jc w:val="both"/>
              <w:rPr>
                <w:rFonts w:hint="eastAsia" w:hAnsi="宋体"/>
              </w:rPr>
            </w:pPr>
          </w:p>
          <w:p w14:paraId="37C52239">
            <w:pPr>
              <w:pStyle w:val="87"/>
              <w:spacing w:line="331" w:lineRule="auto"/>
              <w:jc w:val="both"/>
              <w:rPr>
                <w:rFonts w:hint="eastAsia" w:hAnsi="宋体"/>
              </w:rPr>
            </w:pPr>
          </w:p>
          <w:p w14:paraId="20BEA632">
            <w:pPr>
              <w:pStyle w:val="87"/>
              <w:spacing w:line="331" w:lineRule="auto"/>
              <w:jc w:val="both"/>
              <w:rPr>
                <w:rFonts w:hint="eastAsia" w:hAnsi="宋体"/>
              </w:rPr>
            </w:pPr>
          </w:p>
          <w:p w14:paraId="4CFA9C90">
            <w:pPr>
              <w:pStyle w:val="87"/>
              <w:spacing w:line="331" w:lineRule="auto"/>
              <w:jc w:val="both"/>
              <w:rPr>
                <w:rFonts w:hint="eastAsia" w:hAnsi="宋体"/>
              </w:rPr>
            </w:pPr>
          </w:p>
          <w:p w14:paraId="45551655">
            <w:pPr>
              <w:pStyle w:val="87"/>
              <w:spacing w:line="331" w:lineRule="auto"/>
              <w:jc w:val="both"/>
              <w:rPr>
                <w:rFonts w:hint="eastAsia" w:hAnsi="宋体"/>
              </w:rPr>
            </w:pPr>
          </w:p>
          <w:p w14:paraId="6C46826F">
            <w:pPr>
              <w:pStyle w:val="87"/>
              <w:spacing w:line="331" w:lineRule="auto"/>
              <w:jc w:val="both"/>
              <w:rPr>
                <w:rFonts w:hint="eastAsia" w:hAnsi="宋体"/>
              </w:rPr>
            </w:pPr>
          </w:p>
          <w:p w14:paraId="6806C812">
            <w:pPr>
              <w:pStyle w:val="87"/>
              <w:spacing w:line="331" w:lineRule="auto"/>
              <w:jc w:val="both"/>
              <w:rPr>
                <w:rFonts w:hint="eastAsia" w:hAnsi="宋体"/>
              </w:rPr>
            </w:pPr>
          </w:p>
          <w:p w14:paraId="67363C2B">
            <w:pPr>
              <w:pStyle w:val="87"/>
              <w:spacing w:line="331" w:lineRule="auto"/>
              <w:jc w:val="both"/>
              <w:rPr>
                <w:rFonts w:hint="eastAsia" w:hAnsi="宋体"/>
              </w:rPr>
            </w:pPr>
          </w:p>
          <w:p w14:paraId="26AF3176">
            <w:pPr>
              <w:pStyle w:val="87"/>
              <w:spacing w:line="331" w:lineRule="auto"/>
              <w:jc w:val="both"/>
              <w:rPr>
                <w:rFonts w:hint="eastAsia" w:hAnsi="宋体"/>
              </w:rPr>
            </w:pPr>
          </w:p>
          <w:p w14:paraId="2A094EAA">
            <w:pPr>
              <w:pStyle w:val="87"/>
              <w:spacing w:line="331" w:lineRule="auto"/>
              <w:jc w:val="both"/>
              <w:rPr>
                <w:rFonts w:hint="eastAsia" w:hAnsi="宋体"/>
              </w:rPr>
            </w:pPr>
          </w:p>
          <w:p w14:paraId="421B9E95">
            <w:pPr>
              <w:pStyle w:val="87"/>
              <w:spacing w:line="331" w:lineRule="auto"/>
              <w:jc w:val="both"/>
              <w:rPr>
                <w:rFonts w:hint="eastAsia" w:hAnsi="宋体"/>
              </w:rPr>
            </w:pPr>
          </w:p>
          <w:p w14:paraId="389F9744">
            <w:pPr>
              <w:pStyle w:val="87"/>
              <w:spacing w:line="331" w:lineRule="auto"/>
              <w:jc w:val="both"/>
              <w:rPr>
                <w:rFonts w:hint="eastAsia" w:hAnsi="宋体"/>
              </w:rPr>
            </w:pPr>
          </w:p>
          <w:p w14:paraId="5D7ADD13">
            <w:pPr>
              <w:pStyle w:val="87"/>
              <w:spacing w:line="331" w:lineRule="auto"/>
              <w:jc w:val="both"/>
              <w:rPr>
                <w:rFonts w:hint="eastAsia" w:hAnsi="宋体"/>
              </w:rPr>
            </w:pPr>
          </w:p>
          <w:p w14:paraId="4D8005C8">
            <w:pPr>
              <w:pStyle w:val="87"/>
              <w:spacing w:line="331" w:lineRule="auto"/>
              <w:jc w:val="both"/>
              <w:rPr>
                <w:rFonts w:hint="eastAsia" w:hAnsi="宋体"/>
              </w:rPr>
            </w:pPr>
          </w:p>
          <w:p w14:paraId="436AA85E">
            <w:pPr>
              <w:pStyle w:val="87"/>
              <w:spacing w:line="331" w:lineRule="auto"/>
              <w:jc w:val="both"/>
              <w:rPr>
                <w:rFonts w:hint="eastAsia" w:hAnsi="宋体"/>
              </w:rPr>
            </w:pPr>
          </w:p>
          <w:p w14:paraId="030B026A">
            <w:pPr>
              <w:pStyle w:val="87"/>
              <w:spacing w:line="331" w:lineRule="auto"/>
              <w:jc w:val="both"/>
              <w:rPr>
                <w:rFonts w:hint="eastAsia" w:hAnsi="宋体"/>
              </w:rPr>
            </w:pPr>
          </w:p>
        </w:tc>
      </w:tr>
      <w:tr w14:paraId="4CC53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79" w:type="dxa"/>
          <w:trHeight w:val="13582" w:hRule="atLeast"/>
        </w:trPr>
        <w:tc>
          <w:tcPr>
            <w:tcW w:w="242" w:type="dxa"/>
            <w:gridSpan w:val="2"/>
            <w:tcMar>
              <w:top w:w="16" w:type="dxa"/>
              <w:left w:w="16" w:type="dxa"/>
              <w:right w:w="16" w:type="dxa"/>
            </w:tcMar>
            <w:vAlign w:val="center"/>
          </w:tcPr>
          <w:p w14:paraId="34FF4627">
            <w:pPr>
              <w:autoSpaceDE w:val="0"/>
              <w:autoSpaceDN w:val="0"/>
              <w:adjustRightInd w:val="0"/>
              <w:snapToGrid w:val="0"/>
              <w:jc w:val="center"/>
              <w:rPr>
                <w:rFonts w:hint="eastAsia" w:ascii="宋体" w:hAnsi="宋体" w:cs="宋体"/>
                <w:kern w:val="0"/>
                <w:szCs w:val="21"/>
              </w:rPr>
            </w:pPr>
            <w:bookmarkStart w:id="4" w:name="_Hlk56690880"/>
            <w:r>
              <w:rPr>
                <w:rFonts w:hint="eastAsia" w:ascii="宋体" w:hAnsi="宋体" w:cs="宋体"/>
                <w:kern w:val="0"/>
                <w:szCs w:val="21"/>
              </w:rPr>
              <w:t>其他符合性分析</w:t>
            </w:r>
            <w:bookmarkEnd w:id="4"/>
          </w:p>
        </w:tc>
        <w:tc>
          <w:tcPr>
            <w:tcW w:w="8634" w:type="dxa"/>
            <w:gridSpan w:val="5"/>
            <w:tcMar>
              <w:top w:w="16" w:type="dxa"/>
              <w:left w:w="16" w:type="dxa"/>
              <w:right w:w="16" w:type="dxa"/>
            </w:tcMar>
            <w:vAlign w:val="center"/>
          </w:tcPr>
          <w:p w14:paraId="40331AFD">
            <w:pPr>
              <w:pStyle w:val="113"/>
              <w:rPr>
                <w:rFonts w:hint="eastAsia"/>
                <w:szCs w:val="21"/>
              </w:rPr>
            </w:pPr>
            <w:r>
              <w:rPr>
                <w:rFonts w:hint="eastAsia"/>
                <w:szCs w:val="21"/>
              </w:rPr>
              <w:t>1、产业政策分析</w:t>
            </w:r>
          </w:p>
          <w:p w14:paraId="039F2711">
            <w:pPr>
              <w:pStyle w:val="113"/>
              <w:rPr>
                <w:rFonts w:hint="eastAsia"/>
                <w:szCs w:val="21"/>
              </w:rPr>
            </w:pPr>
            <w:r>
              <w:rPr>
                <w:rFonts w:hint="eastAsia"/>
                <w:szCs w:val="21"/>
              </w:rPr>
              <w:t>本项目属于陆地石油勘探项目，属于《产业结构调整指导目录（2024年本）》（国家发展和改革委员会令[2023]第7号）中鼓励类项目（七、石油天然气1. 石油天然气开采：常规石油、天然气勘探与开采，页岩气、页岩油、致密油（气）、油砂、天然气水合物等非常规资源勘探开发），符合国家产业政策。</w:t>
            </w:r>
          </w:p>
          <w:p w14:paraId="0BAA71C6">
            <w:pPr>
              <w:pStyle w:val="113"/>
              <w:rPr>
                <w:rFonts w:hint="eastAsia"/>
                <w:szCs w:val="21"/>
              </w:rPr>
            </w:pPr>
            <w:r>
              <w:rPr>
                <w:szCs w:val="21"/>
              </w:rPr>
              <w:t>2</w:t>
            </w:r>
            <w:r>
              <w:rPr>
                <w:rFonts w:hint="eastAsia"/>
                <w:szCs w:val="21"/>
              </w:rPr>
              <w:t>、与</w:t>
            </w:r>
            <w:r>
              <w:rPr>
                <w:rFonts w:hint="eastAsia"/>
              </w:rPr>
              <w:t>生态环境分区管控要求符合性分析</w:t>
            </w:r>
          </w:p>
          <w:p w14:paraId="24DB6E0E">
            <w:pPr>
              <w:pStyle w:val="113"/>
              <w:rPr>
                <w:rFonts w:hint="eastAsia"/>
              </w:rPr>
            </w:pPr>
            <w:r>
              <w:rPr>
                <w:rFonts w:hint="eastAsia"/>
              </w:rPr>
              <w:t>1）国家及自治州管控要求</w:t>
            </w:r>
          </w:p>
          <w:p w14:paraId="1119E09C">
            <w:pPr>
              <w:pStyle w:val="113"/>
              <w:rPr>
                <w:rFonts w:hint="eastAsia"/>
                <w:szCs w:val="21"/>
              </w:rPr>
            </w:pPr>
            <w:r>
              <w:rPr>
                <w:rFonts w:hint="eastAsia"/>
                <w:szCs w:val="21"/>
              </w:rPr>
              <w:t>2023年10月30日，新疆维吾尔自治区生态环境厅办公室以新环办便函〔2023〕329号文印发了关于《新疆维吾尔自治区生态环境厅关于做好“三线一单”生态环境分区管控更新调整工作的通知》，将本项目与生态保护红线、环境质量底线、资源利用上线和生态环境准入清单相关要求对比分析，本项目与</w:t>
            </w:r>
            <w:r>
              <w:rPr>
                <w:rFonts w:hint="eastAsia"/>
              </w:rPr>
              <w:t>新环办便函〔2023〕329号要求及</w:t>
            </w:r>
            <w:r>
              <w:rPr>
                <w:rFonts w:hint="eastAsia"/>
                <w:szCs w:val="21"/>
              </w:rPr>
              <w:t>《关于以改善环境质量为核心加强环境影响评价管理的通知》（环环评[2016]150号）</w:t>
            </w:r>
            <w:r>
              <w:rPr>
                <w:rFonts w:hint="eastAsia"/>
              </w:rPr>
              <w:t>详</w:t>
            </w:r>
            <w:r>
              <w:rPr>
                <w:rFonts w:hint="eastAsia"/>
                <w:szCs w:val="21"/>
              </w:rPr>
              <w:t>见</w:t>
            </w:r>
            <w:r>
              <w:rPr>
                <w:rFonts w:hint="eastAsia"/>
                <w:szCs w:val="21"/>
              </w:rPr>
              <w:fldChar w:fldCharType="begin"/>
            </w:r>
            <w:r>
              <w:rPr>
                <w:rFonts w:hint="eastAsia"/>
                <w:szCs w:val="21"/>
              </w:rPr>
              <w:instrText xml:space="preserve"> REF _Ref216085896 \h </w:instrText>
            </w:r>
            <w:r>
              <w:rPr>
                <w:rFonts w:hint="eastAsia"/>
                <w:szCs w:val="21"/>
              </w:rPr>
              <w:fldChar w:fldCharType="separate"/>
            </w:r>
            <w:r>
              <w:rPr>
                <w:rFonts w:hint="eastAsia"/>
              </w:rPr>
              <w:t>表1</w:t>
            </w:r>
            <w:r>
              <w:rPr>
                <w:rFonts w:hint="eastAsia"/>
                <w:szCs w:val="21"/>
              </w:rPr>
              <w:fldChar w:fldCharType="end"/>
            </w:r>
            <w:r>
              <w:rPr>
                <w:rFonts w:hint="eastAsia"/>
                <w:szCs w:val="21"/>
              </w:rPr>
              <w:t>。</w:t>
            </w:r>
          </w:p>
          <w:p w14:paraId="28CA8C20">
            <w:pPr>
              <w:pStyle w:val="12"/>
              <w:spacing w:before="120"/>
              <w:rPr>
                <w:rFonts w:hint="eastAsia" w:hAnsi="宋体"/>
              </w:rPr>
            </w:pPr>
            <w:bookmarkStart w:id="5" w:name="_Ref216085896"/>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w:t>
            </w:r>
            <w:r>
              <w:rPr>
                <w:rFonts w:hAnsi="宋体"/>
              </w:rPr>
              <w:fldChar w:fldCharType="end"/>
            </w:r>
            <w:bookmarkEnd w:id="5"/>
            <w:r>
              <w:rPr>
                <w:rFonts w:hAnsi="宋体"/>
              </w:rPr>
              <w:t xml:space="preserve">  </w:t>
            </w:r>
            <w:r>
              <w:rPr>
                <w:rFonts w:hint="eastAsia" w:hAnsi="宋体"/>
                <w:szCs w:val="21"/>
              </w:rPr>
              <w:t>与 “三线一单”符合性分析表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2303"/>
              <w:gridCol w:w="2835"/>
              <w:gridCol w:w="2175"/>
              <w:gridCol w:w="427"/>
            </w:tblGrid>
            <w:tr w14:paraId="22F1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7D6E7E17">
                  <w:pPr>
                    <w:pStyle w:val="87"/>
                    <w:rPr>
                      <w:rFonts w:hint="eastAsia" w:hAnsi="宋体"/>
                    </w:rPr>
                  </w:pPr>
                  <w:r>
                    <w:rPr>
                      <w:rFonts w:hint="eastAsia" w:hAnsi="宋体"/>
                    </w:rPr>
                    <w:t>序号</w:t>
                  </w:r>
                </w:p>
              </w:tc>
              <w:tc>
                <w:tcPr>
                  <w:tcW w:w="1588" w:type="pct"/>
                  <w:gridSpan w:val="2"/>
                  <w:vAlign w:val="center"/>
                </w:tcPr>
                <w:p w14:paraId="12E829BA">
                  <w:pPr>
                    <w:pStyle w:val="87"/>
                    <w:rPr>
                      <w:rFonts w:hint="eastAsia" w:hAnsi="宋体"/>
                    </w:rPr>
                  </w:pPr>
                  <w:r>
                    <w:rPr>
                      <w:rFonts w:hint="eastAsia"/>
                    </w:rPr>
                    <w:t>环环评[2016]150号</w:t>
                  </w:r>
                  <w:r>
                    <w:rPr>
                      <w:rFonts w:hint="eastAsia" w:hAnsi="宋体"/>
                    </w:rPr>
                    <w:t>要求</w:t>
                  </w:r>
                </w:p>
              </w:tc>
              <w:tc>
                <w:tcPr>
                  <w:tcW w:w="1650" w:type="pct"/>
                  <w:vAlign w:val="center"/>
                </w:tcPr>
                <w:p w14:paraId="6F95714D">
                  <w:pPr>
                    <w:pStyle w:val="87"/>
                    <w:rPr>
                      <w:rFonts w:hint="eastAsia" w:hAnsi="宋体"/>
                    </w:rPr>
                  </w:pPr>
                  <w:r>
                    <w:rPr>
                      <w:rFonts w:hint="eastAsia" w:hAnsi="宋体"/>
                    </w:rPr>
                    <w:t>新环办便函〔2023〕329号要求</w:t>
                  </w:r>
                </w:p>
              </w:tc>
              <w:tc>
                <w:tcPr>
                  <w:tcW w:w="1266" w:type="pct"/>
                  <w:vAlign w:val="center"/>
                </w:tcPr>
                <w:p w14:paraId="532881AB">
                  <w:pPr>
                    <w:pStyle w:val="87"/>
                    <w:rPr>
                      <w:rFonts w:hint="eastAsia" w:hAnsi="宋体"/>
                    </w:rPr>
                  </w:pPr>
                  <w:r>
                    <w:rPr>
                      <w:rFonts w:hint="eastAsia" w:hAnsi="宋体"/>
                    </w:rPr>
                    <w:t>项目情况</w:t>
                  </w:r>
                </w:p>
              </w:tc>
              <w:tc>
                <w:tcPr>
                  <w:tcW w:w="248" w:type="pct"/>
                  <w:vAlign w:val="center"/>
                </w:tcPr>
                <w:p w14:paraId="54037023">
                  <w:pPr>
                    <w:pStyle w:val="87"/>
                    <w:rPr>
                      <w:rFonts w:hint="eastAsia" w:hAnsi="宋体"/>
                    </w:rPr>
                  </w:pPr>
                  <w:r>
                    <w:rPr>
                      <w:rFonts w:hint="eastAsia" w:hAnsi="宋体"/>
                    </w:rPr>
                    <w:t>符合性</w:t>
                  </w:r>
                </w:p>
              </w:tc>
            </w:tr>
            <w:tr w14:paraId="14F7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2F9C6D49">
                  <w:pPr>
                    <w:pStyle w:val="87"/>
                    <w:rPr>
                      <w:rFonts w:hint="eastAsia" w:hAnsi="宋体"/>
                    </w:rPr>
                  </w:pPr>
                  <w:r>
                    <w:rPr>
                      <w:rFonts w:hint="eastAsia" w:hAnsi="宋体"/>
                    </w:rPr>
                    <w:t>1</w:t>
                  </w:r>
                </w:p>
              </w:tc>
              <w:tc>
                <w:tcPr>
                  <w:tcW w:w="248" w:type="pct"/>
                  <w:vAlign w:val="center"/>
                </w:tcPr>
                <w:p w14:paraId="1F196289">
                  <w:pPr>
                    <w:pStyle w:val="87"/>
                    <w:rPr>
                      <w:rFonts w:hint="eastAsia" w:hAnsi="宋体"/>
                    </w:rPr>
                  </w:pPr>
                  <w:r>
                    <w:rPr>
                      <w:rFonts w:hint="eastAsia" w:hAnsi="宋体"/>
                    </w:rPr>
                    <w:t>生态保护红线</w:t>
                  </w:r>
                </w:p>
              </w:tc>
              <w:tc>
                <w:tcPr>
                  <w:tcW w:w="1340" w:type="pct"/>
                  <w:vAlign w:val="center"/>
                </w:tcPr>
                <w:p w14:paraId="2BE5F385">
                  <w:pPr>
                    <w:pStyle w:val="87"/>
                    <w:rPr>
                      <w:rFonts w:hint="eastAsia" w:hAnsi="宋体"/>
                    </w:rPr>
                  </w:pPr>
                  <w:r>
                    <w:rPr>
                      <w:rFonts w:hint="eastAsia" w:hAnsi="宋体"/>
                    </w:rPr>
                    <w:t>生态保护红线是生态空间范围内具有特殊重要生态功能必须实行强制性严格保护的区域。相关规划环评应将态空间管控作为重要内容，规划区域涉及生态保护红线的管理要求，提出相应对策措施。在生态保护红线范围内，严控各类开发建设活动，依法不予审批新建工业项目和矿业开发项目的环评文件。</w:t>
                  </w:r>
                </w:p>
              </w:tc>
              <w:tc>
                <w:tcPr>
                  <w:tcW w:w="1650" w:type="pct"/>
                  <w:vAlign w:val="center"/>
                </w:tcPr>
                <w:p w14:paraId="2FBBEF50">
                  <w:pPr>
                    <w:pStyle w:val="87"/>
                    <w:rPr>
                      <w:rFonts w:hint="eastAsia" w:hAnsi="宋体"/>
                    </w:rPr>
                  </w:pPr>
                  <w:r>
                    <w:rPr>
                      <w:rFonts w:hint="eastAsia" w:hAnsi="宋体"/>
                    </w:rPr>
                    <w:t>按照“生态功能不降低、面积不减少、性质不改变”的基本要求，对划定的生态保护红线实施严格管控，保障和维护国家生态安全的底线和生命线。</w:t>
                  </w:r>
                </w:p>
              </w:tc>
              <w:tc>
                <w:tcPr>
                  <w:tcW w:w="1266" w:type="pct"/>
                  <w:vAlign w:val="center"/>
                </w:tcPr>
                <w:p w14:paraId="57D89A2A">
                  <w:pPr>
                    <w:pStyle w:val="87"/>
                    <w:rPr>
                      <w:rFonts w:hint="eastAsia" w:hAnsi="宋体"/>
                    </w:rPr>
                  </w:pPr>
                  <w:r>
                    <w:rPr>
                      <w:rFonts w:hint="eastAsia" w:hAnsi="宋体"/>
                    </w:rPr>
                    <w:t>本项目周边无自然保护区、饮用水源保护区等生态保护目标，本项目</w:t>
                  </w:r>
                  <w:r>
                    <w:rPr>
                      <w:rFonts w:hAnsi="宋体"/>
                    </w:rPr>
                    <w:t>不在</w:t>
                  </w:r>
                  <w:r>
                    <w:rPr>
                      <w:rFonts w:hint="eastAsia" w:hAnsi="宋体"/>
                    </w:rPr>
                    <w:t>生态保护</w:t>
                  </w:r>
                  <w:r>
                    <w:rPr>
                      <w:rFonts w:hAnsi="宋体"/>
                    </w:rPr>
                    <w:t>红线</w:t>
                  </w:r>
                  <w:r>
                    <w:rPr>
                      <w:rFonts w:hint="eastAsia" w:hAnsi="宋体"/>
                    </w:rPr>
                    <w:t>区</w:t>
                  </w:r>
                  <w:r>
                    <w:rPr>
                      <w:rFonts w:hAnsi="宋体"/>
                    </w:rPr>
                    <w:t>内。</w:t>
                  </w:r>
                </w:p>
              </w:tc>
              <w:tc>
                <w:tcPr>
                  <w:tcW w:w="248" w:type="pct"/>
                  <w:vAlign w:val="center"/>
                </w:tcPr>
                <w:p w14:paraId="2B9F2FC0">
                  <w:pPr>
                    <w:pStyle w:val="87"/>
                    <w:rPr>
                      <w:rFonts w:hint="eastAsia" w:hAnsi="宋体"/>
                    </w:rPr>
                  </w:pPr>
                  <w:r>
                    <w:rPr>
                      <w:rFonts w:hint="eastAsia" w:hAnsi="宋体"/>
                    </w:rPr>
                    <w:t>符合</w:t>
                  </w:r>
                </w:p>
              </w:tc>
            </w:tr>
            <w:tr w14:paraId="0096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7AF03A87">
                  <w:pPr>
                    <w:pStyle w:val="87"/>
                    <w:rPr>
                      <w:rFonts w:hint="eastAsia" w:hAnsi="宋体"/>
                    </w:rPr>
                  </w:pPr>
                  <w:r>
                    <w:rPr>
                      <w:rFonts w:hint="eastAsia" w:hAnsi="宋体"/>
                    </w:rPr>
                    <w:t>2</w:t>
                  </w:r>
                </w:p>
              </w:tc>
              <w:tc>
                <w:tcPr>
                  <w:tcW w:w="248" w:type="pct"/>
                  <w:vAlign w:val="center"/>
                </w:tcPr>
                <w:p w14:paraId="6D0249CC">
                  <w:pPr>
                    <w:pStyle w:val="87"/>
                    <w:rPr>
                      <w:rFonts w:hint="eastAsia" w:hAnsi="宋体"/>
                    </w:rPr>
                  </w:pPr>
                  <w:r>
                    <w:rPr>
                      <w:rFonts w:hint="eastAsia" w:hAnsi="宋体"/>
                    </w:rPr>
                    <w:t>资源利用上线</w:t>
                  </w:r>
                </w:p>
              </w:tc>
              <w:tc>
                <w:tcPr>
                  <w:tcW w:w="1340" w:type="pct"/>
                  <w:vAlign w:val="center"/>
                </w:tcPr>
                <w:p w14:paraId="0BD60196">
                  <w:pPr>
                    <w:pStyle w:val="87"/>
                    <w:rPr>
                      <w:rFonts w:hint="eastAsia" w:hAnsi="宋体"/>
                    </w:rPr>
                  </w:pPr>
                  <w:r>
                    <w:rPr>
                      <w:rFonts w:hint="eastAsia" w:hAnsi="宋体"/>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650" w:type="pct"/>
                  <w:vAlign w:val="center"/>
                </w:tcPr>
                <w:p w14:paraId="2C078F51">
                  <w:pPr>
                    <w:pStyle w:val="87"/>
                    <w:rPr>
                      <w:rFonts w:hint="eastAsia" w:hAnsi="宋体"/>
                    </w:rPr>
                  </w:pPr>
                  <w:r>
                    <w:rPr>
                      <w:rFonts w:hint="eastAsia" w:hAnsi="宋体"/>
                    </w:rPr>
                    <w:t>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1266" w:type="pct"/>
                  <w:vAlign w:val="center"/>
                </w:tcPr>
                <w:p w14:paraId="3911D644">
                  <w:pPr>
                    <w:pStyle w:val="87"/>
                    <w:rPr>
                      <w:rFonts w:hint="eastAsia" w:hAnsi="宋体"/>
                    </w:rPr>
                  </w:pPr>
                  <w:r>
                    <w:rPr>
                      <w:rFonts w:hint="eastAsia" w:hAnsi="宋体"/>
                    </w:rPr>
                    <w:t>本项目生产过程钻井废水循环利用，消耗新鲜水量较少，不新增永久占地，临时占地在施工结束后及时进行恢复。本项目水的消耗量相对区域资源利用总量较小，符合资源利用上线的要求。</w:t>
                  </w:r>
                </w:p>
              </w:tc>
              <w:tc>
                <w:tcPr>
                  <w:tcW w:w="248" w:type="pct"/>
                  <w:vAlign w:val="center"/>
                </w:tcPr>
                <w:p w14:paraId="7C55BF3F">
                  <w:pPr>
                    <w:pStyle w:val="87"/>
                    <w:rPr>
                      <w:rFonts w:hint="eastAsia" w:hAnsi="宋体"/>
                    </w:rPr>
                  </w:pPr>
                  <w:r>
                    <w:rPr>
                      <w:rFonts w:hint="eastAsia" w:hAnsi="宋体"/>
                    </w:rPr>
                    <w:t>符合</w:t>
                  </w:r>
                </w:p>
              </w:tc>
            </w:tr>
            <w:tr w14:paraId="3469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36D756B8">
                  <w:pPr>
                    <w:pStyle w:val="87"/>
                    <w:rPr>
                      <w:rFonts w:hint="eastAsia" w:hAnsi="宋体"/>
                    </w:rPr>
                  </w:pPr>
                  <w:r>
                    <w:rPr>
                      <w:rFonts w:hint="eastAsia" w:hAnsi="宋体"/>
                    </w:rPr>
                    <w:t>3</w:t>
                  </w:r>
                </w:p>
              </w:tc>
              <w:tc>
                <w:tcPr>
                  <w:tcW w:w="248" w:type="pct"/>
                  <w:vAlign w:val="center"/>
                </w:tcPr>
                <w:p w14:paraId="7E26A4E9">
                  <w:pPr>
                    <w:pStyle w:val="87"/>
                    <w:rPr>
                      <w:rFonts w:hint="eastAsia" w:hAnsi="宋体"/>
                    </w:rPr>
                  </w:pPr>
                  <w:r>
                    <w:rPr>
                      <w:rFonts w:hint="eastAsia" w:hAnsi="宋体"/>
                    </w:rPr>
                    <w:t>环境质量底线</w:t>
                  </w:r>
                </w:p>
              </w:tc>
              <w:tc>
                <w:tcPr>
                  <w:tcW w:w="1340" w:type="pct"/>
                  <w:vAlign w:val="center"/>
                </w:tcPr>
                <w:p w14:paraId="2B9182AB">
                  <w:pPr>
                    <w:pStyle w:val="87"/>
                    <w:rPr>
                      <w:rFonts w:hint="eastAsia" w:hAnsi="宋体"/>
                    </w:rPr>
                  </w:pPr>
                  <w:r>
                    <w:rPr>
                      <w:rFonts w:hint="eastAsia" w:hAnsi="宋体"/>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 项目建设对环境质量的影响，强化污染防治措施和污染物排放控制要求。</w:t>
                  </w:r>
                </w:p>
              </w:tc>
              <w:tc>
                <w:tcPr>
                  <w:tcW w:w="1650" w:type="pct"/>
                  <w:vAlign w:val="center"/>
                </w:tcPr>
                <w:p w14:paraId="084EB610">
                  <w:pPr>
                    <w:pStyle w:val="87"/>
                    <w:rPr>
                      <w:rFonts w:hint="eastAsia" w:hAnsi="宋体"/>
                    </w:rPr>
                  </w:pPr>
                  <w:r>
                    <w:rPr>
                      <w:rFonts w:hint="eastAsia" w:hAnsi="宋体"/>
                    </w:rPr>
                    <w:t>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1266" w:type="pct"/>
                  <w:vAlign w:val="center"/>
                </w:tcPr>
                <w:p w14:paraId="4EAB326B">
                  <w:pPr>
                    <w:pStyle w:val="87"/>
                    <w:rPr>
                      <w:rFonts w:hint="eastAsia" w:hAnsi="宋体"/>
                    </w:rPr>
                  </w:pPr>
                  <w:r>
                    <w:rPr>
                      <w:rFonts w:hint="eastAsia" w:hAnsi="宋体"/>
                    </w:rPr>
                    <w:t>根据环境质量现状调查结果可知，项目所在区域环境空气质量指标较好，为环境空气质量达标区。本项目为地质勘查项目，只有施工期污染影响，不涉及运营期环境影响；本项目排放大气污染物为挥发性有机物及锅炉废气，施工期大气污染物对区域环境空气质量影响较小，符合大气环境功能区要求；施工期井下作业废液、压裂返排液收集后拉运处理达标后回注地层，锅炉排污水、软水系统排水回用于脱硫塔补水。钻井固废、锅炉炉渣、脱硫石膏、袋式除尘器截获的粉尘全部妥善处置，不会对周围环境造成影响，对环境影响较小；本项目在做好防渗的前提下，对土壤和地下水影响较小；各项污染物均能实现达标排放，项目建设后不会突破环境质量底线。</w:t>
                  </w:r>
                </w:p>
              </w:tc>
              <w:tc>
                <w:tcPr>
                  <w:tcW w:w="248" w:type="pct"/>
                  <w:vAlign w:val="center"/>
                </w:tcPr>
                <w:p w14:paraId="18BA0BF7">
                  <w:pPr>
                    <w:pStyle w:val="87"/>
                    <w:rPr>
                      <w:rFonts w:hint="eastAsia" w:hAnsi="宋体"/>
                    </w:rPr>
                  </w:pPr>
                  <w:r>
                    <w:rPr>
                      <w:rFonts w:hint="eastAsia" w:hAnsi="宋体"/>
                    </w:rPr>
                    <w:t>符合</w:t>
                  </w:r>
                </w:p>
              </w:tc>
            </w:tr>
            <w:tr w14:paraId="6C3E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5654C2DD">
                  <w:pPr>
                    <w:pStyle w:val="87"/>
                    <w:rPr>
                      <w:rFonts w:hint="eastAsia" w:hAnsi="宋体"/>
                    </w:rPr>
                  </w:pPr>
                  <w:r>
                    <w:rPr>
                      <w:rFonts w:hint="eastAsia" w:hAnsi="宋体"/>
                    </w:rPr>
                    <w:t>4</w:t>
                  </w:r>
                </w:p>
              </w:tc>
              <w:tc>
                <w:tcPr>
                  <w:tcW w:w="248" w:type="pct"/>
                  <w:vAlign w:val="center"/>
                </w:tcPr>
                <w:p w14:paraId="0CC48921">
                  <w:pPr>
                    <w:pStyle w:val="87"/>
                    <w:rPr>
                      <w:rFonts w:hint="eastAsia" w:hAnsi="宋体"/>
                    </w:rPr>
                  </w:pPr>
                  <w:r>
                    <w:rPr>
                      <w:rFonts w:hint="eastAsia" w:hAnsi="宋体"/>
                    </w:rPr>
                    <w:t>生态环境准入清单</w:t>
                  </w:r>
                </w:p>
              </w:tc>
              <w:tc>
                <w:tcPr>
                  <w:tcW w:w="1340" w:type="pct"/>
                  <w:vAlign w:val="center"/>
                </w:tcPr>
                <w:p w14:paraId="6ACD7F97">
                  <w:pPr>
                    <w:pStyle w:val="87"/>
                    <w:rPr>
                      <w:rFonts w:hint="eastAsia" w:hAnsi="宋体"/>
                    </w:rPr>
                  </w:pPr>
                  <w:r>
                    <w:rPr>
                      <w:rFonts w:hint="eastAsia" w:hAnsi="宋体"/>
                    </w:rPr>
                    <w:t>准入清单是基于生态保护红线、环境质量底线和资源利用上线，以清单方式列出的禁止、限制等差别化环境准入条件和要求。要在规划环评清单式管理试点的基础上，从布局选址、资源利用效率、资源配置方式等方面入手，制定准入清单，充分发挥准入清单对产业发展和项目准入的指导和约束作用。</w:t>
                  </w:r>
                </w:p>
              </w:tc>
              <w:tc>
                <w:tcPr>
                  <w:tcW w:w="1650" w:type="pct"/>
                  <w:vAlign w:val="center"/>
                </w:tcPr>
                <w:p w14:paraId="68A4C46E">
                  <w:pPr>
                    <w:pStyle w:val="87"/>
                    <w:rPr>
                      <w:rFonts w:hint="eastAsia" w:hAnsi="宋体"/>
                    </w:rPr>
                  </w:pPr>
                  <w:r>
                    <w:rPr>
                      <w:rFonts w:hint="eastAsia" w:hAnsi="宋体"/>
                    </w:rPr>
                    <w:t>自治区共划定1323个环境管控单元，分为优先保护单元、重点管控单元和一般管控单元三类，实施分类管控。优先保护单元465个，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重点管控单元 699 个，主要包括城镇建成区、工业园区和开发强度大、污染物排放强度高的工业聚集区等。重点管控单元要着力优化空间布局，不断提升资源利用效率，有针对性地加强污染物排放管控和环境风险管控，解决生态环境质量不达标、生态环境风险高等问题。一般管控单元159个，主要包括优先保护单元和重点管控单元之外的其它区域。一般管控单元主要落实生态环境保护基本要求，推动区域环境质量持续改善。</w:t>
                  </w:r>
                </w:p>
              </w:tc>
              <w:tc>
                <w:tcPr>
                  <w:tcW w:w="1266" w:type="pct"/>
                  <w:vAlign w:val="center"/>
                </w:tcPr>
                <w:p w14:paraId="1410A47A">
                  <w:pPr>
                    <w:pStyle w:val="87"/>
                    <w:rPr>
                      <w:rFonts w:hint="eastAsia" w:hAnsi="宋体"/>
                    </w:rPr>
                  </w:pPr>
                  <w:r>
                    <w:rPr>
                      <w:rFonts w:hint="eastAsia" w:hAnsi="宋体"/>
                    </w:rPr>
                    <w:t>根据《昌吉回族自治州“三线一单”</w:t>
                  </w:r>
                </w:p>
                <w:p w14:paraId="5D82A11A">
                  <w:pPr>
                    <w:pStyle w:val="87"/>
                    <w:rPr>
                      <w:rFonts w:hint="eastAsia" w:hAnsi="宋体"/>
                    </w:rPr>
                  </w:pPr>
                  <w:r>
                    <w:rPr>
                      <w:rFonts w:hint="eastAsia" w:hAnsi="宋体"/>
                    </w:rPr>
                    <w:t>生态环境分区管控方案及生态环境准入清单</w:t>
                  </w:r>
                  <w:r>
                    <w:rPr>
                      <w:rFonts w:hint="eastAsia"/>
                    </w:rPr>
                    <w:t>（动态更新版）</w:t>
                  </w:r>
                  <w:r>
                    <w:rPr>
                      <w:rFonts w:hint="eastAsia" w:hAnsi="宋体"/>
                    </w:rPr>
                    <w:t>》，本项目位于玛纳斯县一般</w:t>
                  </w:r>
                  <w:r>
                    <w:t>管控单元</w:t>
                  </w:r>
                  <w:r>
                    <w:rPr>
                      <w:rFonts w:hint="eastAsia" w:hAnsi="宋体"/>
                    </w:rPr>
                    <w:t>。本项目的建设符合相关政策、规划要求。</w:t>
                  </w:r>
                </w:p>
              </w:tc>
              <w:tc>
                <w:tcPr>
                  <w:tcW w:w="248" w:type="pct"/>
                  <w:vAlign w:val="center"/>
                </w:tcPr>
                <w:p w14:paraId="776B58E7">
                  <w:pPr>
                    <w:pStyle w:val="87"/>
                    <w:rPr>
                      <w:rFonts w:hint="eastAsia" w:hAnsi="宋体"/>
                    </w:rPr>
                  </w:pPr>
                  <w:r>
                    <w:rPr>
                      <w:rFonts w:hint="eastAsia" w:hAnsi="宋体"/>
                    </w:rPr>
                    <w:t>符合</w:t>
                  </w:r>
                </w:p>
              </w:tc>
            </w:tr>
          </w:tbl>
          <w:p w14:paraId="3911C96D">
            <w:pPr>
              <w:pStyle w:val="113"/>
              <w:rPr>
                <w:rFonts w:hint="eastAsia"/>
                <w:szCs w:val="21"/>
              </w:rPr>
            </w:pPr>
          </w:p>
          <w:p w14:paraId="7A691E8E">
            <w:pPr>
              <w:pStyle w:val="103"/>
              <w:ind w:firstLine="420"/>
              <w:rPr>
                <w:rFonts w:hint="eastAsia" w:cs="宋体"/>
                <w:kern w:val="2"/>
                <w:sz w:val="21"/>
                <w:szCs w:val="20"/>
              </w:rPr>
            </w:pPr>
            <w:r>
              <w:rPr>
                <w:rFonts w:cs="宋体"/>
                <w:kern w:val="2"/>
                <w:sz w:val="21"/>
                <w:szCs w:val="20"/>
              </w:rPr>
              <w:t>2</w:t>
            </w:r>
            <w:r>
              <w:rPr>
                <w:rFonts w:hint="eastAsia" w:cs="宋体"/>
                <w:kern w:val="2"/>
                <w:sz w:val="21"/>
                <w:szCs w:val="20"/>
              </w:rPr>
              <w:t>）“七大片区”管控要求</w:t>
            </w:r>
          </w:p>
          <w:p w14:paraId="2DC62420">
            <w:pPr>
              <w:pStyle w:val="103"/>
              <w:ind w:firstLine="420"/>
              <w:rPr>
                <w:rFonts w:hint="eastAsia" w:cs="宋体"/>
                <w:kern w:val="2"/>
                <w:sz w:val="21"/>
                <w:szCs w:val="20"/>
              </w:rPr>
            </w:pPr>
            <w:r>
              <w:rPr>
                <w:rFonts w:hint="eastAsia" w:cs="宋体"/>
                <w:kern w:val="2"/>
                <w:sz w:val="21"/>
                <w:szCs w:val="20"/>
              </w:rPr>
              <w:t>本项目位于昌吉回族自治州，根据《新疆维吾尔自治区七大片区“三线一单”生态环境分区管控要求（2021年版）》（新环环评发[</w:t>
            </w:r>
            <w:r>
              <w:rPr>
                <w:rFonts w:cs="宋体"/>
                <w:kern w:val="2"/>
                <w:sz w:val="21"/>
                <w:szCs w:val="20"/>
              </w:rPr>
              <w:t>2021]162</w:t>
            </w:r>
            <w:r>
              <w:rPr>
                <w:rFonts w:hint="eastAsia" w:cs="宋体"/>
                <w:kern w:val="2"/>
                <w:sz w:val="21"/>
                <w:szCs w:val="20"/>
              </w:rPr>
              <w:t>号），属于乌昌石片区，</w:t>
            </w:r>
            <w:r>
              <w:rPr>
                <w:rFonts w:hint="eastAsia"/>
                <w:sz w:val="21"/>
                <w:szCs w:val="21"/>
              </w:rPr>
              <w:t>本项目与</w:t>
            </w:r>
            <w:r>
              <w:rPr>
                <w:rFonts w:hint="eastAsia" w:cs="宋体"/>
                <w:kern w:val="2"/>
                <w:sz w:val="21"/>
                <w:szCs w:val="20"/>
              </w:rPr>
              <w:t>（新环环评发[</w:t>
            </w:r>
            <w:r>
              <w:rPr>
                <w:rFonts w:cs="宋体"/>
                <w:kern w:val="2"/>
                <w:sz w:val="21"/>
                <w:szCs w:val="20"/>
              </w:rPr>
              <w:t>2021]162</w:t>
            </w:r>
            <w:r>
              <w:rPr>
                <w:rFonts w:hint="eastAsia" w:cs="宋体"/>
                <w:kern w:val="2"/>
                <w:sz w:val="21"/>
                <w:szCs w:val="20"/>
              </w:rPr>
              <w:t>号）中乌昌石片区管控要求符合性见</w:t>
            </w:r>
            <w:r>
              <w:rPr>
                <w:rFonts w:cs="宋体"/>
                <w:kern w:val="2"/>
                <w:sz w:val="21"/>
                <w:szCs w:val="21"/>
              </w:rPr>
              <w:fldChar w:fldCharType="begin"/>
            </w:r>
            <w:r>
              <w:rPr>
                <w:rFonts w:cs="宋体"/>
                <w:kern w:val="2"/>
                <w:sz w:val="21"/>
                <w:szCs w:val="21"/>
              </w:rPr>
              <w:instrText xml:space="preserve"> </w:instrText>
            </w:r>
            <w:r>
              <w:rPr>
                <w:rFonts w:hint="eastAsia" w:cs="宋体"/>
                <w:kern w:val="2"/>
                <w:sz w:val="21"/>
                <w:szCs w:val="21"/>
              </w:rPr>
              <w:instrText xml:space="preserve">REF _Ref138670874 \h</w:instrText>
            </w:r>
            <w:r>
              <w:rPr>
                <w:rFonts w:cs="宋体"/>
                <w:kern w:val="2"/>
                <w:sz w:val="21"/>
                <w:szCs w:val="21"/>
              </w:rPr>
              <w:instrText xml:space="preserve">  \* MERGEFORMAT </w:instrText>
            </w:r>
            <w:r>
              <w:rPr>
                <w:rFonts w:cs="宋体"/>
                <w:kern w:val="2"/>
                <w:sz w:val="21"/>
                <w:szCs w:val="21"/>
              </w:rPr>
              <w:fldChar w:fldCharType="separate"/>
            </w:r>
            <w:r>
              <w:rPr>
                <w:rFonts w:hint="eastAsia"/>
                <w:sz w:val="21"/>
                <w:szCs w:val="21"/>
              </w:rPr>
              <w:t>表2</w:t>
            </w:r>
            <w:r>
              <w:rPr>
                <w:rFonts w:cs="宋体"/>
                <w:kern w:val="2"/>
                <w:sz w:val="21"/>
                <w:szCs w:val="21"/>
              </w:rPr>
              <w:fldChar w:fldCharType="end"/>
            </w:r>
            <w:r>
              <w:rPr>
                <w:rFonts w:hint="eastAsia" w:cs="宋体"/>
                <w:kern w:val="2"/>
                <w:sz w:val="21"/>
                <w:szCs w:val="21"/>
              </w:rPr>
              <w:t>。</w:t>
            </w:r>
          </w:p>
          <w:p w14:paraId="2564A0E4">
            <w:pPr>
              <w:pStyle w:val="12"/>
              <w:spacing w:before="120"/>
              <w:rPr>
                <w:rFonts w:hint="eastAsia" w:hAnsi="宋体"/>
              </w:rPr>
            </w:pPr>
            <w:bookmarkStart w:id="6" w:name="_Ref138670874"/>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w:t>
            </w:r>
            <w:r>
              <w:rPr>
                <w:rFonts w:hAnsi="宋体"/>
              </w:rPr>
              <w:fldChar w:fldCharType="end"/>
            </w:r>
            <w:bookmarkEnd w:id="6"/>
            <w:r>
              <w:rPr>
                <w:rFonts w:hAnsi="宋体"/>
              </w:rPr>
              <w:t xml:space="preserve">  </w:t>
            </w:r>
            <w:r>
              <w:rPr>
                <w:rFonts w:hint="eastAsia" w:hAnsi="宋体" w:cs="宋体"/>
              </w:rPr>
              <w:t>与新环环评发[2021]162号中乌昌石片区管控要求符合性分析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4592"/>
              <w:gridCol w:w="2899"/>
              <w:gridCol w:w="567"/>
            </w:tblGrid>
            <w:tr w14:paraId="76AB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 w:type="pct"/>
                  <w:vAlign w:val="center"/>
                </w:tcPr>
                <w:p w14:paraId="207D0653">
                  <w:pPr>
                    <w:pStyle w:val="87"/>
                    <w:rPr>
                      <w:rFonts w:hint="eastAsia" w:hAnsi="宋体"/>
                    </w:rPr>
                  </w:pPr>
                  <w:r>
                    <w:rPr>
                      <w:rFonts w:hint="eastAsia" w:hAnsi="宋体"/>
                    </w:rPr>
                    <w:t>序号</w:t>
                  </w:r>
                </w:p>
              </w:tc>
              <w:tc>
                <w:tcPr>
                  <w:tcW w:w="2672" w:type="pct"/>
                  <w:vAlign w:val="center"/>
                </w:tcPr>
                <w:p w14:paraId="77685A2B">
                  <w:pPr>
                    <w:pStyle w:val="87"/>
                    <w:rPr>
                      <w:rFonts w:hint="eastAsia" w:hAnsi="宋体"/>
                    </w:rPr>
                  </w:pPr>
                  <w:r>
                    <w:rPr>
                      <w:rFonts w:hint="eastAsia" w:hAnsi="宋体"/>
                    </w:rPr>
                    <w:t>新环环评发[</w:t>
                  </w:r>
                  <w:r>
                    <w:rPr>
                      <w:rFonts w:hAnsi="宋体"/>
                    </w:rPr>
                    <w:t>2021]162</w:t>
                  </w:r>
                  <w:r>
                    <w:rPr>
                      <w:rFonts w:hint="eastAsia" w:hAnsi="宋体"/>
                    </w:rPr>
                    <w:t>号要求</w:t>
                  </w:r>
                </w:p>
              </w:tc>
              <w:tc>
                <w:tcPr>
                  <w:tcW w:w="1687" w:type="pct"/>
                  <w:vAlign w:val="center"/>
                </w:tcPr>
                <w:p w14:paraId="7958106A">
                  <w:pPr>
                    <w:pStyle w:val="87"/>
                    <w:rPr>
                      <w:rFonts w:hint="eastAsia" w:hAnsi="宋体"/>
                    </w:rPr>
                  </w:pPr>
                  <w:r>
                    <w:rPr>
                      <w:rFonts w:hint="eastAsia" w:hAnsi="宋体"/>
                    </w:rPr>
                    <w:t>项目情况</w:t>
                  </w:r>
                </w:p>
              </w:tc>
              <w:tc>
                <w:tcPr>
                  <w:tcW w:w="330" w:type="pct"/>
                  <w:vAlign w:val="center"/>
                </w:tcPr>
                <w:p w14:paraId="427AA8D2">
                  <w:pPr>
                    <w:pStyle w:val="87"/>
                    <w:rPr>
                      <w:rFonts w:hint="eastAsia" w:hAnsi="宋体"/>
                    </w:rPr>
                  </w:pPr>
                  <w:r>
                    <w:rPr>
                      <w:rFonts w:hint="eastAsia" w:hAnsi="宋体"/>
                    </w:rPr>
                    <w:t>符合性</w:t>
                  </w:r>
                </w:p>
              </w:tc>
            </w:tr>
            <w:tr w14:paraId="13DC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 w:type="pct"/>
                  <w:vAlign w:val="center"/>
                </w:tcPr>
                <w:p w14:paraId="25998214">
                  <w:pPr>
                    <w:pStyle w:val="87"/>
                    <w:rPr>
                      <w:rFonts w:hint="eastAsia" w:hAnsi="宋体"/>
                    </w:rPr>
                  </w:pPr>
                  <w:r>
                    <w:rPr>
                      <w:rFonts w:hint="eastAsia" w:hAnsi="宋体"/>
                    </w:rPr>
                    <w:t>1</w:t>
                  </w:r>
                </w:p>
              </w:tc>
              <w:tc>
                <w:tcPr>
                  <w:tcW w:w="2672" w:type="pct"/>
                  <w:vAlign w:val="center"/>
                </w:tcPr>
                <w:p w14:paraId="0D1FF86F">
                  <w:pPr>
                    <w:pStyle w:val="87"/>
                    <w:rPr>
                      <w:rFonts w:hint="eastAsia" w:hAnsi="宋体"/>
                    </w:rPr>
                  </w:pPr>
                  <w:r>
                    <w:rPr>
                      <w:rFonts w:hint="eastAsia" w:hAnsi="宋体"/>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tc>
              <w:tc>
                <w:tcPr>
                  <w:tcW w:w="1687" w:type="pct"/>
                  <w:vAlign w:val="center"/>
                </w:tcPr>
                <w:p w14:paraId="1E8A7286">
                  <w:pPr>
                    <w:pStyle w:val="87"/>
                    <w:rPr>
                      <w:rFonts w:hint="eastAsia" w:hAnsi="宋体"/>
                    </w:rPr>
                  </w:pPr>
                  <w:r>
                    <w:rPr>
                      <w:rFonts w:hint="eastAsia" w:hAnsi="宋体"/>
                    </w:rPr>
                    <w:t>本项目属于陆地矿产资源地质勘查，不属于煤化工、电解铝、燃煤纯发电机组、金属硅、碳化硅、聚氯乙烯（电石法）、焦炭（含半焦）等新增产能项目，不属于热电联产项目，本项目施工期较短，产生的废气为短时影响，随着施工的结束即消失，无长期、固定污染源，对周边环境空气影响较小。</w:t>
                  </w:r>
                </w:p>
              </w:tc>
              <w:tc>
                <w:tcPr>
                  <w:tcW w:w="330" w:type="pct"/>
                  <w:vAlign w:val="center"/>
                </w:tcPr>
                <w:p w14:paraId="40583AFF">
                  <w:pPr>
                    <w:pStyle w:val="87"/>
                    <w:rPr>
                      <w:rFonts w:hint="eastAsia" w:hAnsi="宋体"/>
                    </w:rPr>
                  </w:pPr>
                  <w:r>
                    <w:rPr>
                      <w:rFonts w:hint="eastAsia" w:hAnsi="宋体"/>
                    </w:rPr>
                    <w:t>符合</w:t>
                  </w:r>
                </w:p>
              </w:tc>
            </w:tr>
            <w:tr w14:paraId="49B0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 w:type="pct"/>
                  <w:vAlign w:val="center"/>
                </w:tcPr>
                <w:p w14:paraId="00684562">
                  <w:pPr>
                    <w:pStyle w:val="87"/>
                    <w:rPr>
                      <w:rFonts w:hint="eastAsia" w:hAnsi="宋体"/>
                    </w:rPr>
                  </w:pPr>
                  <w:r>
                    <w:rPr>
                      <w:rFonts w:hint="eastAsia" w:hAnsi="宋体"/>
                    </w:rPr>
                    <w:t>2</w:t>
                  </w:r>
                </w:p>
              </w:tc>
              <w:tc>
                <w:tcPr>
                  <w:tcW w:w="2672" w:type="pct"/>
                  <w:vAlign w:val="center"/>
                </w:tcPr>
                <w:p w14:paraId="3B3A6E4F">
                  <w:pPr>
                    <w:pStyle w:val="87"/>
                    <w:rPr>
                      <w:rFonts w:hint="eastAsia" w:hAnsi="宋体"/>
                    </w:rPr>
                  </w:pPr>
                  <w:r>
                    <w:rPr>
                      <w:rFonts w:hint="eastAsia" w:hAnsi="宋体"/>
                    </w:rPr>
                    <w:t>强化企业清洁生产改造，推进节水型企业、节水型工业园区建设，提高资源集约节约利用水平。积极推进地下水超采治理，逐步压减地下水超采量，实现地下水采补平衡。</w:t>
                  </w:r>
                </w:p>
              </w:tc>
              <w:tc>
                <w:tcPr>
                  <w:tcW w:w="1687" w:type="pct"/>
                  <w:vAlign w:val="center"/>
                </w:tcPr>
                <w:p w14:paraId="4BA69EE6">
                  <w:pPr>
                    <w:pStyle w:val="87"/>
                    <w:rPr>
                      <w:rFonts w:hint="eastAsia" w:hAnsi="宋体"/>
                    </w:rPr>
                  </w:pPr>
                  <w:r>
                    <w:rPr>
                      <w:rFonts w:hint="eastAsia" w:hAnsi="宋体"/>
                    </w:rPr>
                    <w:t>本项目生产过程废水均循环利用，消耗新鲜水量较少；本项目不涉及地下水开采。</w:t>
                  </w:r>
                </w:p>
              </w:tc>
              <w:tc>
                <w:tcPr>
                  <w:tcW w:w="330" w:type="pct"/>
                  <w:vAlign w:val="center"/>
                </w:tcPr>
                <w:p w14:paraId="522AA962">
                  <w:pPr>
                    <w:pStyle w:val="87"/>
                    <w:rPr>
                      <w:rFonts w:hint="eastAsia" w:hAnsi="宋体"/>
                    </w:rPr>
                  </w:pPr>
                  <w:r>
                    <w:rPr>
                      <w:rFonts w:hint="eastAsia" w:hAnsi="宋体"/>
                    </w:rPr>
                    <w:t>符合</w:t>
                  </w:r>
                </w:p>
              </w:tc>
            </w:tr>
            <w:tr w14:paraId="4251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 w:type="pct"/>
                  <w:vAlign w:val="center"/>
                </w:tcPr>
                <w:p w14:paraId="22AFC29F">
                  <w:pPr>
                    <w:pStyle w:val="87"/>
                    <w:rPr>
                      <w:rFonts w:hint="eastAsia" w:hAnsi="宋体"/>
                    </w:rPr>
                  </w:pPr>
                  <w:r>
                    <w:rPr>
                      <w:rFonts w:hint="eastAsia" w:hAnsi="宋体"/>
                    </w:rPr>
                    <w:t>3</w:t>
                  </w:r>
                </w:p>
              </w:tc>
              <w:tc>
                <w:tcPr>
                  <w:tcW w:w="2672" w:type="pct"/>
                  <w:vAlign w:val="center"/>
                </w:tcPr>
                <w:p w14:paraId="4BCA22A8">
                  <w:pPr>
                    <w:pStyle w:val="87"/>
                    <w:rPr>
                      <w:rFonts w:hint="eastAsia" w:hAnsi="宋体"/>
                    </w:rPr>
                  </w:pPr>
                  <w:r>
                    <w:rPr>
                      <w:rFonts w:hint="eastAsia" w:hAnsi="宋体"/>
                    </w:rPr>
                    <w:t>强化油（气）资源开发区土壤环境污染综合整治。加强涉重金属行业污染防控与工业废物处理处置。</w:t>
                  </w:r>
                </w:p>
              </w:tc>
              <w:tc>
                <w:tcPr>
                  <w:tcW w:w="1687" w:type="pct"/>
                  <w:vAlign w:val="center"/>
                </w:tcPr>
                <w:p w14:paraId="24A05928">
                  <w:pPr>
                    <w:pStyle w:val="87"/>
                    <w:rPr>
                      <w:rFonts w:hint="eastAsia" w:hAnsi="宋体"/>
                    </w:rPr>
                  </w:pPr>
                  <w:r>
                    <w:rPr>
                      <w:rFonts w:hint="eastAsia" w:hAnsi="宋体"/>
                    </w:rPr>
                    <w:t>本项目属于陆地矿产资源地质勘查，仅涉及施工期，不涉及油气生产开采等工程，无固定、长期污染源。</w:t>
                  </w:r>
                </w:p>
              </w:tc>
              <w:tc>
                <w:tcPr>
                  <w:tcW w:w="330" w:type="pct"/>
                  <w:vAlign w:val="center"/>
                </w:tcPr>
                <w:p w14:paraId="36890A01">
                  <w:pPr>
                    <w:pStyle w:val="87"/>
                    <w:rPr>
                      <w:rFonts w:hint="eastAsia" w:hAnsi="宋体"/>
                    </w:rPr>
                  </w:pPr>
                  <w:r>
                    <w:rPr>
                      <w:rFonts w:hint="eastAsia" w:hAnsi="宋体"/>
                    </w:rPr>
                    <w:t>符合</w:t>
                  </w:r>
                </w:p>
              </w:tc>
            </w:tr>
            <w:tr w14:paraId="4C2E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1" w:type="pct"/>
                  <w:vAlign w:val="center"/>
                </w:tcPr>
                <w:p w14:paraId="51161312">
                  <w:pPr>
                    <w:pStyle w:val="87"/>
                    <w:rPr>
                      <w:rFonts w:hint="eastAsia" w:hAnsi="宋体"/>
                    </w:rPr>
                  </w:pPr>
                  <w:r>
                    <w:rPr>
                      <w:rFonts w:hint="eastAsia" w:hAnsi="宋体"/>
                    </w:rPr>
                    <w:t>4</w:t>
                  </w:r>
                </w:p>
              </w:tc>
              <w:tc>
                <w:tcPr>
                  <w:tcW w:w="2672" w:type="pct"/>
                  <w:vAlign w:val="center"/>
                </w:tcPr>
                <w:p w14:paraId="56E676C0">
                  <w:pPr>
                    <w:pStyle w:val="87"/>
                    <w:rPr>
                      <w:rFonts w:hint="eastAsia" w:hAnsi="宋体"/>
                    </w:rPr>
                  </w:pPr>
                  <w:r>
                    <w:rPr>
                      <w:rFonts w:hint="eastAsia" w:hAnsi="宋体"/>
                    </w:rPr>
                    <w:t>煤炭、石油、天然气开发单位应当制定生态保护和恢复治理方案，并予以实施。生态保护和恢复治理方案内容应当向社会公布，接受社会监督。</w:t>
                  </w:r>
                </w:p>
              </w:tc>
              <w:tc>
                <w:tcPr>
                  <w:tcW w:w="1687" w:type="pct"/>
                  <w:vAlign w:val="center"/>
                </w:tcPr>
                <w:p w14:paraId="62667C17">
                  <w:pPr>
                    <w:pStyle w:val="87"/>
                    <w:rPr>
                      <w:rFonts w:hint="eastAsia" w:hAnsi="宋体"/>
                    </w:rPr>
                  </w:pPr>
                  <w:r>
                    <w:rPr>
                      <w:rFonts w:hint="eastAsia" w:hAnsi="宋体"/>
                    </w:rPr>
                    <w:t>建设单位已制定生态保护和恢复治理方案，并予以实施。生态保护和恢复治理方案内容向社会公布，接受社会监督。</w:t>
                  </w:r>
                </w:p>
              </w:tc>
              <w:tc>
                <w:tcPr>
                  <w:tcW w:w="330" w:type="pct"/>
                  <w:vAlign w:val="center"/>
                </w:tcPr>
                <w:p w14:paraId="10B35E1E">
                  <w:pPr>
                    <w:pStyle w:val="87"/>
                    <w:rPr>
                      <w:rFonts w:hint="eastAsia" w:hAnsi="宋体"/>
                    </w:rPr>
                  </w:pPr>
                  <w:r>
                    <w:rPr>
                      <w:rFonts w:hint="eastAsia" w:hAnsi="宋体"/>
                    </w:rPr>
                    <w:t>符合</w:t>
                  </w:r>
                </w:p>
              </w:tc>
            </w:tr>
          </w:tbl>
          <w:p w14:paraId="29CA637F">
            <w:pPr>
              <w:pStyle w:val="3"/>
              <w:ind w:firstLine="420"/>
              <w:rPr>
                <w:rFonts w:hint="eastAsia"/>
                <w:sz w:val="21"/>
              </w:rPr>
            </w:pPr>
          </w:p>
          <w:p w14:paraId="5457C498">
            <w:pPr>
              <w:pStyle w:val="3"/>
              <w:ind w:firstLine="420"/>
              <w:rPr>
                <w:rFonts w:hint="eastAsia"/>
                <w:sz w:val="21"/>
              </w:rPr>
            </w:pPr>
            <w:r>
              <w:rPr>
                <w:rFonts w:hint="eastAsia"/>
                <w:sz w:val="21"/>
              </w:rPr>
              <w:t>3）与“《新疆维吾尔自治区生态环境分区管控动态更新成果》（新环环评发[2024]157号）”相符性</w:t>
            </w:r>
          </w:p>
          <w:p w14:paraId="461DE3AB">
            <w:pPr>
              <w:pStyle w:val="3"/>
              <w:ind w:firstLine="420"/>
              <w:rPr>
                <w:rFonts w:hint="eastAsia"/>
                <w:szCs w:val="21"/>
              </w:rPr>
            </w:pPr>
            <w:r>
              <w:rPr>
                <w:rFonts w:hint="eastAsia"/>
                <w:sz w:val="21"/>
              </w:rPr>
              <w:t>本项目与“新环环评发[2024]157号”的要求的相符性分析见</w:t>
            </w:r>
            <w:r>
              <w:rPr>
                <w:rFonts w:hint="eastAsia"/>
                <w:sz w:val="21"/>
              </w:rPr>
              <w:fldChar w:fldCharType="begin"/>
            </w:r>
            <w:r>
              <w:rPr>
                <w:rFonts w:hint="eastAsia"/>
                <w:sz w:val="21"/>
              </w:rPr>
              <w:instrText xml:space="preserve"> REF _Ref138670721 \h  \* MERGEFORMAT </w:instrText>
            </w:r>
            <w:r>
              <w:rPr>
                <w:rFonts w:hint="eastAsia"/>
                <w:sz w:val="21"/>
              </w:rPr>
              <w:fldChar w:fldCharType="separate"/>
            </w:r>
            <w:r>
              <w:rPr>
                <w:rFonts w:hint="eastAsia"/>
                <w:sz w:val="21"/>
              </w:rPr>
              <w:t>表3</w:t>
            </w:r>
            <w:r>
              <w:rPr>
                <w:rFonts w:hint="eastAsia"/>
                <w:sz w:val="21"/>
              </w:rPr>
              <w:fldChar w:fldCharType="end"/>
            </w:r>
            <w:r>
              <w:rPr>
                <w:rFonts w:hint="eastAsia"/>
                <w:sz w:val="21"/>
              </w:rPr>
              <w:t>。</w:t>
            </w:r>
          </w:p>
          <w:p w14:paraId="03B3F8E8">
            <w:pPr>
              <w:pStyle w:val="12"/>
              <w:spacing w:before="120"/>
              <w:rPr>
                <w:rFonts w:hint="eastAsia" w:hAnsi="宋体"/>
                <w:szCs w:val="21"/>
              </w:rPr>
            </w:pPr>
            <w:bookmarkStart w:id="7" w:name="_Ref138670721"/>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3</w:t>
            </w:r>
            <w:r>
              <w:rPr>
                <w:rFonts w:hAnsi="宋体"/>
              </w:rPr>
              <w:fldChar w:fldCharType="end"/>
            </w:r>
            <w:bookmarkEnd w:id="7"/>
            <w:r>
              <w:rPr>
                <w:rFonts w:hAnsi="宋体"/>
              </w:rPr>
              <w:t xml:space="preserve">  </w:t>
            </w:r>
            <w:r>
              <w:rPr>
                <w:rFonts w:hint="eastAsia"/>
              </w:rPr>
              <w:t>与“新环环评发[2024]157号”相符性分析</w:t>
            </w:r>
            <w:r>
              <w:rPr>
                <w:rFonts w:hint="eastAsia" w:hAnsi="宋体"/>
                <w:szCs w:val="21"/>
              </w:rPr>
              <w:t>表</w:t>
            </w:r>
          </w:p>
          <w:tbl>
            <w:tblPr>
              <w:tblStyle w:val="2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9"/>
              <w:gridCol w:w="806"/>
              <w:gridCol w:w="4121"/>
              <w:gridCol w:w="2368"/>
              <w:gridCol w:w="608"/>
            </w:tblGrid>
            <w:tr w14:paraId="74882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Header/>
              </w:trPr>
              <w:tc>
                <w:tcPr>
                  <w:tcW w:w="3268" w:type="pct"/>
                  <w:gridSpan w:val="3"/>
                  <w:tcMar>
                    <w:top w:w="57" w:type="dxa"/>
                    <w:left w:w="57" w:type="dxa"/>
                    <w:bottom w:w="57" w:type="dxa"/>
                    <w:right w:w="57" w:type="dxa"/>
                  </w:tcMar>
                  <w:vAlign w:val="center"/>
                </w:tcPr>
                <w:p w14:paraId="2A609155">
                  <w:pPr>
                    <w:pStyle w:val="116"/>
                    <w:rPr>
                      <w:sz w:val="18"/>
                      <w:szCs w:val="18"/>
                    </w:rPr>
                  </w:pPr>
                  <w:r>
                    <w:rPr>
                      <w:sz w:val="18"/>
                      <w:szCs w:val="18"/>
                    </w:rPr>
                    <w:t>新环环评发</w:t>
                  </w:r>
                  <w:r>
                    <w:rPr>
                      <w:rFonts w:hint="eastAsia"/>
                      <w:sz w:val="18"/>
                      <w:szCs w:val="18"/>
                    </w:rPr>
                    <w:t>[</w:t>
                  </w:r>
                  <w:r>
                    <w:rPr>
                      <w:sz w:val="18"/>
                      <w:szCs w:val="18"/>
                    </w:rPr>
                    <w:t>2024</w:t>
                  </w:r>
                  <w:r>
                    <w:rPr>
                      <w:rFonts w:hint="eastAsia"/>
                      <w:sz w:val="18"/>
                      <w:szCs w:val="18"/>
                    </w:rPr>
                    <w:t>]</w:t>
                  </w:r>
                  <w:r>
                    <w:rPr>
                      <w:sz w:val="18"/>
                      <w:szCs w:val="18"/>
                    </w:rPr>
                    <w:t>157号管控要求</w:t>
                  </w:r>
                </w:p>
              </w:tc>
              <w:tc>
                <w:tcPr>
                  <w:tcW w:w="1378" w:type="pct"/>
                  <w:tcMar>
                    <w:top w:w="57" w:type="dxa"/>
                    <w:left w:w="57" w:type="dxa"/>
                    <w:bottom w:w="57" w:type="dxa"/>
                    <w:right w:w="57" w:type="dxa"/>
                  </w:tcMar>
                  <w:vAlign w:val="center"/>
                </w:tcPr>
                <w:p w14:paraId="55B4346E">
                  <w:pPr>
                    <w:pStyle w:val="116"/>
                    <w:rPr>
                      <w:sz w:val="18"/>
                      <w:szCs w:val="18"/>
                    </w:rPr>
                  </w:pPr>
                  <w:r>
                    <w:rPr>
                      <w:sz w:val="18"/>
                      <w:szCs w:val="18"/>
                    </w:rPr>
                    <w:t>本项目情况</w:t>
                  </w:r>
                </w:p>
              </w:tc>
              <w:tc>
                <w:tcPr>
                  <w:tcW w:w="354" w:type="pct"/>
                  <w:tcMar>
                    <w:top w:w="57" w:type="dxa"/>
                    <w:left w:w="57" w:type="dxa"/>
                    <w:bottom w:w="57" w:type="dxa"/>
                    <w:right w:w="57" w:type="dxa"/>
                  </w:tcMar>
                  <w:vAlign w:val="center"/>
                </w:tcPr>
                <w:p w14:paraId="7D4C55E5">
                  <w:pPr>
                    <w:pStyle w:val="116"/>
                    <w:rPr>
                      <w:sz w:val="18"/>
                      <w:szCs w:val="18"/>
                    </w:rPr>
                  </w:pPr>
                  <w:r>
                    <w:rPr>
                      <w:sz w:val="18"/>
                      <w:szCs w:val="18"/>
                    </w:rPr>
                    <w:t>符合性分析</w:t>
                  </w:r>
                </w:p>
              </w:tc>
            </w:tr>
            <w:tr w14:paraId="7A045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restart"/>
                  <w:tcMar>
                    <w:top w:w="57" w:type="dxa"/>
                    <w:left w:w="57" w:type="dxa"/>
                    <w:bottom w:w="57" w:type="dxa"/>
                    <w:right w:w="57" w:type="dxa"/>
                  </w:tcMar>
                  <w:vAlign w:val="center"/>
                </w:tcPr>
                <w:p w14:paraId="277264E8">
                  <w:pPr>
                    <w:pStyle w:val="116"/>
                    <w:rPr>
                      <w:rFonts w:hAnsi="Calibri"/>
                      <w:sz w:val="18"/>
                      <w:szCs w:val="18"/>
                    </w:rPr>
                  </w:pPr>
                  <w:r>
                    <w:rPr>
                      <w:sz w:val="18"/>
                      <w:szCs w:val="18"/>
                    </w:rPr>
                    <w:t>A1.</w:t>
                  </w:r>
                </w:p>
                <w:p w14:paraId="6A95E096">
                  <w:pPr>
                    <w:pStyle w:val="116"/>
                    <w:rPr>
                      <w:rFonts w:hAnsi="Calibri"/>
                      <w:sz w:val="18"/>
                      <w:szCs w:val="18"/>
                    </w:rPr>
                  </w:pPr>
                  <w:r>
                    <w:rPr>
                      <w:sz w:val="18"/>
                      <w:szCs w:val="18"/>
                    </w:rPr>
                    <w:t>空间</w:t>
                  </w:r>
                </w:p>
                <w:p w14:paraId="12D5BF33">
                  <w:pPr>
                    <w:pStyle w:val="116"/>
                    <w:rPr>
                      <w:rFonts w:hAnsi="Calibri"/>
                      <w:sz w:val="18"/>
                      <w:szCs w:val="18"/>
                    </w:rPr>
                  </w:pPr>
                  <w:r>
                    <w:rPr>
                      <w:sz w:val="18"/>
                      <w:szCs w:val="18"/>
                    </w:rPr>
                    <w:t>布局</w:t>
                  </w:r>
                </w:p>
                <w:p w14:paraId="2D14BFCD">
                  <w:pPr>
                    <w:pStyle w:val="116"/>
                    <w:widowControl w:val="0"/>
                    <w:autoSpaceDE w:val="0"/>
                    <w:autoSpaceDN w:val="0"/>
                    <w:rPr>
                      <w:sz w:val="18"/>
                      <w:szCs w:val="18"/>
                    </w:rPr>
                  </w:pPr>
                  <w:r>
                    <w:rPr>
                      <w:sz w:val="18"/>
                      <w:szCs w:val="18"/>
                    </w:rPr>
                    <w:t>约束</w:t>
                  </w:r>
                </w:p>
              </w:tc>
              <w:tc>
                <w:tcPr>
                  <w:tcW w:w="469" w:type="pct"/>
                  <w:vMerge w:val="restart"/>
                  <w:tcMar>
                    <w:top w:w="57" w:type="dxa"/>
                    <w:left w:w="57" w:type="dxa"/>
                    <w:bottom w:w="57" w:type="dxa"/>
                    <w:right w:w="57" w:type="dxa"/>
                  </w:tcMar>
                  <w:vAlign w:val="center"/>
                </w:tcPr>
                <w:p w14:paraId="100EDEC3">
                  <w:pPr>
                    <w:pStyle w:val="116"/>
                    <w:rPr>
                      <w:rFonts w:hAnsi="Calibri"/>
                      <w:sz w:val="18"/>
                      <w:szCs w:val="18"/>
                    </w:rPr>
                  </w:pPr>
                  <w:r>
                    <w:rPr>
                      <w:sz w:val="18"/>
                      <w:szCs w:val="18"/>
                    </w:rPr>
                    <w:t>A1.1</w:t>
                  </w:r>
                </w:p>
                <w:p w14:paraId="258496AA">
                  <w:pPr>
                    <w:pStyle w:val="116"/>
                    <w:rPr>
                      <w:rFonts w:hAnsi="Calibri"/>
                      <w:sz w:val="18"/>
                      <w:szCs w:val="18"/>
                    </w:rPr>
                  </w:pPr>
                  <w:r>
                    <w:rPr>
                      <w:sz w:val="18"/>
                      <w:szCs w:val="18"/>
                    </w:rPr>
                    <w:t>禁止</w:t>
                  </w:r>
                </w:p>
                <w:p w14:paraId="6A94B798">
                  <w:pPr>
                    <w:pStyle w:val="116"/>
                    <w:rPr>
                      <w:rFonts w:hAnsi="Calibri"/>
                      <w:sz w:val="18"/>
                      <w:szCs w:val="18"/>
                    </w:rPr>
                  </w:pPr>
                  <w:r>
                    <w:rPr>
                      <w:sz w:val="18"/>
                      <w:szCs w:val="18"/>
                    </w:rPr>
                    <w:t>开发</w:t>
                  </w:r>
                </w:p>
                <w:p w14:paraId="66543921">
                  <w:pPr>
                    <w:pStyle w:val="116"/>
                    <w:widowControl w:val="0"/>
                    <w:autoSpaceDE w:val="0"/>
                    <w:autoSpaceDN w:val="0"/>
                    <w:rPr>
                      <w:sz w:val="18"/>
                      <w:szCs w:val="18"/>
                    </w:rPr>
                  </w:pPr>
                  <w:r>
                    <w:rPr>
                      <w:sz w:val="18"/>
                      <w:szCs w:val="18"/>
                    </w:rPr>
                    <w:t>的活</w:t>
                  </w:r>
                </w:p>
                <w:p w14:paraId="48208AF1">
                  <w:pPr>
                    <w:pStyle w:val="116"/>
                    <w:widowControl w:val="0"/>
                    <w:autoSpaceDE w:val="0"/>
                    <w:autoSpaceDN w:val="0"/>
                    <w:rPr>
                      <w:sz w:val="18"/>
                      <w:szCs w:val="18"/>
                    </w:rPr>
                  </w:pPr>
                  <w:r>
                    <w:rPr>
                      <w:sz w:val="18"/>
                      <w:szCs w:val="18"/>
                    </w:rPr>
                    <w:t>动</w:t>
                  </w:r>
                </w:p>
              </w:tc>
              <w:tc>
                <w:tcPr>
                  <w:tcW w:w="2397" w:type="pct"/>
                  <w:tcMar>
                    <w:top w:w="57" w:type="dxa"/>
                    <w:left w:w="57" w:type="dxa"/>
                    <w:bottom w:w="57" w:type="dxa"/>
                    <w:right w:w="57" w:type="dxa"/>
                  </w:tcMar>
                  <w:vAlign w:val="center"/>
                </w:tcPr>
                <w:p w14:paraId="237F253B">
                  <w:pPr>
                    <w:pStyle w:val="116"/>
                    <w:rPr>
                      <w:sz w:val="18"/>
                      <w:szCs w:val="18"/>
                    </w:rPr>
                  </w:pPr>
                  <w:r>
                    <w:rPr>
                      <w:sz w:val="18"/>
                      <w:szCs w:val="18"/>
                    </w:rPr>
                    <w:t>[A1.1-1]禁止新建、扩建《产业结构调整指导目录（2024年本）》中淘汰类项目。禁止引入《市场准入负面清单（2022年版）》禁止准入类事项。</w:t>
                  </w:r>
                </w:p>
              </w:tc>
              <w:tc>
                <w:tcPr>
                  <w:tcW w:w="1378" w:type="pct"/>
                  <w:tcMar>
                    <w:top w:w="57" w:type="dxa"/>
                    <w:left w:w="57" w:type="dxa"/>
                    <w:bottom w:w="57" w:type="dxa"/>
                    <w:right w:w="57" w:type="dxa"/>
                  </w:tcMar>
                  <w:vAlign w:val="center"/>
                </w:tcPr>
                <w:p w14:paraId="5FC40E91">
                  <w:pPr>
                    <w:pStyle w:val="116"/>
                    <w:rPr>
                      <w:sz w:val="18"/>
                      <w:szCs w:val="18"/>
                    </w:rPr>
                  </w:pPr>
                  <w:r>
                    <w:rPr>
                      <w:sz w:val="18"/>
                      <w:szCs w:val="18"/>
                    </w:rPr>
                    <w:t>本项目</w:t>
                  </w:r>
                  <w:r>
                    <w:rPr>
                      <w:rFonts w:hint="eastAsia"/>
                      <w:sz w:val="18"/>
                      <w:szCs w:val="18"/>
                    </w:rPr>
                    <w:t>为</w:t>
                  </w:r>
                  <w:r>
                    <w:rPr>
                      <w:sz w:val="18"/>
                      <w:szCs w:val="18"/>
                    </w:rPr>
                    <w:t>《产业结构调整指导目录（2024年本）》中</w:t>
                  </w:r>
                  <w:r>
                    <w:rPr>
                      <w:rFonts w:hint="eastAsia"/>
                      <w:sz w:val="18"/>
                      <w:szCs w:val="18"/>
                    </w:rPr>
                    <w:t>鼓励类</w:t>
                  </w:r>
                  <w:r>
                    <w:rPr>
                      <w:sz w:val="18"/>
                      <w:szCs w:val="18"/>
                    </w:rPr>
                    <w:t>项目。</w:t>
                  </w:r>
                  <w:r>
                    <w:rPr>
                      <w:rFonts w:hint="eastAsia"/>
                      <w:sz w:val="18"/>
                      <w:szCs w:val="18"/>
                    </w:rPr>
                    <w:t>项目</w:t>
                  </w:r>
                  <w:r>
                    <w:rPr>
                      <w:sz w:val="18"/>
                      <w:szCs w:val="18"/>
                    </w:rPr>
                    <w:t>不涉及</w:t>
                  </w:r>
                  <w:r>
                    <w:rPr>
                      <w:rFonts w:hint="eastAsia"/>
                      <w:sz w:val="18"/>
                      <w:szCs w:val="18"/>
                    </w:rPr>
                    <w:t>市场准入负面清单（2025年版）（发改体改规[2025]466号）</w:t>
                  </w:r>
                  <w:r>
                    <w:rPr>
                      <w:sz w:val="18"/>
                      <w:szCs w:val="18"/>
                    </w:rPr>
                    <w:t>禁止准入类事项。</w:t>
                  </w:r>
                </w:p>
              </w:tc>
              <w:tc>
                <w:tcPr>
                  <w:tcW w:w="354" w:type="pct"/>
                  <w:tcMar>
                    <w:top w:w="57" w:type="dxa"/>
                    <w:left w:w="57" w:type="dxa"/>
                    <w:bottom w:w="57" w:type="dxa"/>
                    <w:right w:w="57" w:type="dxa"/>
                  </w:tcMar>
                  <w:vAlign w:val="center"/>
                </w:tcPr>
                <w:p w14:paraId="7F6FAB1C">
                  <w:pPr>
                    <w:pStyle w:val="116"/>
                    <w:rPr>
                      <w:sz w:val="18"/>
                      <w:szCs w:val="18"/>
                    </w:rPr>
                  </w:pPr>
                  <w:r>
                    <w:rPr>
                      <w:sz w:val="18"/>
                      <w:szCs w:val="18"/>
                    </w:rPr>
                    <w:t>符合</w:t>
                  </w:r>
                </w:p>
              </w:tc>
            </w:tr>
            <w:tr w14:paraId="19A2A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141431CB">
                  <w:pPr>
                    <w:pStyle w:val="116"/>
                    <w:widowControl w:val="0"/>
                    <w:autoSpaceDE w:val="0"/>
                    <w:autoSpaceDN w:val="0"/>
                    <w:rPr>
                      <w:sz w:val="18"/>
                      <w:szCs w:val="18"/>
                    </w:rPr>
                  </w:pPr>
                </w:p>
              </w:tc>
              <w:tc>
                <w:tcPr>
                  <w:tcW w:w="469" w:type="pct"/>
                  <w:vMerge w:val="continue"/>
                  <w:tcMar>
                    <w:top w:w="57" w:type="dxa"/>
                    <w:left w:w="57" w:type="dxa"/>
                    <w:bottom w:w="57" w:type="dxa"/>
                    <w:right w:w="57" w:type="dxa"/>
                  </w:tcMar>
                  <w:vAlign w:val="center"/>
                </w:tcPr>
                <w:p w14:paraId="65C6F19D">
                  <w:pPr>
                    <w:pStyle w:val="116"/>
                    <w:widowControl w:val="0"/>
                    <w:autoSpaceDE w:val="0"/>
                    <w:autoSpaceDN w:val="0"/>
                    <w:rPr>
                      <w:sz w:val="18"/>
                      <w:szCs w:val="18"/>
                    </w:rPr>
                  </w:pPr>
                </w:p>
              </w:tc>
              <w:tc>
                <w:tcPr>
                  <w:tcW w:w="2397" w:type="pct"/>
                  <w:tcMar>
                    <w:top w:w="57" w:type="dxa"/>
                    <w:left w:w="57" w:type="dxa"/>
                    <w:bottom w:w="57" w:type="dxa"/>
                    <w:right w:w="57" w:type="dxa"/>
                  </w:tcMar>
                  <w:vAlign w:val="center"/>
                </w:tcPr>
                <w:p w14:paraId="1C300F12">
                  <w:pPr>
                    <w:pStyle w:val="116"/>
                    <w:rPr>
                      <w:sz w:val="18"/>
                      <w:szCs w:val="18"/>
                    </w:rPr>
                  </w:pPr>
                  <w:r>
                    <w:rPr>
                      <w:sz w:val="18"/>
                      <w:szCs w:val="18"/>
                    </w:rPr>
                    <w:t>[A1.1-2]禁止建设不符合国家和自治区环境保护标准的项目。</w:t>
                  </w:r>
                </w:p>
              </w:tc>
              <w:tc>
                <w:tcPr>
                  <w:tcW w:w="1378" w:type="pct"/>
                  <w:tcMar>
                    <w:top w:w="57" w:type="dxa"/>
                    <w:left w:w="57" w:type="dxa"/>
                    <w:bottom w:w="57" w:type="dxa"/>
                    <w:right w:w="57" w:type="dxa"/>
                  </w:tcMar>
                  <w:vAlign w:val="center"/>
                </w:tcPr>
                <w:p w14:paraId="7ABEE2C1">
                  <w:pPr>
                    <w:pStyle w:val="116"/>
                    <w:rPr>
                      <w:sz w:val="18"/>
                      <w:szCs w:val="18"/>
                    </w:rPr>
                  </w:pPr>
                  <w:r>
                    <w:rPr>
                      <w:sz w:val="18"/>
                      <w:szCs w:val="18"/>
                    </w:rPr>
                    <w:t>本项目的建设符合国家和自治区环境保护标准。</w:t>
                  </w:r>
                </w:p>
              </w:tc>
              <w:tc>
                <w:tcPr>
                  <w:tcW w:w="354" w:type="pct"/>
                  <w:tcMar>
                    <w:top w:w="57" w:type="dxa"/>
                    <w:left w:w="57" w:type="dxa"/>
                    <w:bottom w:w="57" w:type="dxa"/>
                    <w:right w:w="57" w:type="dxa"/>
                  </w:tcMar>
                  <w:vAlign w:val="center"/>
                </w:tcPr>
                <w:p w14:paraId="080DEF51">
                  <w:pPr>
                    <w:pStyle w:val="116"/>
                    <w:rPr>
                      <w:sz w:val="18"/>
                      <w:szCs w:val="18"/>
                    </w:rPr>
                  </w:pPr>
                  <w:r>
                    <w:rPr>
                      <w:sz w:val="18"/>
                      <w:szCs w:val="18"/>
                    </w:rPr>
                    <w:t>符合</w:t>
                  </w:r>
                </w:p>
              </w:tc>
            </w:tr>
            <w:tr w14:paraId="74C03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107F530B">
                  <w:pPr>
                    <w:pStyle w:val="116"/>
                    <w:widowControl w:val="0"/>
                    <w:autoSpaceDE w:val="0"/>
                    <w:autoSpaceDN w:val="0"/>
                    <w:rPr>
                      <w:sz w:val="18"/>
                      <w:szCs w:val="18"/>
                    </w:rPr>
                  </w:pPr>
                </w:p>
              </w:tc>
              <w:tc>
                <w:tcPr>
                  <w:tcW w:w="469" w:type="pct"/>
                  <w:vMerge w:val="continue"/>
                  <w:tcMar>
                    <w:top w:w="57" w:type="dxa"/>
                    <w:left w:w="57" w:type="dxa"/>
                    <w:bottom w:w="57" w:type="dxa"/>
                    <w:right w:w="57" w:type="dxa"/>
                  </w:tcMar>
                  <w:vAlign w:val="center"/>
                </w:tcPr>
                <w:p w14:paraId="7FA174EE">
                  <w:pPr>
                    <w:pStyle w:val="116"/>
                    <w:widowControl w:val="0"/>
                    <w:autoSpaceDE w:val="0"/>
                    <w:autoSpaceDN w:val="0"/>
                    <w:rPr>
                      <w:sz w:val="18"/>
                      <w:szCs w:val="18"/>
                    </w:rPr>
                  </w:pPr>
                </w:p>
              </w:tc>
              <w:tc>
                <w:tcPr>
                  <w:tcW w:w="2397" w:type="pct"/>
                  <w:tcMar>
                    <w:top w:w="57" w:type="dxa"/>
                    <w:left w:w="57" w:type="dxa"/>
                    <w:bottom w:w="57" w:type="dxa"/>
                    <w:right w:w="57" w:type="dxa"/>
                  </w:tcMar>
                  <w:vAlign w:val="center"/>
                </w:tcPr>
                <w:p w14:paraId="700FC78B">
                  <w:pPr>
                    <w:pStyle w:val="116"/>
                    <w:rPr>
                      <w:sz w:val="18"/>
                      <w:szCs w:val="18"/>
                    </w:rPr>
                  </w:pPr>
                  <w:r>
                    <w:rPr>
                      <w:sz w:val="18"/>
                      <w:szCs w:val="18"/>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1378" w:type="pct"/>
                  <w:tcMar>
                    <w:top w:w="57" w:type="dxa"/>
                    <w:left w:w="57" w:type="dxa"/>
                    <w:bottom w:w="57" w:type="dxa"/>
                    <w:right w:w="57" w:type="dxa"/>
                  </w:tcMar>
                  <w:vAlign w:val="center"/>
                </w:tcPr>
                <w:p w14:paraId="28670DB8">
                  <w:pPr>
                    <w:pStyle w:val="116"/>
                    <w:rPr>
                      <w:sz w:val="18"/>
                      <w:szCs w:val="18"/>
                    </w:rPr>
                  </w:pPr>
                  <w:r>
                    <w:rPr>
                      <w:sz w:val="18"/>
                      <w:szCs w:val="18"/>
                    </w:rPr>
                    <w:t>本项目</w:t>
                  </w:r>
                  <w:r>
                    <w:rPr>
                      <w:rFonts w:hint="eastAsia"/>
                      <w:sz w:val="18"/>
                      <w:szCs w:val="18"/>
                    </w:rPr>
                    <w:t>各项</w:t>
                  </w:r>
                  <w:r>
                    <w:rPr>
                      <w:sz w:val="18"/>
                      <w:szCs w:val="18"/>
                    </w:rPr>
                    <w:t>能耗较低，</w:t>
                  </w:r>
                  <w:r>
                    <w:rPr>
                      <w:rFonts w:hint="eastAsia"/>
                      <w:sz w:val="18"/>
                      <w:szCs w:val="18"/>
                    </w:rPr>
                    <w:t>项目</w:t>
                  </w:r>
                  <w:r>
                    <w:rPr>
                      <w:sz w:val="18"/>
                      <w:szCs w:val="18"/>
                    </w:rPr>
                    <w:t>采用先进的污染物治理措施，污染物排放和环境风险防控控制在较低水平</w:t>
                  </w:r>
                  <w:r>
                    <w:rPr>
                      <w:rFonts w:hint="eastAsia"/>
                      <w:sz w:val="18"/>
                      <w:szCs w:val="18"/>
                    </w:rPr>
                    <w:t>。</w:t>
                  </w:r>
                </w:p>
              </w:tc>
              <w:tc>
                <w:tcPr>
                  <w:tcW w:w="354" w:type="pct"/>
                  <w:tcMar>
                    <w:top w:w="57" w:type="dxa"/>
                    <w:left w:w="57" w:type="dxa"/>
                    <w:bottom w:w="57" w:type="dxa"/>
                    <w:right w:w="57" w:type="dxa"/>
                  </w:tcMar>
                  <w:vAlign w:val="center"/>
                </w:tcPr>
                <w:p w14:paraId="148606D1">
                  <w:pPr>
                    <w:pStyle w:val="116"/>
                    <w:rPr>
                      <w:sz w:val="18"/>
                      <w:szCs w:val="18"/>
                    </w:rPr>
                  </w:pPr>
                  <w:r>
                    <w:rPr>
                      <w:sz w:val="18"/>
                      <w:szCs w:val="18"/>
                    </w:rPr>
                    <w:t>符合</w:t>
                  </w:r>
                </w:p>
              </w:tc>
            </w:tr>
            <w:tr w14:paraId="0678D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0C38EB54">
                  <w:pPr>
                    <w:pStyle w:val="116"/>
                    <w:widowControl w:val="0"/>
                    <w:autoSpaceDE w:val="0"/>
                    <w:autoSpaceDN w:val="0"/>
                    <w:rPr>
                      <w:sz w:val="18"/>
                      <w:szCs w:val="18"/>
                    </w:rPr>
                  </w:pPr>
                </w:p>
              </w:tc>
              <w:tc>
                <w:tcPr>
                  <w:tcW w:w="469" w:type="pct"/>
                  <w:vMerge w:val="continue"/>
                  <w:tcMar>
                    <w:top w:w="57" w:type="dxa"/>
                    <w:left w:w="57" w:type="dxa"/>
                    <w:bottom w:w="57" w:type="dxa"/>
                    <w:right w:w="57" w:type="dxa"/>
                  </w:tcMar>
                  <w:vAlign w:val="center"/>
                </w:tcPr>
                <w:p w14:paraId="7EA89C8D">
                  <w:pPr>
                    <w:pStyle w:val="116"/>
                    <w:widowControl w:val="0"/>
                    <w:autoSpaceDE w:val="0"/>
                    <w:autoSpaceDN w:val="0"/>
                    <w:rPr>
                      <w:sz w:val="18"/>
                      <w:szCs w:val="18"/>
                    </w:rPr>
                  </w:pPr>
                </w:p>
              </w:tc>
              <w:tc>
                <w:tcPr>
                  <w:tcW w:w="2397" w:type="pct"/>
                  <w:tcMar>
                    <w:top w:w="57" w:type="dxa"/>
                    <w:left w:w="57" w:type="dxa"/>
                    <w:bottom w:w="57" w:type="dxa"/>
                    <w:right w:w="57" w:type="dxa"/>
                  </w:tcMar>
                  <w:vAlign w:val="center"/>
                </w:tcPr>
                <w:p w14:paraId="258ABF6A">
                  <w:pPr>
                    <w:pStyle w:val="116"/>
                    <w:rPr>
                      <w:sz w:val="18"/>
                      <w:szCs w:val="18"/>
                    </w:rPr>
                  </w:pPr>
                  <w:r>
                    <w:rPr>
                      <w:sz w:val="18"/>
                      <w:szCs w:val="18"/>
                    </w:rPr>
                    <w:t>[A1.1-7]</w:t>
                  </w:r>
                  <w:r>
                    <w:rPr>
                      <w:rFonts w:hint="eastAsia"/>
                      <w:sz w:val="18"/>
                      <w:szCs w:val="18"/>
                    </w:rPr>
                    <w:t>①</w:t>
                  </w:r>
                  <w:r>
                    <w:rPr>
                      <w:sz w:val="18"/>
                      <w:szCs w:val="18"/>
                    </w:rPr>
                    <w:t>坚决遏制高耗能高排放低水平项目盲目发展。严把高耗能高排放低水平项目准入关口，严格落实污染物排放区域削减要求，对不符合规定的项目坚决停批停建。依法依规淘汰落后产能和化解过剩产能。</w:t>
                  </w:r>
                  <w:r>
                    <w:rPr>
                      <w:rFonts w:hint="eastAsia"/>
                      <w:sz w:val="18"/>
                      <w:szCs w:val="18"/>
                    </w:rPr>
                    <w:t>②</w:t>
                  </w:r>
                  <w:r>
                    <w:rPr>
                      <w:sz w:val="18"/>
                      <w:szCs w:val="18"/>
                    </w:rPr>
                    <w:t>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1378" w:type="pct"/>
                  <w:tcMar>
                    <w:top w:w="57" w:type="dxa"/>
                    <w:left w:w="57" w:type="dxa"/>
                    <w:bottom w:w="57" w:type="dxa"/>
                    <w:right w:w="57" w:type="dxa"/>
                  </w:tcMar>
                  <w:vAlign w:val="center"/>
                </w:tcPr>
                <w:p w14:paraId="56DE1874">
                  <w:pPr>
                    <w:pStyle w:val="116"/>
                    <w:rPr>
                      <w:sz w:val="18"/>
                      <w:szCs w:val="18"/>
                    </w:rPr>
                  </w:pPr>
                  <w:r>
                    <w:rPr>
                      <w:sz w:val="18"/>
                      <w:szCs w:val="18"/>
                    </w:rPr>
                    <w:t>本项目</w:t>
                  </w:r>
                  <w:r>
                    <w:rPr>
                      <w:rFonts w:hint="eastAsia"/>
                      <w:sz w:val="18"/>
                      <w:szCs w:val="18"/>
                    </w:rPr>
                    <w:t>污染物排放主要集中在施工期</w:t>
                  </w:r>
                  <w:r>
                    <w:rPr>
                      <w:sz w:val="18"/>
                      <w:szCs w:val="18"/>
                    </w:rPr>
                    <w:t>，</w:t>
                  </w:r>
                  <w:r>
                    <w:rPr>
                      <w:rFonts w:hint="eastAsia"/>
                      <w:sz w:val="18"/>
                      <w:szCs w:val="18"/>
                    </w:rPr>
                    <w:t>项目</w:t>
                  </w:r>
                  <w:r>
                    <w:rPr>
                      <w:sz w:val="18"/>
                      <w:szCs w:val="18"/>
                    </w:rPr>
                    <w:t>采用先进的</w:t>
                  </w:r>
                  <w:r>
                    <w:rPr>
                      <w:rFonts w:hint="eastAsia"/>
                      <w:sz w:val="18"/>
                      <w:szCs w:val="18"/>
                    </w:rPr>
                    <w:t>施工</w:t>
                  </w:r>
                  <w:r>
                    <w:rPr>
                      <w:sz w:val="18"/>
                      <w:szCs w:val="18"/>
                    </w:rPr>
                    <w:t>工艺，减少污染物排放</w:t>
                  </w:r>
                  <w:r>
                    <w:rPr>
                      <w:rFonts w:hint="eastAsia"/>
                      <w:sz w:val="18"/>
                      <w:szCs w:val="18"/>
                    </w:rPr>
                    <w:t>，项目无废水、固废外排，废气排放量较小。</w:t>
                  </w:r>
                </w:p>
              </w:tc>
              <w:tc>
                <w:tcPr>
                  <w:tcW w:w="354" w:type="pct"/>
                  <w:tcMar>
                    <w:top w:w="57" w:type="dxa"/>
                    <w:left w:w="57" w:type="dxa"/>
                    <w:bottom w:w="57" w:type="dxa"/>
                    <w:right w:w="57" w:type="dxa"/>
                  </w:tcMar>
                  <w:vAlign w:val="center"/>
                </w:tcPr>
                <w:p w14:paraId="215CF6E7">
                  <w:pPr>
                    <w:pStyle w:val="116"/>
                    <w:widowControl w:val="0"/>
                    <w:autoSpaceDE w:val="0"/>
                    <w:autoSpaceDN w:val="0"/>
                    <w:rPr>
                      <w:sz w:val="18"/>
                      <w:szCs w:val="18"/>
                    </w:rPr>
                  </w:pPr>
                  <w:r>
                    <w:rPr>
                      <w:sz w:val="18"/>
                      <w:szCs w:val="18"/>
                    </w:rPr>
                    <w:t>符合</w:t>
                  </w:r>
                </w:p>
              </w:tc>
            </w:tr>
            <w:tr w14:paraId="424AD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63EF8DAF">
                  <w:pPr>
                    <w:pStyle w:val="116"/>
                    <w:rPr>
                      <w:sz w:val="18"/>
                      <w:szCs w:val="18"/>
                    </w:rPr>
                  </w:pPr>
                </w:p>
              </w:tc>
              <w:tc>
                <w:tcPr>
                  <w:tcW w:w="469" w:type="pct"/>
                  <w:vMerge w:val="continue"/>
                  <w:tcMar>
                    <w:top w:w="57" w:type="dxa"/>
                    <w:left w:w="57" w:type="dxa"/>
                    <w:bottom w:w="57" w:type="dxa"/>
                    <w:right w:w="57" w:type="dxa"/>
                  </w:tcMar>
                  <w:vAlign w:val="center"/>
                </w:tcPr>
                <w:p w14:paraId="781B4F68">
                  <w:pPr>
                    <w:pStyle w:val="116"/>
                    <w:rPr>
                      <w:sz w:val="18"/>
                      <w:szCs w:val="18"/>
                    </w:rPr>
                  </w:pPr>
                </w:p>
              </w:tc>
              <w:tc>
                <w:tcPr>
                  <w:tcW w:w="2397" w:type="pct"/>
                  <w:tcMar>
                    <w:top w:w="57" w:type="dxa"/>
                    <w:left w:w="57" w:type="dxa"/>
                    <w:bottom w:w="57" w:type="dxa"/>
                    <w:right w:w="57" w:type="dxa"/>
                  </w:tcMar>
                  <w:vAlign w:val="center"/>
                </w:tcPr>
                <w:p w14:paraId="4AC24B02">
                  <w:pPr>
                    <w:pStyle w:val="116"/>
                    <w:rPr>
                      <w:sz w:val="18"/>
                      <w:szCs w:val="18"/>
                    </w:rPr>
                  </w:pPr>
                  <w:r>
                    <w:rPr>
                      <w:sz w:val="18"/>
                      <w:szCs w:val="18"/>
                    </w:rPr>
                    <w:t>[A1.1-9]严禁新建自治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tc>
              <w:tc>
                <w:tcPr>
                  <w:tcW w:w="1378" w:type="pct"/>
                  <w:tcMar>
                    <w:top w:w="57" w:type="dxa"/>
                    <w:left w:w="57" w:type="dxa"/>
                    <w:bottom w:w="57" w:type="dxa"/>
                    <w:right w:w="57" w:type="dxa"/>
                  </w:tcMar>
                  <w:vAlign w:val="center"/>
                </w:tcPr>
                <w:p w14:paraId="1AC459E1">
                  <w:pPr>
                    <w:pStyle w:val="116"/>
                    <w:rPr>
                      <w:sz w:val="18"/>
                      <w:szCs w:val="18"/>
                    </w:rPr>
                  </w:pPr>
                  <w:r>
                    <w:rPr>
                      <w:sz w:val="18"/>
                      <w:szCs w:val="18"/>
                    </w:rPr>
                    <w:t>本项目</w:t>
                  </w:r>
                  <w:r>
                    <w:rPr>
                      <w:rFonts w:hint="eastAsia"/>
                      <w:sz w:val="18"/>
                      <w:szCs w:val="18"/>
                    </w:rPr>
                    <w:t>为油气勘探项目，不属于</w:t>
                  </w:r>
                  <w:r>
                    <w:rPr>
                      <w:sz w:val="18"/>
                      <w:szCs w:val="18"/>
                    </w:rPr>
                    <w:t>自治区《禁止、控制和限制危险化学品目录》中淘汰类、禁止类危险化学品化工项目</w:t>
                  </w:r>
                  <w:r>
                    <w:rPr>
                      <w:rFonts w:hint="eastAsia"/>
                      <w:sz w:val="18"/>
                      <w:szCs w:val="18"/>
                    </w:rPr>
                    <w:t>，</w:t>
                  </w:r>
                  <w:r>
                    <w:rPr>
                      <w:sz w:val="18"/>
                      <w:szCs w:val="18"/>
                    </w:rPr>
                    <w:t>不占用生态保护红线和永久基本农田。</w:t>
                  </w:r>
                </w:p>
              </w:tc>
              <w:tc>
                <w:tcPr>
                  <w:tcW w:w="354" w:type="pct"/>
                  <w:tcMar>
                    <w:top w:w="57" w:type="dxa"/>
                    <w:left w:w="57" w:type="dxa"/>
                    <w:bottom w:w="57" w:type="dxa"/>
                    <w:right w:w="57" w:type="dxa"/>
                  </w:tcMar>
                  <w:vAlign w:val="center"/>
                </w:tcPr>
                <w:p w14:paraId="79B8D185">
                  <w:pPr>
                    <w:pStyle w:val="116"/>
                    <w:widowControl w:val="0"/>
                    <w:autoSpaceDE w:val="0"/>
                    <w:autoSpaceDN w:val="0"/>
                    <w:rPr>
                      <w:sz w:val="18"/>
                      <w:szCs w:val="18"/>
                    </w:rPr>
                  </w:pPr>
                  <w:r>
                    <w:rPr>
                      <w:sz w:val="18"/>
                      <w:szCs w:val="18"/>
                    </w:rPr>
                    <w:t>符合</w:t>
                  </w:r>
                </w:p>
              </w:tc>
            </w:tr>
            <w:tr w14:paraId="41772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4B5E9FE0">
                  <w:pPr>
                    <w:pStyle w:val="116"/>
                    <w:rPr>
                      <w:sz w:val="18"/>
                      <w:szCs w:val="18"/>
                    </w:rPr>
                  </w:pPr>
                </w:p>
              </w:tc>
              <w:tc>
                <w:tcPr>
                  <w:tcW w:w="469" w:type="pct"/>
                  <w:tcMar>
                    <w:top w:w="57" w:type="dxa"/>
                    <w:left w:w="57" w:type="dxa"/>
                    <w:bottom w:w="57" w:type="dxa"/>
                    <w:right w:w="57" w:type="dxa"/>
                  </w:tcMar>
                  <w:vAlign w:val="center"/>
                </w:tcPr>
                <w:p w14:paraId="08283363">
                  <w:pPr>
                    <w:pStyle w:val="116"/>
                    <w:rPr>
                      <w:rFonts w:hAnsi="Calibri"/>
                      <w:sz w:val="18"/>
                      <w:szCs w:val="18"/>
                    </w:rPr>
                  </w:pPr>
                  <w:r>
                    <w:rPr>
                      <w:sz w:val="18"/>
                      <w:szCs w:val="18"/>
                    </w:rPr>
                    <w:t>A1.2</w:t>
                  </w:r>
                </w:p>
                <w:p w14:paraId="09481CBC">
                  <w:pPr>
                    <w:pStyle w:val="116"/>
                    <w:rPr>
                      <w:rFonts w:hAnsi="Calibri"/>
                      <w:sz w:val="18"/>
                      <w:szCs w:val="18"/>
                    </w:rPr>
                  </w:pPr>
                  <w:r>
                    <w:rPr>
                      <w:sz w:val="18"/>
                      <w:szCs w:val="18"/>
                    </w:rPr>
                    <w:t>限制</w:t>
                  </w:r>
                </w:p>
                <w:p w14:paraId="2E82FB84">
                  <w:pPr>
                    <w:pStyle w:val="116"/>
                    <w:rPr>
                      <w:rFonts w:hAnsi="Calibri"/>
                      <w:sz w:val="18"/>
                      <w:szCs w:val="18"/>
                    </w:rPr>
                  </w:pPr>
                  <w:r>
                    <w:rPr>
                      <w:sz w:val="18"/>
                      <w:szCs w:val="18"/>
                    </w:rPr>
                    <w:t>开发</w:t>
                  </w:r>
                </w:p>
                <w:p w14:paraId="71F7B8AA">
                  <w:pPr>
                    <w:pStyle w:val="116"/>
                    <w:rPr>
                      <w:rFonts w:hAnsi="Calibri"/>
                      <w:sz w:val="18"/>
                      <w:szCs w:val="18"/>
                    </w:rPr>
                  </w:pPr>
                  <w:r>
                    <w:rPr>
                      <w:sz w:val="18"/>
                      <w:szCs w:val="18"/>
                    </w:rPr>
                    <w:t>的活</w:t>
                  </w:r>
                </w:p>
                <w:p w14:paraId="47743710">
                  <w:pPr>
                    <w:pStyle w:val="116"/>
                    <w:widowControl w:val="0"/>
                    <w:autoSpaceDE w:val="0"/>
                    <w:autoSpaceDN w:val="0"/>
                    <w:rPr>
                      <w:sz w:val="18"/>
                      <w:szCs w:val="18"/>
                    </w:rPr>
                  </w:pPr>
                  <w:r>
                    <w:rPr>
                      <w:sz w:val="18"/>
                      <w:szCs w:val="18"/>
                    </w:rPr>
                    <w:t>动</w:t>
                  </w:r>
                </w:p>
              </w:tc>
              <w:tc>
                <w:tcPr>
                  <w:tcW w:w="2397" w:type="pct"/>
                  <w:tcMar>
                    <w:top w:w="57" w:type="dxa"/>
                    <w:left w:w="57" w:type="dxa"/>
                    <w:bottom w:w="57" w:type="dxa"/>
                    <w:right w:w="57" w:type="dxa"/>
                  </w:tcMar>
                  <w:vAlign w:val="center"/>
                </w:tcPr>
                <w:p w14:paraId="50712A77">
                  <w:pPr>
                    <w:pStyle w:val="116"/>
                    <w:rPr>
                      <w:sz w:val="18"/>
                      <w:szCs w:val="18"/>
                    </w:rPr>
                  </w:pPr>
                  <w:r>
                    <w:rPr>
                      <w:sz w:val="18"/>
                      <w:szCs w:val="18"/>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378" w:type="pct"/>
                  <w:tcMar>
                    <w:top w:w="57" w:type="dxa"/>
                    <w:left w:w="57" w:type="dxa"/>
                    <w:bottom w:w="57" w:type="dxa"/>
                    <w:right w:w="57" w:type="dxa"/>
                  </w:tcMar>
                  <w:vAlign w:val="center"/>
                </w:tcPr>
                <w:p w14:paraId="20770647">
                  <w:pPr>
                    <w:pStyle w:val="116"/>
                    <w:rPr>
                      <w:sz w:val="18"/>
                      <w:szCs w:val="18"/>
                    </w:rPr>
                  </w:pPr>
                  <w:r>
                    <w:rPr>
                      <w:sz w:val="18"/>
                      <w:szCs w:val="18"/>
                    </w:rPr>
                    <w:t>本项目不</w:t>
                  </w:r>
                  <w:r>
                    <w:rPr>
                      <w:rFonts w:hint="eastAsia"/>
                      <w:sz w:val="18"/>
                      <w:szCs w:val="18"/>
                    </w:rPr>
                    <w:t>涉及</w:t>
                  </w:r>
                  <w:r>
                    <w:rPr>
                      <w:sz w:val="18"/>
                      <w:szCs w:val="18"/>
                    </w:rPr>
                    <w:t>占用永久基本农田。</w:t>
                  </w:r>
                </w:p>
              </w:tc>
              <w:tc>
                <w:tcPr>
                  <w:tcW w:w="354" w:type="pct"/>
                  <w:tcMar>
                    <w:top w:w="57" w:type="dxa"/>
                    <w:left w:w="57" w:type="dxa"/>
                    <w:bottom w:w="57" w:type="dxa"/>
                    <w:right w:w="57" w:type="dxa"/>
                  </w:tcMar>
                  <w:vAlign w:val="center"/>
                </w:tcPr>
                <w:p w14:paraId="11388C9D">
                  <w:pPr>
                    <w:pStyle w:val="116"/>
                    <w:widowControl w:val="0"/>
                    <w:autoSpaceDE w:val="0"/>
                    <w:autoSpaceDN w:val="0"/>
                    <w:rPr>
                      <w:sz w:val="18"/>
                      <w:szCs w:val="18"/>
                    </w:rPr>
                  </w:pPr>
                  <w:r>
                    <w:rPr>
                      <w:sz w:val="18"/>
                      <w:szCs w:val="18"/>
                    </w:rPr>
                    <w:t>符合</w:t>
                  </w:r>
                </w:p>
              </w:tc>
            </w:tr>
            <w:tr w14:paraId="2A703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1408AA56">
                  <w:pPr>
                    <w:pStyle w:val="116"/>
                    <w:rPr>
                      <w:sz w:val="18"/>
                      <w:szCs w:val="18"/>
                    </w:rPr>
                  </w:pPr>
                </w:p>
              </w:tc>
              <w:tc>
                <w:tcPr>
                  <w:tcW w:w="469" w:type="pct"/>
                  <w:vMerge w:val="restart"/>
                  <w:tcMar>
                    <w:top w:w="57" w:type="dxa"/>
                    <w:left w:w="57" w:type="dxa"/>
                    <w:bottom w:w="57" w:type="dxa"/>
                    <w:right w:w="57" w:type="dxa"/>
                  </w:tcMar>
                  <w:vAlign w:val="center"/>
                </w:tcPr>
                <w:p w14:paraId="2B7B71D2">
                  <w:pPr>
                    <w:pStyle w:val="116"/>
                    <w:rPr>
                      <w:rFonts w:hAnsi="Calibri"/>
                      <w:sz w:val="18"/>
                      <w:szCs w:val="18"/>
                    </w:rPr>
                  </w:pPr>
                  <w:r>
                    <w:rPr>
                      <w:sz w:val="18"/>
                      <w:szCs w:val="18"/>
                    </w:rPr>
                    <w:t>A1.3</w:t>
                  </w:r>
                </w:p>
                <w:p w14:paraId="39CA5131">
                  <w:pPr>
                    <w:pStyle w:val="116"/>
                    <w:rPr>
                      <w:rFonts w:hAnsi="Calibri"/>
                      <w:sz w:val="18"/>
                      <w:szCs w:val="18"/>
                    </w:rPr>
                  </w:pPr>
                  <w:r>
                    <w:rPr>
                      <w:sz w:val="18"/>
                      <w:szCs w:val="18"/>
                    </w:rPr>
                    <w:t>不符</w:t>
                  </w:r>
                </w:p>
                <w:p w14:paraId="21999EB8">
                  <w:pPr>
                    <w:pStyle w:val="116"/>
                    <w:rPr>
                      <w:rFonts w:hAnsi="Calibri"/>
                      <w:sz w:val="18"/>
                      <w:szCs w:val="18"/>
                    </w:rPr>
                  </w:pPr>
                  <w:r>
                    <w:rPr>
                      <w:sz w:val="18"/>
                      <w:szCs w:val="18"/>
                    </w:rPr>
                    <w:t>合空</w:t>
                  </w:r>
                </w:p>
                <w:p w14:paraId="1D6AAB20">
                  <w:pPr>
                    <w:pStyle w:val="116"/>
                    <w:rPr>
                      <w:rFonts w:hAnsi="Calibri"/>
                      <w:sz w:val="18"/>
                      <w:szCs w:val="18"/>
                    </w:rPr>
                  </w:pPr>
                  <w:r>
                    <w:rPr>
                      <w:sz w:val="18"/>
                      <w:szCs w:val="18"/>
                    </w:rPr>
                    <w:t>间布</w:t>
                  </w:r>
                </w:p>
                <w:p w14:paraId="20339988">
                  <w:pPr>
                    <w:pStyle w:val="116"/>
                    <w:rPr>
                      <w:rFonts w:hAnsi="Calibri"/>
                      <w:sz w:val="18"/>
                      <w:szCs w:val="18"/>
                    </w:rPr>
                  </w:pPr>
                  <w:r>
                    <w:rPr>
                      <w:sz w:val="18"/>
                      <w:szCs w:val="18"/>
                    </w:rPr>
                    <w:t>局要</w:t>
                  </w:r>
                </w:p>
                <w:p w14:paraId="7695C501">
                  <w:pPr>
                    <w:pStyle w:val="116"/>
                    <w:rPr>
                      <w:rFonts w:hAnsi="Calibri"/>
                      <w:sz w:val="18"/>
                      <w:szCs w:val="18"/>
                    </w:rPr>
                  </w:pPr>
                  <w:r>
                    <w:rPr>
                      <w:sz w:val="18"/>
                      <w:szCs w:val="18"/>
                    </w:rPr>
                    <w:t>求活</w:t>
                  </w:r>
                </w:p>
                <w:p w14:paraId="6AB3A5F5">
                  <w:pPr>
                    <w:pStyle w:val="116"/>
                    <w:rPr>
                      <w:rFonts w:hAnsi="Calibri"/>
                      <w:sz w:val="18"/>
                      <w:szCs w:val="18"/>
                    </w:rPr>
                  </w:pPr>
                  <w:r>
                    <w:rPr>
                      <w:sz w:val="18"/>
                      <w:szCs w:val="18"/>
                    </w:rPr>
                    <w:t>动的</w:t>
                  </w:r>
                </w:p>
                <w:p w14:paraId="08F285BE">
                  <w:pPr>
                    <w:pStyle w:val="116"/>
                    <w:widowControl w:val="0"/>
                    <w:autoSpaceDE w:val="0"/>
                    <w:autoSpaceDN w:val="0"/>
                    <w:rPr>
                      <w:sz w:val="18"/>
                      <w:szCs w:val="18"/>
                    </w:rPr>
                  </w:pPr>
                  <w:r>
                    <w:rPr>
                      <w:sz w:val="18"/>
                      <w:szCs w:val="18"/>
                    </w:rPr>
                    <w:t>退出</w:t>
                  </w:r>
                </w:p>
                <w:p w14:paraId="5B01866A">
                  <w:pPr>
                    <w:pStyle w:val="116"/>
                    <w:widowControl w:val="0"/>
                    <w:autoSpaceDE w:val="0"/>
                    <w:autoSpaceDN w:val="0"/>
                    <w:rPr>
                      <w:sz w:val="18"/>
                      <w:szCs w:val="18"/>
                    </w:rPr>
                  </w:pPr>
                  <w:r>
                    <w:rPr>
                      <w:sz w:val="18"/>
                      <w:szCs w:val="18"/>
                    </w:rPr>
                    <w:t>要求</w:t>
                  </w:r>
                </w:p>
              </w:tc>
              <w:tc>
                <w:tcPr>
                  <w:tcW w:w="2397" w:type="pct"/>
                  <w:tcMar>
                    <w:top w:w="57" w:type="dxa"/>
                    <w:left w:w="57" w:type="dxa"/>
                    <w:bottom w:w="57" w:type="dxa"/>
                    <w:right w:w="57" w:type="dxa"/>
                  </w:tcMar>
                  <w:vAlign w:val="center"/>
                </w:tcPr>
                <w:p w14:paraId="648E79C8">
                  <w:pPr>
                    <w:pStyle w:val="116"/>
                    <w:rPr>
                      <w:sz w:val="18"/>
                      <w:szCs w:val="18"/>
                    </w:rPr>
                  </w:pPr>
                  <w:r>
                    <w:rPr>
                      <w:sz w:val="18"/>
                      <w:szCs w:val="18"/>
                    </w:rPr>
                    <w:t>[A1.3-1]任何单位和个人不得在水源涵养区、饮用水水源保护区内和河流、湖泊、水库周围建设重化工、涉重金属等工业污染项目；对已建成的工业污染项目，当地人民政府应当组织限期搬迁。</w:t>
                  </w:r>
                </w:p>
              </w:tc>
              <w:tc>
                <w:tcPr>
                  <w:tcW w:w="1378" w:type="pct"/>
                  <w:tcMar>
                    <w:top w:w="57" w:type="dxa"/>
                    <w:left w:w="57" w:type="dxa"/>
                    <w:bottom w:w="57" w:type="dxa"/>
                    <w:right w:w="57" w:type="dxa"/>
                  </w:tcMar>
                  <w:vAlign w:val="center"/>
                </w:tcPr>
                <w:p w14:paraId="48E2CF5D">
                  <w:pPr>
                    <w:pStyle w:val="116"/>
                    <w:rPr>
                      <w:rFonts w:hAnsi="Calibri"/>
                      <w:sz w:val="18"/>
                      <w:szCs w:val="18"/>
                    </w:rPr>
                  </w:pPr>
                  <w:r>
                    <w:rPr>
                      <w:sz w:val="18"/>
                      <w:szCs w:val="18"/>
                    </w:rPr>
                    <w:t>本项目</w:t>
                  </w:r>
                  <w:r>
                    <w:rPr>
                      <w:rFonts w:hint="eastAsia"/>
                      <w:sz w:val="18"/>
                      <w:szCs w:val="18"/>
                    </w:rPr>
                    <w:t>周边无</w:t>
                  </w:r>
                  <w:r>
                    <w:rPr>
                      <w:sz w:val="18"/>
                      <w:szCs w:val="18"/>
                    </w:rPr>
                    <w:t>水源涵养区、饮用水水源</w:t>
                  </w:r>
                  <w:r>
                    <w:rPr>
                      <w:rFonts w:hint="eastAsia"/>
                      <w:sz w:val="18"/>
                      <w:szCs w:val="18"/>
                    </w:rPr>
                    <w:t>保护区</w:t>
                  </w:r>
                  <w:r>
                    <w:rPr>
                      <w:sz w:val="18"/>
                      <w:szCs w:val="18"/>
                    </w:rPr>
                    <w:t>和河流、湖泊、水库。</w:t>
                  </w:r>
                </w:p>
                <w:p w14:paraId="4039F73B">
                  <w:pPr>
                    <w:pStyle w:val="116"/>
                    <w:widowControl w:val="0"/>
                    <w:autoSpaceDE w:val="0"/>
                    <w:autoSpaceDN w:val="0"/>
                    <w:rPr>
                      <w:sz w:val="18"/>
                      <w:szCs w:val="18"/>
                    </w:rPr>
                  </w:pPr>
                  <w:r>
                    <w:rPr>
                      <w:sz w:val="18"/>
                      <w:szCs w:val="18"/>
                    </w:rPr>
                    <w:t>本项目</w:t>
                  </w:r>
                  <w:r>
                    <w:rPr>
                      <w:rFonts w:hint="eastAsia"/>
                      <w:sz w:val="18"/>
                      <w:szCs w:val="18"/>
                    </w:rPr>
                    <w:t>无废水外排。</w:t>
                  </w:r>
                </w:p>
              </w:tc>
              <w:tc>
                <w:tcPr>
                  <w:tcW w:w="354" w:type="pct"/>
                  <w:tcMar>
                    <w:top w:w="57" w:type="dxa"/>
                    <w:left w:w="57" w:type="dxa"/>
                    <w:bottom w:w="57" w:type="dxa"/>
                    <w:right w:w="57" w:type="dxa"/>
                  </w:tcMar>
                  <w:vAlign w:val="center"/>
                </w:tcPr>
                <w:p w14:paraId="0ACE611D">
                  <w:pPr>
                    <w:pStyle w:val="116"/>
                    <w:rPr>
                      <w:sz w:val="18"/>
                      <w:szCs w:val="18"/>
                    </w:rPr>
                  </w:pPr>
                  <w:r>
                    <w:rPr>
                      <w:sz w:val="18"/>
                      <w:szCs w:val="18"/>
                    </w:rPr>
                    <w:t>符合</w:t>
                  </w:r>
                </w:p>
              </w:tc>
            </w:tr>
            <w:tr w14:paraId="75B5D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2F159C21">
                  <w:pPr>
                    <w:pStyle w:val="116"/>
                    <w:rPr>
                      <w:sz w:val="18"/>
                      <w:szCs w:val="18"/>
                    </w:rPr>
                  </w:pPr>
                </w:p>
              </w:tc>
              <w:tc>
                <w:tcPr>
                  <w:tcW w:w="469" w:type="pct"/>
                  <w:vMerge w:val="continue"/>
                  <w:tcMar>
                    <w:top w:w="57" w:type="dxa"/>
                    <w:left w:w="57" w:type="dxa"/>
                    <w:bottom w:w="57" w:type="dxa"/>
                    <w:right w:w="57" w:type="dxa"/>
                  </w:tcMar>
                  <w:vAlign w:val="center"/>
                </w:tcPr>
                <w:p w14:paraId="6B135AC1">
                  <w:pPr>
                    <w:pStyle w:val="116"/>
                    <w:widowControl w:val="0"/>
                    <w:autoSpaceDE w:val="0"/>
                    <w:autoSpaceDN w:val="0"/>
                    <w:rPr>
                      <w:sz w:val="18"/>
                      <w:szCs w:val="18"/>
                    </w:rPr>
                  </w:pPr>
                </w:p>
              </w:tc>
              <w:tc>
                <w:tcPr>
                  <w:tcW w:w="2397" w:type="pct"/>
                  <w:tcMar>
                    <w:top w:w="57" w:type="dxa"/>
                    <w:left w:w="57" w:type="dxa"/>
                    <w:bottom w:w="57" w:type="dxa"/>
                    <w:right w:w="57" w:type="dxa"/>
                  </w:tcMar>
                  <w:vAlign w:val="center"/>
                </w:tcPr>
                <w:p w14:paraId="608D83DD">
                  <w:pPr>
                    <w:pStyle w:val="116"/>
                    <w:rPr>
                      <w:sz w:val="18"/>
                      <w:szCs w:val="18"/>
                    </w:rPr>
                  </w:pPr>
                  <w:r>
                    <w:rPr>
                      <w:sz w:val="18"/>
                      <w:szCs w:val="18"/>
                    </w:rPr>
                    <w:t>[A1.3-2]对不符合国家产业政策、严重污染水环境的生产项目全部予以取缔。</w:t>
                  </w:r>
                </w:p>
              </w:tc>
              <w:tc>
                <w:tcPr>
                  <w:tcW w:w="1378" w:type="pct"/>
                  <w:tcMar>
                    <w:top w:w="57" w:type="dxa"/>
                    <w:left w:w="57" w:type="dxa"/>
                    <w:bottom w:w="57" w:type="dxa"/>
                    <w:right w:w="57" w:type="dxa"/>
                  </w:tcMar>
                  <w:vAlign w:val="center"/>
                </w:tcPr>
                <w:p w14:paraId="3008A8E7">
                  <w:pPr>
                    <w:pStyle w:val="116"/>
                    <w:widowControl w:val="0"/>
                    <w:autoSpaceDE w:val="0"/>
                    <w:autoSpaceDN w:val="0"/>
                    <w:rPr>
                      <w:sz w:val="18"/>
                      <w:szCs w:val="18"/>
                    </w:rPr>
                  </w:pPr>
                  <w:r>
                    <w:rPr>
                      <w:rFonts w:hint="eastAsia"/>
                      <w:sz w:val="18"/>
                      <w:szCs w:val="18"/>
                    </w:rPr>
                    <w:t>本项目符合</w:t>
                  </w:r>
                  <w:r>
                    <w:rPr>
                      <w:sz w:val="18"/>
                      <w:szCs w:val="18"/>
                    </w:rPr>
                    <w:t>国家产业政策</w:t>
                  </w:r>
                  <w:r>
                    <w:rPr>
                      <w:rFonts w:hint="eastAsia"/>
                      <w:sz w:val="18"/>
                      <w:szCs w:val="18"/>
                    </w:rPr>
                    <w:t>，无废水外排，不会对水环境造成较大污染。</w:t>
                  </w:r>
                </w:p>
              </w:tc>
              <w:tc>
                <w:tcPr>
                  <w:tcW w:w="354" w:type="pct"/>
                  <w:tcMar>
                    <w:top w:w="57" w:type="dxa"/>
                    <w:left w:w="57" w:type="dxa"/>
                    <w:bottom w:w="57" w:type="dxa"/>
                    <w:right w:w="57" w:type="dxa"/>
                  </w:tcMar>
                  <w:vAlign w:val="center"/>
                </w:tcPr>
                <w:p w14:paraId="574463CF">
                  <w:pPr>
                    <w:pStyle w:val="116"/>
                    <w:rPr>
                      <w:sz w:val="18"/>
                      <w:szCs w:val="18"/>
                    </w:rPr>
                  </w:pPr>
                  <w:r>
                    <w:rPr>
                      <w:sz w:val="18"/>
                      <w:szCs w:val="18"/>
                    </w:rPr>
                    <w:t>符合</w:t>
                  </w:r>
                </w:p>
              </w:tc>
            </w:tr>
            <w:tr w14:paraId="3B249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5C14CCFA">
                  <w:pPr>
                    <w:pStyle w:val="116"/>
                    <w:rPr>
                      <w:sz w:val="18"/>
                      <w:szCs w:val="18"/>
                    </w:rPr>
                  </w:pPr>
                </w:p>
              </w:tc>
              <w:tc>
                <w:tcPr>
                  <w:tcW w:w="469" w:type="pct"/>
                  <w:vMerge w:val="continue"/>
                  <w:tcMar>
                    <w:top w:w="57" w:type="dxa"/>
                    <w:left w:w="57" w:type="dxa"/>
                    <w:bottom w:w="57" w:type="dxa"/>
                    <w:right w:w="57" w:type="dxa"/>
                  </w:tcMar>
                  <w:vAlign w:val="center"/>
                </w:tcPr>
                <w:p w14:paraId="25086EC2">
                  <w:pPr>
                    <w:pStyle w:val="116"/>
                    <w:widowControl w:val="0"/>
                    <w:autoSpaceDE w:val="0"/>
                    <w:autoSpaceDN w:val="0"/>
                    <w:rPr>
                      <w:sz w:val="18"/>
                      <w:szCs w:val="18"/>
                    </w:rPr>
                  </w:pPr>
                </w:p>
              </w:tc>
              <w:tc>
                <w:tcPr>
                  <w:tcW w:w="2397" w:type="pct"/>
                  <w:tcMar>
                    <w:top w:w="57" w:type="dxa"/>
                    <w:left w:w="57" w:type="dxa"/>
                    <w:bottom w:w="57" w:type="dxa"/>
                    <w:right w:w="57" w:type="dxa"/>
                  </w:tcMar>
                  <w:vAlign w:val="center"/>
                </w:tcPr>
                <w:p w14:paraId="4F8DDD72">
                  <w:pPr>
                    <w:pStyle w:val="116"/>
                    <w:rPr>
                      <w:sz w:val="18"/>
                      <w:szCs w:val="18"/>
                    </w:rPr>
                  </w:pPr>
                  <w:r>
                    <w:rPr>
                      <w:sz w:val="18"/>
                      <w:szCs w:val="18"/>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tc>
              <w:tc>
                <w:tcPr>
                  <w:tcW w:w="1378" w:type="pct"/>
                  <w:tcMar>
                    <w:top w:w="57" w:type="dxa"/>
                    <w:left w:w="57" w:type="dxa"/>
                    <w:bottom w:w="57" w:type="dxa"/>
                    <w:right w:w="57" w:type="dxa"/>
                  </w:tcMar>
                  <w:vAlign w:val="center"/>
                </w:tcPr>
                <w:p w14:paraId="10753782">
                  <w:pPr>
                    <w:pStyle w:val="116"/>
                    <w:rPr>
                      <w:sz w:val="18"/>
                      <w:szCs w:val="18"/>
                    </w:rPr>
                  </w:pPr>
                  <w:r>
                    <w:rPr>
                      <w:sz w:val="18"/>
                      <w:szCs w:val="18"/>
                    </w:rPr>
                    <w:t>本项目使用国内先进工艺，不涉及《产业结构调整指导目录》《限期淘汰产生严重污染环境的工业固体废物的落后生产工艺设备名录》等规定的淘汰类设备。</w:t>
                  </w:r>
                </w:p>
              </w:tc>
              <w:tc>
                <w:tcPr>
                  <w:tcW w:w="354" w:type="pct"/>
                  <w:tcMar>
                    <w:top w:w="57" w:type="dxa"/>
                    <w:left w:w="57" w:type="dxa"/>
                    <w:bottom w:w="57" w:type="dxa"/>
                    <w:right w:w="57" w:type="dxa"/>
                  </w:tcMar>
                  <w:vAlign w:val="center"/>
                </w:tcPr>
                <w:p w14:paraId="7BDF2893">
                  <w:pPr>
                    <w:pStyle w:val="116"/>
                    <w:widowControl w:val="0"/>
                    <w:autoSpaceDE w:val="0"/>
                    <w:autoSpaceDN w:val="0"/>
                    <w:rPr>
                      <w:sz w:val="18"/>
                      <w:szCs w:val="18"/>
                    </w:rPr>
                  </w:pPr>
                  <w:r>
                    <w:rPr>
                      <w:sz w:val="18"/>
                      <w:szCs w:val="18"/>
                    </w:rPr>
                    <w:t>符合</w:t>
                  </w:r>
                </w:p>
              </w:tc>
            </w:tr>
            <w:tr w14:paraId="71984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0501FAEC">
                  <w:pPr>
                    <w:pStyle w:val="116"/>
                    <w:rPr>
                      <w:sz w:val="18"/>
                      <w:szCs w:val="18"/>
                    </w:rPr>
                  </w:pPr>
                </w:p>
              </w:tc>
              <w:tc>
                <w:tcPr>
                  <w:tcW w:w="469" w:type="pct"/>
                  <w:vMerge w:val="continue"/>
                  <w:tcMar>
                    <w:top w:w="57" w:type="dxa"/>
                    <w:left w:w="57" w:type="dxa"/>
                    <w:bottom w:w="57" w:type="dxa"/>
                    <w:right w:w="57" w:type="dxa"/>
                  </w:tcMar>
                  <w:vAlign w:val="center"/>
                </w:tcPr>
                <w:p w14:paraId="3803D8F2">
                  <w:pPr>
                    <w:pStyle w:val="116"/>
                    <w:rPr>
                      <w:sz w:val="18"/>
                      <w:szCs w:val="18"/>
                    </w:rPr>
                  </w:pPr>
                </w:p>
              </w:tc>
              <w:tc>
                <w:tcPr>
                  <w:tcW w:w="2397" w:type="pct"/>
                  <w:tcMar>
                    <w:top w:w="57" w:type="dxa"/>
                    <w:left w:w="57" w:type="dxa"/>
                    <w:bottom w:w="57" w:type="dxa"/>
                    <w:right w:w="57" w:type="dxa"/>
                  </w:tcMar>
                  <w:vAlign w:val="center"/>
                </w:tcPr>
                <w:p w14:paraId="06A69203">
                  <w:pPr>
                    <w:pStyle w:val="116"/>
                    <w:rPr>
                      <w:sz w:val="18"/>
                      <w:szCs w:val="18"/>
                    </w:rPr>
                  </w:pPr>
                  <w:r>
                    <w:rPr>
                      <w:sz w:val="18"/>
                      <w:szCs w:val="18"/>
                    </w:rPr>
                    <w:t>[1.3-4]城市建成区、重点流域内已建成投产化工企业和危险化学品生产企业应加快退城入园，搬入化工园区前企业不应实施改扩建工程扩大生产规模。</w:t>
                  </w:r>
                </w:p>
              </w:tc>
              <w:tc>
                <w:tcPr>
                  <w:tcW w:w="1378" w:type="pct"/>
                  <w:tcMar>
                    <w:top w:w="57" w:type="dxa"/>
                    <w:left w:w="57" w:type="dxa"/>
                    <w:bottom w:w="57" w:type="dxa"/>
                    <w:right w:w="57" w:type="dxa"/>
                  </w:tcMar>
                  <w:vAlign w:val="center"/>
                </w:tcPr>
                <w:p w14:paraId="3F3C2540">
                  <w:pPr>
                    <w:pStyle w:val="116"/>
                    <w:rPr>
                      <w:sz w:val="18"/>
                      <w:szCs w:val="18"/>
                    </w:rPr>
                  </w:pPr>
                  <w:r>
                    <w:rPr>
                      <w:sz w:val="18"/>
                      <w:szCs w:val="18"/>
                    </w:rPr>
                    <w:t>本项目</w:t>
                  </w:r>
                  <w:r>
                    <w:rPr>
                      <w:rFonts w:hint="eastAsia"/>
                      <w:sz w:val="18"/>
                      <w:szCs w:val="18"/>
                    </w:rPr>
                    <w:t>不涉及</w:t>
                  </w:r>
                  <w:r>
                    <w:rPr>
                      <w:sz w:val="18"/>
                      <w:szCs w:val="18"/>
                    </w:rPr>
                    <w:t>。</w:t>
                  </w:r>
                </w:p>
              </w:tc>
              <w:tc>
                <w:tcPr>
                  <w:tcW w:w="354" w:type="pct"/>
                  <w:tcMar>
                    <w:top w:w="57" w:type="dxa"/>
                    <w:left w:w="57" w:type="dxa"/>
                    <w:bottom w:w="57" w:type="dxa"/>
                    <w:right w:w="57" w:type="dxa"/>
                  </w:tcMar>
                  <w:vAlign w:val="center"/>
                </w:tcPr>
                <w:p w14:paraId="016DEFE1">
                  <w:pPr>
                    <w:pStyle w:val="116"/>
                    <w:rPr>
                      <w:sz w:val="18"/>
                      <w:szCs w:val="18"/>
                    </w:rPr>
                  </w:pPr>
                  <w:r>
                    <w:rPr>
                      <w:sz w:val="18"/>
                      <w:szCs w:val="18"/>
                    </w:rPr>
                    <w:t>符合</w:t>
                  </w:r>
                </w:p>
              </w:tc>
            </w:tr>
            <w:tr w14:paraId="7C558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79CB27D0">
                  <w:pPr>
                    <w:pStyle w:val="116"/>
                    <w:rPr>
                      <w:sz w:val="18"/>
                      <w:szCs w:val="18"/>
                    </w:rPr>
                  </w:pPr>
                </w:p>
              </w:tc>
              <w:tc>
                <w:tcPr>
                  <w:tcW w:w="469" w:type="pct"/>
                  <w:vMerge w:val="restart"/>
                  <w:tcMar>
                    <w:top w:w="57" w:type="dxa"/>
                    <w:left w:w="57" w:type="dxa"/>
                    <w:bottom w:w="57" w:type="dxa"/>
                    <w:right w:w="57" w:type="dxa"/>
                  </w:tcMar>
                  <w:vAlign w:val="center"/>
                </w:tcPr>
                <w:p w14:paraId="01C34EFA">
                  <w:pPr>
                    <w:pStyle w:val="116"/>
                    <w:rPr>
                      <w:sz w:val="18"/>
                      <w:szCs w:val="18"/>
                    </w:rPr>
                  </w:pPr>
                  <w:r>
                    <w:rPr>
                      <w:sz w:val="18"/>
                      <w:szCs w:val="18"/>
                    </w:rPr>
                    <w:t>A1.4</w:t>
                  </w:r>
                </w:p>
                <w:p w14:paraId="3CB97C66">
                  <w:pPr>
                    <w:pStyle w:val="116"/>
                    <w:rPr>
                      <w:sz w:val="18"/>
                      <w:szCs w:val="18"/>
                    </w:rPr>
                  </w:pPr>
                  <w:r>
                    <w:rPr>
                      <w:sz w:val="18"/>
                      <w:szCs w:val="18"/>
                    </w:rPr>
                    <w:t>其他</w:t>
                  </w:r>
                </w:p>
                <w:p w14:paraId="32E63C02">
                  <w:pPr>
                    <w:pStyle w:val="116"/>
                    <w:rPr>
                      <w:rFonts w:hAnsi="Calibri"/>
                      <w:sz w:val="18"/>
                      <w:szCs w:val="18"/>
                    </w:rPr>
                  </w:pPr>
                  <w:r>
                    <w:rPr>
                      <w:sz w:val="18"/>
                      <w:szCs w:val="18"/>
                    </w:rPr>
                    <w:t>布局</w:t>
                  </w:r>
                </w:p>
                <w:p w14:paraId="4598F93C">
                  <w:pPr>
                    <w:pStyle w:val="116"/>
                    <w:widowControl w:val="0"/>
                    <w:autoSpaceDE w:val="0"/>
                    <w:autoSpaceDN w:val="0"/>
                    <w:rPr>
                      <w:sz w:val="18"/>
                      <w:szCs w:val="18"/>
                    </w:rPr>
                  </w:pPr>
                  <w:r>
                    <w:rPr>
                      <w:sz w:val="18"/>
                      <w:szCs w:val="18"/>
                    </w:rPr>
                    <w:t>要求</w:t>
                  </w:r>
                </w:p>
              </w:tc>
              <w:tc>
                <w:tcPr>
                  <w:tcW w:w="2397" w:type="pct"/>
                  <w:tcMar>
                    <w:top w:w="57" w:type="dxa"/>
                    <w:left w:w="57" w:type="dxa"/>
                    <w:bottom w:w="57" w:type="dxa"/>
                    <w:right w:w="57" w:type="dxa"/>
                  </w:tcMar>
                  <w:vAlign w:val="center"/>
                </w:tcPr>
                <w:p w14:paraId="189E4AD7">
                  <w:pPr>
                    <w:pStyle w:val="116"/>
                    <w:rPr>
                      <w:sz w:val="18"/>
                      <w:szCs w:val="18"/>
                    </w:rPr>
                  </w:pPr>
                  <w:r>
                    <w:rPr>
                      <w:sz w:val="18"/>
                      <w:szCs w:val="18"/>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378" w:type="pct"/>
                  <w:tcMar>
                    <w:top w:w="57" w:type="dxa"/>
                    <w:left w:w="57" w:type="dxa"/>
                    <w:bottom w:w="57" w:type="dxa"/>
                    <w:right w:w="57" w:type="dxa"/>
                  </w:tcMar>
                  <w:vAlign w:val="center"/>
                </w:tcPr>
                <w:p w14:paraId="0BA9DDFE">
                  <w:pPr>
                    <w:pStyle w:val="116"/>
                    <w:rPr>
                      <w:sz w:val="18"/>
                      <w:szCs w:val="18"/>
                    </w:rPr>
                  </w:pPr>
                  <w:r>
                    <w:rPr>
                      <w:sz w:val="18"/>
                      <w:szCs w:val="18"/>
                    </w:rPr>
                    <w:t>本项目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354" w:type="pct"/>
                  <w:tcMar>
                    <w:top w:w="57" w:type="dxa"/>
                    <w:left w:w="57" w:type="dxa"/>
                    <w:bottom w:w="57" w:type="dxa"/>
                    <w:right w:w="57" w:type="dxa"/>
                  </w:tcMar>
                  <w:vAlign w:val="center"/>
                </w:tcPr>
                <w:p w14:paraId="0EB6227B">
                  <w:pPr>
                    <w:pStyle w:val="116"/>
                    <w:rPr>
                      <w:sz w:val="18"/>
                      <w:szCs w:val="18"/>
                    </w:rPr>
                  </w:pPr>
                  <w:r>
                    <w:rPr>
                      <w:sz w:val="18"/>
                      <w:szCs w:val="18"/>
                    </w:rPr>
                    <w:t>符合</w:t>
                  </w:r>
                </w:p>
              </w:tc>
            </w:tr>
            <w:tr w14:paraId="6E7D8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Borders>
                    <w:bottom w:val="single" w:color="000000" w:sz="4" w:space="0"/>
                  </w:tcBorders>
                  <w:tcMar>
                    <w:top w:w="57" w:type="dxa"/>
                    <w:left w:w="57" w:type="dxa"/>
                    <w:bottom w:w="57" w:type="dxa"/>
                    <w:right w:w="57" w:type="dxa"/>
                  </w:tcMar>
                  <w:vAlign w:val="center"/>
                </w:tcPr>
                <w:p w14:paraId="793243EA">
                  <w:pPr>
                    <w:pStyle w:val="116"/>
                    <w:rPr>
                      <w:sz w:val="18"/>
                      <w:szCs w:val="18"/>
                    </w:rPr>
                  </w:pPr>
                </w:p>
              </w:tc>
              <w:tc>
                <w:tcPr>
                  <w:tcW w:w="469" w:type="pct"/>
                  <w:vMerge w:val="continue"/>
                  <w:tcBorders>
                    <w:bottom w:val="single" w:color="000000" w:sz="4" w:space="0"/>
                  </w:tcBorders>
                  <w:tcMar>
                    <w:top w:w="57" w:type="dxa"/>
                    <w:left w:w="57" w:type="dxa"/>
                    <w:bottom w:w="57" w:type="dxa"/>
                    <w:right w:w="57" w:type="dxa"/>
                  </w:tcMar>
                  <w:vAlign w:val="center"/>
                </w:tcPr>
                <w:p w14:paraId="1864563B">
                  <w:pPr>
                    <w:pStyle w:val="116"/>
                    <w:widowControl w:val="0"/>
                    <w:autoSpaceDE w:val="0"/>
                    <w:autoSpaceDN w:val="0"/>
                    <w:rPr>
                      <w:sz w:val="18"/>
                      <w:szCs w:val="18"/>
                    </w:rPr>
                  </w:pPr>
                </w:p>
              </w:tc>
              <w:tc>
                <w:tcPr>
                  <w:tcW w:w="2397" w:type="pct"/>
                  <w:tcBorders>
                    <w:bottom w:val="single" w:color="000000" w:sz="4" w:space="0"/>
                  </w:tcBorders>
                  <w:tcMar>
                    <w:top w:w="57" w:type="dxa"/>
                    <w:left w:w="57" w:type="dxa"/>
                    <w:bottom w:w="57" w:type="dxa"/>
                    <w:right w:w="57" w:type="dxa"/>
                  </w:tcMar>
                  <w:vAlign w:val="center"/>
                </w:tcPr>
                <w:p w14:paraId="5C4CD067">
                  <w:pPr>
                    <w:pStyle w:val="116"/>
                    <w:rPr>
                      <w:sz w:val="18"/>
                      <w:szCs w:val="18"/>
                    </w:rPr>
                  </w:pPr>
                  <w:r>
                    <w:rPr>
                      <w:sz w:val="18"/>
                      <w:szCs w:val="18"/>
                    </w:rPr>
                    <w:t>[A1.4-2]新建、扩建石化、化工、焦化、有色金属冶炼、平板玻璃项目应布设在依法合规设立并经规划环评的产业园区。</w:t>
                  </w:r>
                </w:p>
              </w:tc>
              <w:tc>
                <w:tcPr>
                  <w:tcW w:w="1378" w:type="pct"/>
                  <w:tcBorders>
                    <w:bottom w:val="single" w:color="000000" w:sz="4" w:space="0"/>
                  </w:tcBorders>
                  <w:tcMar>
                    <w:top w:w="57" w:type="dxa"/>
                    <w:left w:w="57" w:type="dxa"/>
                    <w:bottom w:w="57" w:type="dxa"/>
                    <w:right w:w="57" w:type="dxa"/>
                  </w:tcMar>
                  <w:vAlign w:val="center"/>
                </w:tcPr>
                <w:p w14:paraId="09E3D763">
                  <w:pPr>
                    <w:pStyle w:val="116"/>
                    <w:rPr>
                      <w:sz w:val="18"/>
                      <w:szCs w:val="18"/>
                    </w:rPr>
                  </w:pPr>
                  <w:r>
                    <w:rPr>
                      <w:rFonts w:hint="eastAsia"/>
                      <w:sz w:val="18"/>
                      <w:szCs w:val="18"/>
                    </w:rPr>
                    <w:t>本项目不涉及。</w:t>
                  </w:r>
                </w:p>
              </w:tc>
              <w:tc>
                <w:tcPr>
                  <w:tcW w:w="354" w:type="pct"/>
                  <w:tcBorders>
                    <w:bottom w:val="single" w:color="000000" w:sz="4" w:space="0"/>
                  </w:tcBorders>
                  <w:tcMar>
                    <w:top w:w="57" w:type="dxa"/>
                    <w:left w:w="57" w:type="dxa"/>
                    <w:bottom w:w="57" w:type="dxa"/>
                    <w:right w:w="57" w:type="dxa"/>
                  </w:tcMar>
                  <w:vAlign w:val="center"/>
                </w:tcPr>
                <w:p w14:paraId="04CAADE3">
                  <w:pPr>
                    <w:pStyle w:val="116"/>
                    <w:rPr>
                      <w:sz w:val="18"/>
                      <w:szCs w:val="18"/>
                    </w:rPr>
                  </w:pPr>
                  <w:r>
                    <w:rPr>
                      <w:sz w:val="18"/>
                      <w:szCs w:val="18"/>
                    </w:rPr>
                    <w:t>符合</w:t>
                  </w:r>
                </w:p>
              </w:tc>
            </w:tr>
            <w:tr w14:paraId="11267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604E34D2">
                  <w:pPr>
                    <w:pStyle w:val="116"/>
                    <w:rPr>
                      <w:sz w:val="18"/>
                      <w:szCs w:val="18"/>
                    </w:rPr>
                  </w:pPr>
                </w:p>
              </w:tc>
              <w:tc>
                <w:tcPr>
                  <w:tcW w:w="469" w:type="pct"/>
                  <w:vMerge w:val="continue"/>
                  <w:tcMar>
                    <w:top w:w="57" w:type="dxa"/>
                    <w:left w:w="57" w:type="dxa"/>
                    <w:bottom w:w="57" w:type="dxa"/>
                    <w:right w:w="57" w:type="dxa"/>
                  </w:tcMar>
                  <w:vAlign w:val="center"/>
                </w:tcPr>
                <w:p w14:paraId="334D336F">
                  <w:pPr>
                    <w:pStyle w:val="116"/>
                    <w:rPr>
                      <w:sz w:val="18"/>
                      <w:szCs w:val="18"/>
                    </w:rPr>
                  </w:pPr>
                </w:p>
              </w:tc>
              <w:tc>
                <w:tcPr>
                  <w:tcW w:w="2397" w:type="pct"/>
                  <w:tcMar>
                    <w:top w:w="57" w:type="dxa"/>
                    <w:left w:w="57" w:type="dxa"/>
                    <w:bottom w:w="57" w:type="dxa"/>
                    <w:right w:w="57" w:type="dxa"/>
                  </w:tcMar>
                  <w:vAlign w:val="center"/>
                </w:tcPr>
                <w:p w14:paraId="33BAE651">
                  <w:pPr>
                    <w:pStyle w:val="116"/>
                    <w:rPr>
                      <w:sz w:val="18"/>
                      <w:szCs w:val="18"/>
                    </w:rPr>
                  </w:pPr>
                  <w:r>
                    <w:rPr>
                      <w:sz w:val="18"/>
                      <w:szCs w:val="18"/>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1378" w:type="pct"/>
                  <w:tcMar>
                    <w:top w:w="57" w:type="dxa"/>
                    <w:left w:w="57" w:type="dxa"/>
                    <w:bottom w:w="57" w:type="dxa"/>
                    <w:right w:w="57" w:type="dxa"/>
                  </w:tcMar>
                  <w:vAlign w:val="center"/>
                </w:tcPr>
                <w:p w14:paraId="242285B9">
                  <w:pPr>
                    <w:pStyle w:val="116"/>
                    <w:rPr>
                      <w:sz w:val="18"/>
                      <w:szCs w:val="18"/>
                    </w:rPr>
                  </w:pPr>
                  <w:r>
                    <w:rPr>
                      <w:rFonts w:hint="eastAsia"/>
                      <w:sz w:val="18"/>
                      <w:szCs w:val="18"/>
                    </w:rPr>
                    <w:t>本项目不涉及。</w:t>
                  </w:r>
                </w:p>
              </w:tc>
              <w:tc>
                <w:tcPr>
                  <w:tcW w:w="354" w:type="pct"/>
                  <w:tcMar>
                    <w:top w:w="57" w:type="dxa"/>
                    <w:left w:w="57" w:type="dxa"/>
                    <w:bottom w:w="57" w:type="dxa"/>
                    <w:right w:w="57" w:type="dxa"/>
                  </w:tcMar>
                  <w:vAlign w:val="center"/>
                </w:tcPr>
                <w:p w14:paraId="5B70CAF2">
                  <w:pPr>
                    <w:pStyle w:val="116"/>
                    <w:rPr>
                      <w:sz w:val="18"/>
                      <w:szCs w:val="18"/>
                    </w:rPr>
                  </w:pPr>
                  <w:r>
                    <w:rPr>
                      <w:sz w:val="18"/>
                      <w:szCs w:val="18"/>
                    </w:rPr>
                    <w:t>符合</w:t>
                  </w:r>
                </w:p>
              </w:tc>
            </w:tr>
            <w:tr w14:paraId="0C102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restart"/>
                  <w:tcMar>
                    <w:top w:w="57" w:type="dxa"/>
                    <w:left w:w="57" w:type="dxa"/>
                    <w:bottom w:w="57" w:type="dxa"/>
                    <w:right w:w="57" w:type="dxa"/>
                  </w:tcMar>
                  <w:vAlign w:val="center"/>
                </w:tcPr>
                <w:p w14:paraId="0CA3E4ED">
                  <w:pPr>
                    <w:pStyle w:val="116"/>
                    <w:rPr>
                      <w:sz w:val="18"/>
                      <w:szCs w:val="18"/>
                    </w:rPr>
                  </w:pPr>
                  <w:r>
                    <w:rPr>
                      <w:sz w:val="18"/>
                      <w:szCs w:val="18"/>
                    </w:rPr>
                    <w:t>A2污染物排放管控</w:t>
                  </w:r>
                </w:p>
              </w:tc>
              <w:tc>
                <w:tcPr>
                  <w:tcW w:w="469" w:type="pct"/>
                  <w:vMerge w:val="restart"/>
                  <w:tcMar>
                    <w:top w:w="57" w:type="dxa"/>
                    <w:left w:w="57" w:type="dxa"/>
                    <w:bottom w:w="57" w:type="dxa"/>
                    <w:right w:w="57" w:type="dxa"/>
                  </w:tcMar>
                  <w:vAlign w:val="center"/>
                </w:tcPr>
                <w:p w14:paraId="06921BE9">
                  <w:pPr>
                    <w:pStyle w:val="116"/>
                    <w:rPr>
                      <w:sz w:val="18"/>
                      <w:szCs w:val="18"/>
                    </w:rPr>
                  </w:pPr>
                  <w:r>
                    <w:rPr>
                      <w:sz w:val="18"/>
                      <w:szCs w:val="18"/>
                    </w:rPr>
                    <w:t>A2.1</w:t>
                  </w:r>
                </w:p>
                <w:p w14:paraId="2E457BE2">
                  <w:pPr>
                    <w:pStyle w:val="116"/>
                    <w:rPr>
                      <w:sz w:val="18"/>
                      <w:szCs w:val="18"/>
                    </w:rPr>
                  </w:pPr>
                  <w:r>
                    <w:rPr>
                      <w:sz w:val="18"/>
                      <w:szCs w:val="18"/>
                    </w:rPr>
                    <w:t>污染</w:t>
                  </w:r>
                </w:p>
                <w:p w14:paraId="3AAE5675">
                  <w:pPr>
                    <w:pStyle w:val="116"/>
                    <w:rPr>
                      <w:sz w:val="18"/>
                      <w:szCs w:val="18"/>
                    </w:rPr>
                  </w:pPr>
                  <w:r>
                    <w:rPr>
                      <w:sz w:val="18"/>
                      <w:szCs w:val="18"/>
                    </w:rPr>
                    <w:t>物削</w:t>
                  </w:r>
                </w:p>
                <w:p w14:paraId="4D3799AD">
                  <w:pPr>
                    <w:pStyle w:val="116"/>
                    <w:rPr>
                      <w:sz w:val="18"/>
                      <w:szCs w:val="18"/>
                    </w:rPr>
                  </w:pPr>
                  <w:r>
                    <w:rPr>
                      <w:sz w:val="18"/>
                      <w:szCs w:val="18"/>
                    </w:rPr>
                    <w:t>减/</w:t>
                  </w:r>
                </w:p>
                <w:p w14:paraId="690F4D26">
                  <w:pPr>
                    <w:pStyle w:val="116"/>
                    <w:rPr>
                      <w:sz w:val="18"/>
                      <w:szCs w:val="18"/>
                    </w:rPr>
                  </w:pPr>
                  <w:r>
                    <w:rPr>
                      <w:sz w:val="18"/>
                      <w:szCs w:val="18"/>
                    </w:rPr>
                    <w:t>替代</w:t>
                  </w:r>
                </w:p>
                <w:p w14:paraId="0B0F99B4">
                  <w:pPr>
                    <w:pStyle w:val="116"/>
                    <w:widowControl w:val="0"/>
                    <w:autoSpaceDE w:val="0"/>
                    <w:autoSpaceDN w:val="0"/>
                    <w:rPr>
                      <w:sz w:val="18"/>
                      <w:szCs w:val="18"/>
                    </w:rPr>
                  </w:pPr>
                  <w:r>
                    <w:rPr>
                      <w:sz w:val="18"/>
                      <w:szCs w:val="18"/>
                    </w:rPr>
                    <w:t>要求</w:t>
                  </w:r>
                </w:p>
              </w:tc>
              <w:tc>
                <w:tcPr>
                  <w:tcW w:w="2397" w:type="pct"/>
                  <w:tcMar>
                    <w:top w:w="57" w:type="dxa"/>
                    <w:left w:w="57" w:type="dxa"/>
                    <w:bottom w:w="57" w:type="dxa"/>
                    <w:right w:w="57" w:type="dxa"/>
                  </w:tcMar>
                  <w:vAlign w:val="center"/>
                </w:tcPr>
                <w:p w14:paraId="70883B45">
                  <w:pPr>
                    <w:pStyle w:val="116"/>
                    <w:rPr>
                      <w:sz w:val="18"/>
                      <w:szCs w:val="18"/>
                    </w:rPr>
                  </w:pPr>
                  <w:r>
                    <w:rPr>
                      <w:sz w:val="18"/>
                      <w:szCs w:val="18"/>
                    </w:rPr>
                    <w:t>[A2.1-1]新、改、扩建重点行业建设项目应符合“三线一单”、产业政策、区域环评、规划环评和行业环境准入管控要求。重点区域的新、改、扩建重点行业建设项目应遵循重点重金属污染物排放“减量替代”原则。</w:t>
                  </w:r>
                </w:p>
              </w:tc>
              <w:tc>
                <w:tcPr>
                  <w:tcW w:w="1378" w:type="pct"/>
                  <w:tcMar>
                    <w:top w:w="57" w:type="dxa"/>
                    <w:left w:w="57" w:type="dxa"/>
                    <w:bottom w:w="57" w:type="dxa"/>
                    <w:right w:w="57" w:type="dxa"/>
                  </w:tcMar>
                  <w:vAlign w:val="center"/>
                </w:tcPr>
                <w:p w14:paraId="3556BEB4">
                  <w:pPr>
                    <w:pStyle w:val="116"/>
                    <w:rPr>
                      <w:sz w:val="18"/>
                      <w:szCs w:val="18"/>
                    </w:rPr>
                  </w:pPr>
                  <w:r>
                    <w:rPr>
                      <w:sz w:val="18"/>
                      <w:szCs w:val="18"/>
                    </w:rPr>
                    <w:t>本项目符合自治区，</w:t>
                  </w:r>
                  <w:r>
                    <w:rPr>
                      <w:rFonts w:ascii="Segoe UI" w:hAnsi="Segoe UI" w:cs="Segoe UI"/>
                      <w:sz w:val="18"/>
                      <w:szCs w:val="18"/>
                    </w:rPr>
                    <w:t>昌吉回族自治州</w:t>
                  </w:r>
                  <w:r>
                    <w:rPr>
                      <w:sz w:val="18"/>
                      <w:szCs w:val="18"/>
                    </w:rPr>
                    <w:t>“三线一单”、产业政策、区域环评、规划环评和行业环境准入管控要求。</w:t>
                  </w:r>
                </w:p>
              </w:tc>
              <w:tc>
                <w:tcPr>
                  <w:tcW w:w="354" w:type="pct"/>
                  <w:tcMar>
                    <w:top w:w="57" w:type="dxa"/>
                    <w:left w:w="57" w:type="dxa"/>
                    <w:bottom w:w="57" w:type="dxa"/>
                    <w:right w:w="57" w:type="dxa"/>
                  </w:tcMar>
                  <w:vAlign w:val="center"/>
                </w:tcPr>
                <w:p w14:paraId="5BDEC3F3">
                  <w:pPr>
                    <w:pStyle w:val="116"/>
                    <w:rPr>
                      <w:sz w:val="18"/>
                      <w:szCs w:val="18"/>
                    </w:rPr>
                  </w:pPr>
                  <w:r>
                    <w:rPr>
                      <w:sz w:val="18"/>
                      <w:szCs w:val="18"/>
                    </w:rPr>
                    <w:t>符合</w:t>
                  </w:r>
                </w:p>
              </w:tc>
            </w:tr>
            <w:tr w14:paraId="735D5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Borders>
                    <w:bottom w:val="single" w:color="000000" w:sz="4" w:space="0"/>
                  </w:tcBorders>
                  <w:tcMar>
                    <w:top w:w="57" w:type="dxa"/>
                    <w:left w:w="57" w:type="dxa"/>
                    <w:bottom w:w="57" w:type="dxa"/>
                    <w:right w:w="57" w:type="dxa"/>
                  </w:tcMar>
                  <w:vAlign w:val="center"/>
                </w:tcPr>
                <w:p w14:paraId="6215323F">
                  <w:pPr>
                    <w:pStyle w:val="116"/>
                    <w:widowControl w:val="0"/>
                    <w:autoSpaceDE w:val="0"/>
                    <w:autoSpaceDN w:val="0"/>
                    <w:rPr>
                      <w:sz w:val="18"/>
                      <w:szCs w:val="18"/>
                    </w:rPr>
                  </w:pPr>
                </w:p>
              </w:tc>
              <w:tc>
                <w:tcPr>
                  <w:tcW w:w="469" w:type="pct"/>
                  <w:vMerge w:val="continue"/>
                  <w:tcBorders>
                    <w:bottom w:val="single" w:color="000000" w:sz="4" w:space="0"/>
                  </w:tcBorders>
                  <w:tcMar>
                    <w:top w:w="57" w:type="dxa"/>
                    <w:left w:w="57" w:type="dxa"/>
                    <w:bottom w:w="57" w:type="dxa"/>
                    <w:right w:w="57" w:type="dxa"/>
                  </w:tcMar>
                  <w:vAlign w:val="center"/>
                </w:tcPr>
                <w:p w14:paraId="6235982A">
                  <w:pPr>
                    <w:pStyle w:val="116"/>
                    <w:widowControl w:val="0"/>
                    <w:autoSpaceDE w:val="0"/>
                    <w:autoSpaceDN w:val="0"/>
                    <w:rPr>
                      <w:sz w:val="18"/>
                      <w:szCs w:val="18"/>
                    </w:rPr>
                  </w:pPr>
                </w:p>
              </w:tc>
              <w:tc>
                <w:tcPr>
                  <w:tcW w:w="2397" w:type="pct"/>
                  <w:tcBorders>
                    <w:bottom w:val="single" w:color="000000" w:sz="4" w:space="0"/>
                  </w:tcBorders>
                  <w:tcMar>
                    <w:top w:w="57" w:type="dxa"/>
                    <w:left w:w="57" w:type="dxa"/>
                    <w:bottom w:w="57" w:type="dxa"/>
                    <w:right w:w="57" w:type="dxa"/>
                  </w:tcMar>
                  <w:vAlign w:val="center"/>
                </w:tcPr>
                <w:p w14:paraId="3D1B7812">
                  <w:pPr>
                    <w:pStyle w:val="116"/>
                    <w:rPr>
                      <w:sz w:val="18"/>
                      <w:szCs w:val="18"/>
                    </w:rPr>
                  </w:pPr>
                  <w:r>
                    <w:rPr>
                      <w:sz w:val="18"/>
                      <w:szCs w:val="18"/>
                    </w:rPr>
                    <w:t>[A2.1-2]以石化、化工、涂装、医药、包装印刷、油品储运销等行业领域为重点，安全高效推进挥发性有机物综合治理，实施原辅材料和产品源头替代工程。</w:t>
                  </w:r>
                </w:p>
              </w:tc>
              <w:tc>
                <w:tcPr>
                  <w:tcW w:w="1378" w:type="pct"/>
                  <w:tcBorders>
                    <w:bottom w:val="single" w:color="000000" w:sz="4" w:space="0"/>
                  </w:tcBorders>
                  <w:tcMar>
                    <w:top w:w="57" w:type="dxa"/>
                    <w:left w:w="57" w:type="dxa"/>
                    <w:bottom w:w="57" w:type="dxa"/>
                    <w:right w:w="57" w:type="dxa"/>
                  </w:tcMar>
                  <w:vAlign w:val="center"/>
                </w:tcPr>
                <w:p w14:paraId="61DA2B32">
                  <w:pPr>
                    <w:pStyle w:val="116"/>
                    <w:rPr>
                      <w:sz w:val="18"/>
                      <w:szCs w:val="18"/>
                    </w:rPr>
                  </w:pPr>
                  <w:r>
                    <w:rPr>
                      <w:rFonts w:hint="eastAsia"/>
                      <w:sz w:val="18"/>
                      <w:szCs w:val="18"/>
                    </w:rPr>
                    <w:t>本项目不属于以上行业。</w:t>
                  </w:r>
                </w:p>
              </w:tc>
              <w:tc>
                <w:tcPr>
                  <w:tcW w:w="354" w:type="pct"/>
                  <w:tcBorders>
                    <w:bottom w:val="single" w:color="000000" w:sz="4" w:space="0"/>
                  </w:tcBorders>
                  <w:tcMar>
                    <w:top w:w="57" w:type="dxa"/>
                    <w:left w:w="57" w:type="dxa"/>
                    <w:bottom w:w="57" w:type="dxa"/>
                    <w:right w:w="57" w:type="dxa"/>
                  </w:tcMar>
                  <w:vAlign w:val="center"/>
                </w:tcPr>
                <w:p w14:paraId="09B80325">
                  <w:pPr>
                    <w:pStyle w:val="116"/>
                    <w:rPr>
                      <w:sz w:val="18"/>
                      <w:szCs w:val="18"/>
                    </w:rPr>
                  </w:pPr>
                  <w:r>
                    <w:rPr>
                      <w:sz w:val="18"/>
                      <w:szCs w:val="18"/>
                    </w:rPr>
                    <w:t>符合</w:t>
                  </w:r>
                </w:p>
              </w:tc>
            </w:tr>
            <w:tr w14:paraId="7B474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5FEF3BF2">
                  <w:pPr>
                    <w:pStyle w:val="116"/>
                    <w:widowControl w:val="0"/>
                    <w:autoSpaceDE w:val="0"/>
                    <w:autoSpaceDN w:val="0"/>
                    <w:rPr>
                      <w:sz w:val="18"/>
                      <w:szCs w:val="18"/>
                    </w:rPr>
                  </w:pPr>
                </w:p>
              </w:tc>
              <w:tc>
                <w:tcPr>
                  <w:tcW w:w="469" w:type="pct"/>
                  <w:vMerge w:val="continue"/>
                  <w:tcMar>
                    <w:top w:w="57" w:type="dxa"/>
                    <w:left w:w="57" w:type="dxa"/>
                    <w:bottom w:w="57" w:type="dxa"/>
                    <w:right w:w="57" w:type="dxa"/>
                  </w:tcMar>
                  <w:vAlign w:val="center"/>
                </w:tcPr>
                <w:p w14:paraId="77DB978A">
                  <w:pPr>
                    <w:pStyle w:val="116"/>
                    <w:rPr>
                      <w:sz w:val="18"/>
                      <w:szCs w:val="18"/>
                    </w:rPr>
                  </w:pPr>
                </w:p>
              </w:tc>
              <w:tc>
                <w:tcPr>
                  <w:tcW w:w="2397" w:type="pct"/>
                  <w:tcMar>
                    <w:top w:w="57" w:type="dxa"/>
                    <w:left w:w="57" w:type="dxa"/>
                    <w:bottom w:w="57" w:type="dxa"/>
                    <w:right w:w="57" w:type="dxa"/>
                  </w:tcMar>
                  <w:vAlign w:val="center"/>
                </w:tcPr>
                <w:p w14:paraId="3E51872A">
                  <w:pPr>
                    <w:pStyle w:val="116"/>
                    <w:rPr>
                      <w:sz w:val="18"/>
                      <w:szCs w:val="18"/>
                    </w:rPr>
                  </w:pPr>
                  <w:r>
                    <w:rPr>
                      <w:sz w:val="18"/>
                      <w:szCs w:val="18"/>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w:t>
                  </w:r>
                </w:p>
                <w:p w14:paraId="58BB1DD0">
                  <w:pPr>
                    <w:pStyle w:val="116"/>
                    <w:rPr>
                      <w:sz w:val="18"/>
                      <w:szCs w:val="18"/>
                    </w:rPr>
                  </w:pPr>
                  <w:r>
                    <w:rPr>
                      <w:sz w:val="18"/>
                      <w:szCs w:val="18"/>
                    </w:rPr>
                    <w:t>氧化亚氨等温室气体。加强节约能源与大气污染防治协同有效衔接，促进大气污染防治协同增效。</w:t>
                  </w:r>
                </w:p>
              </w:tc>
              <w:tc>
                <w:tcPr>
                  <w:tcW w:w="1378" w:type="pct"/>
                  <w:tcMar>
                    <w:top w:w="57" w:type="dxa"/>
                    <w:left w:w="57" w:type="dxa"/>
                    <w:bottom w:w="57" w:type="dxa"/>
                    <w:right w:w="57" w:type="dxa"/>
                  </w:tcMar>
                  <w:vAlign w:val="center"/>
                </w:tcPr>
                <w:p w14:paraId="1D73A050">
                  <w:pPr>
                    <w:pStyle w:val="116"/>
                    <w:widowControl w:val="0"/>
                    <w:autoSpaceDE w:val="0"/>
                    <w:autoSpaceDN w:val="0"/>
                    <w:rPr>
                      <w:sz w:val="18"/>
                      <w:szCs w:val="18"/>
                    </w:rPr>
                  </w:pPr>
                  <w:r>
                    <w:rPr>
                      <w:sz w:val="18"/>
                      <w:szCs w:val="18"/>
                    </w:rPr>
                    <w:t>本项目</w:t>
                  </w:r>
                  <w:r>
                    <w:rPr>
                      <w:rFonts w:hint="eastAsia" w:hAnsi="宋体"/>
                      <w:snapToGrid w:val="0"/>
                      <w:sz w:val="18"/>
                      <w:szCs w:val="18"/>
                    </w:rPr>
                    <w:t>井场外新建</w:t>
                  </w:r>
                  <w:r>
                    <w:rPr>
                      <w:rFonts w:hAnsi="宋体"/>
                      <w:snapToGrid w:val="0"/>
                      <w:sz w:val="18"/>
                      <w:szCs w:val="18"/>
                    </w:rPr>
                    <w:t>2</w:t>
                  </w:r>
                  <w:r>
                    <w:rPr>
                      <w:rFonts w:hint="eastAsia" w:hAnsi="宋体"/>
                      <w:snapToGrid w:val="0"/>
                      <w:sz w:val="18"/>
                      <w:szCs w:val="18"/>
                    </w:rPr>
                    <w:t>座</w:t>
                  </w:r>
                  <w:r>
                    <w:rPr>
                      <w:rFonts w:hAnsi="宋体"/>
                      <w:snapToGrid w:val="0"/>
                      <w:sz w:val="18"/>
                      <w:szCs w:val="18"/>
                    </w:rPr>
                    <w:t>放喷池</w:t>
                  </w:r>
                  <w:r>
                    <w:rPr>
                      <w:rFonts w:hint="eastAsia" w:hAnsi="宋体"/>
                      <w:snapToGrid w:val="0"/>
                      <w:sz w:val="18"/>
                      <w:szCs w:val="18"/>
                    </w:rPr>
                    <w:t>，伴生气经过液气分离后通过放喷池点火排放，有效减少温室气体排放</w:t>
                  </w:r>
                  <w:r>
                    <w:rPr>
                      <w:sz w:val="18"/>
                      <w:szCs w:val="18"/>
                    </w:rPr>
                    <w:t>。</w:t>
                  </w:r>
                </w:p>
              </w:tc>
              <w:tc>
                <w:tcPr>
                  <w:tcW w:w="354" w:type="pct"/>
                  <w:tcMar>
                    <w:top w:w="57" w:type="dxa"/>
                    <w:left w:w="57" w:type="dxa"/>
                    <w:bottom w:w="57" w:type="dxa"/>
                    <w:right w:w="57" w:type="dxa"/>
                  </w:tcMar>
                  <w:vAlign w:val="center"/>
                </w:tcPr>
                <w:p w14:paraId="77D9D82E">
                  <w:pPr>
                    <w:pStyle w:val="116"/>
                    <w:rPr>
                      <w:sz w:val="18"/>
                      <w:szCs w:val="18"/>
                    </w:rPr>
                  </w:pPr>
                  <w:r>
                    <w:rPr>
                      <w:sz w:val="18"/>
                      <w:szCs w:val="18"/>
                    </w:rPr>
                    <w:t>符合</w:t>
                  </w:r>
                </w:p>
              </w:tc>
            </w:tr>
            <w:tr w14:paraId="00A72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77D35C12">
                  <w:pPr>
                    <w:pStyle w:val="116"/>
                    <w:rPr>
                      <w:sz w:val="18"/>
                      <w:szCs w:val="18"/>
                    </w:rPr>
                  </w:pPr>
                </w:p>
              </w:tc>
              <w:tc>
                <w:tcPr>
                  <w:tcW w:w="469" w:type="pct"/>
                  <w:vMerge w:val="continue"/>
                  <w:tcMar>
                    <w:top w:w="57" w:type="dxa"/>
                    <w:left w:w="57" w:type="dxa"/>
                    <w:bottom w:w="57" w:type="dxa"/>
                    <w:right w:w="57" w:type="dxa"/>
                  </w:tcMar>
                  <w:vAlign w:val="center"/>
                </w:tcPr>
                <w:p w14:paraId="0280130E">
                  <w:pPr>
                    <w:pStyle w:val="116"/>
                    <w:rPr>
                      <w:sz w:val="18"/>
                      <w:szCs w:val="18"/>
                    </w:rPr>
                  </w:pPr>
                </w:p>
              </w:tc>
              <w:tc>
                <w:tcPr>
                  <w:tcW w:w="2397" w:type="pct"/>
                  <w:tcMar>
                    <w:top w:w="57" w:type="dxa"/>
                    <w:left w:w="57" w:type="dxa"/>
                    <w:bottom w:w="57" w:type="dxa"/>
                    <w:right w:w="57" w:type="dxa"/>
                  </w:tcMar>
                  <w:vAlign w:val="center"/>
                </w:tcPr>
                <w:p w14:paraId="0667C4F3">
                  <w:pPr>
                    <w:pStyle w:val="116"/>
                    <w:rPr>
                      <w:sz w:val="18"/>
                      <w:szCs w:val="18"/>
                    </w:rPr>
                  </w:pPr>
                  <w:r>
                    <w:rPr>
                      <w:sz w:val="18"/>
                      <w:szCs w:val="18"/>
                    </w:rPr>
                    <w:t>[A2.1-4]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w:t>
                  </w:r>
                </w:p>
                <w:p w14:paraId="55FB4EFB">
                  <w:pPr>
                    <w:pStyle w:val="116"/>
                    <w:widowControl w:val="0"/>
                    <w:autoSpaceDE w:val="0"/>
                    <w:autoSpaceDN w:val="0"/>
                    <w:rPr>
                      <w:sz w:val="18"/>
                      <w:szCs w:val="18"/>
                    </w:rPr>
                  </w:pPr>
                  <w:r>
                    <w:rPr>
                      <w:sz w:val="18"/>
                      <w:szCs w:val="18"/>
                    </w:rPr>
                    <w:t>建设涉VOCs“绿岛”项目，统筹规划建设一批集中涂装中心、活性炭集中处理中心、溶剂回收中心等，实现VOCs集中高效处理。</w:t>
                  </w:r>
                </w:p>
              </w:tc>
              <w:tc>
                <w:tcPr>
                  <w:tcW w:w="1378" w:type="pct"/>
                  <w:tcMar>
                    <w:top w:w="57" w:type="dxa"/>
                    <w:left w:w="57" w:type="dxa"/>
                    <w:bottom w:w="57" w:type="dxa"/>
                    <w:right w:w="57" w:type="dxa"/>
                  </w:tcMar>
                  <w:vAlign w:val="center"/>
                </w:tcPr>
                <w:p w14:paraId="2511E691">
                  <w:pPr>
                    <w:pStyle w:val="116"/>
                    <w:rPr>
                      <w:sz w:val="18"/>
                      <w:szCs w:val="18"/>
                    </w:rPr>
                  </w:pPr>
                  <w:r>
                    <w:rPr>
                      <w:sz w:val="18"/>
                      <w:szCs w:val="18"/>
                    </w:rPr>
                    <w:t>本项目</w:t>
                  </w:r>
                  <w:r>
                    <w:rPr>
                      <w:rFonts w:hint="eastAsia"/>
                      <w:sz w:val="18"/>
                      <w:szCs w:val="18"/>
                    </w:rPr>
                    <w:t>施工期各类设备密闭，</w:t>
                  </w:r>
                  <w:r>
                    <w:rPr>
                      <w:sz w:val="18"/>
                      <w:szCs w:val="18"/>
                    </w:rPr>
                    <w:t>VOCs排放得到有效控制。</w:t>
                  </w:r>
                </w:p>
              </w:tc>
              <w:tc>
                <w:tcPr>
                  <w:tcW w:w="354" w:type="pct"/>
                  <w:tcMar>
                    <w:top w:w="57" w:type="dxa"/>
                    <w:left w:w="57" w:type="dxa"/>
                    <w:bottom w:w="57" w:type="dxa"/>
                    <w:right w:w="57" w:type="dxa"/>
                  </w:tcMar>
                  <w:vAlign w:val="center"/>
                </w:tcPr>
                <w:p w14:paraId="3AC708BD">
                  <w:pPr>
                    <w:pStyle w:val="116"/>
                    <w:widowControl w:val="0"/>
                    <w:autoSpaceDE w:val="0"/>
                    <w:autoSpaceDN w:val="0"/>
                    <w:rPr>
                      <w:sz w:val="18"/>
                      <w:szCs w:val="18"/>
                    </w:rPr>
                  </w:pPr>
                  <w:r>
                    <w:rPr>
                      <w:sz w:val="18"/>
                      <w:szCs w:val="18"/>
                    </w:rPr>
                    <w:t>符合</w:t>
                  </w:r>
                </w:p>
              </w:tc>
            </w:tr>
            <w:tr w14:paraId="2127A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2687D021">
                  <w:pPr>
                    <w:pStyle w:val="116"/>
                    <w:rPr>
                      <w:sz w:val="18"/>
                      <w:szCs w:val="18"/>
                    </w:rPr>
                  </w:pPr>
                </w:p>
              </w:tc>
              <w:tc>
                <w:tcPr>
                  <w:tcW w:w="469" w:type="pct"/>
                  <w:vMerge w:val="restart"/>
                  <w:tcMar>
                    <w:top w:w="57" w:type="dxa"/>
                    <w:left w:w="57" w:type="dxa"/>
                    <w:bottom w:w="57" w:type="dxa"/>
                    <w:right w:w="57" w:type="dxa"/>
                  </w:tcMar>
                  <w:vAlign w:val="center"/>
                </w:tcPr>
                <w:p w14:paraId="4348426E">
                  <w:pPr>
                    <w:pStyle w:val="116"/>
                    <w:rPr>
                      <w:sz w:val="18"/>
                      <w:szCs w:val="18"/>
                    </w:rPr>
                  </w:pPr>
                  <w:r>
                    <w:rPr>
                      <w:sz w:val="18"/>
                      <w:szCs w:val="18"/>
                    </w:rPr>
                    <w:t>A2.2</w:t>
                  </w:r>
                </w:p>
                <w:p w14:paraId="46293D08">
                  <w:pPr>
                    <w:pStyle w:val="116"/>
                    <w:rPr>
                      <w:rFonts w:hAnsi="Calibri"/>
                      <w:sz w:val="18"/>
                      <w:szCs w:val="18"/>
                    </w:rPr>
                  </w:pPr>
                  <w:r>
                    <w:rPr>
                      <w:sz w:val="18"/>
                      <w:szCs w:val="18"/>
                    </w:rPr>
                    <w:t>污染</w:t>
                  </w:r>
                </w:p>
                <w:p w14:paraId="37172D94">
                  <w:pPr>
                    <w:pStyle w:val="116"/>
                    <w:rPr>
                      <w:rFonts w:hAnsi="Calibri"/>
                      <w:sz w:val="18"/>
                      <w:szCs w:val="18"/>
                    </w:rPr>
                  </w:pPr>
                  <w:r>
                    <w:rPr>
                      <w:sz w:val="18"/>
                      <w:szCs w:val="18"/>
                    </w:rPr>
                    <w:t>控制</w:t>
                  </w:r>
                </w:p>
                <w:p w14:paraId="0F3C6029">
                  <w:pPr>
                    <w:pStyle w:val="116"/>
                    <w:rPr>
                      <w:rFonts w:hAnsi="Calibri"/>
                      <w:sz w:val="18"/>
                      <w:szCs w:val="18"/>
                    </w:rPr>
                  </w:pPr>
                  <w:r>
                    <w:rPr>
                      <w:sz w:val="18"/>
                      <w:szCs w:val="18"/>
                    </w:rPr>
                    <w:t>措施</w:t>
                  </w:r>
                </w:p>
                <w:p w14:paraId="1A41ACC2">
                  <w:pPr>
                    <w:pStyle w:val="116"/>
                    <w:widowControl w:val="0"/>
                    <w:autoSpaceDE w:val="0"/>
                    <w:autoSpaceDN w:val="0"/>
                    <w:rPr>
                      <w:sz w:val="18"/>
                      <w:szCs w:val="18"/>
                    </w:rPr>
                  </w:pPr>
                  <w:r>
                    <w:rPr>
                      <w:sz w:val="18"/>
                      <w:szCs w:val="18"/>
                    </w:rPr>
                    <w:t>要求</w:t>
                  </w:r>
                </w:p>
              </w:tc>
              <w:tc>
                <w:tcPr>
                  <w:tcW w:w="2397" w:type="pct"/>
                  <w:tcMar>
                    <w:top w:w="57" w:type="dxa"/>
                    <w:left w:w="57" w:type="dxa"/>
                    <w:bottom w:w="57" w:type="dxa"/>
                    <w:right w:w="57" w:type="dxa"/>
                  </w:tcMar>
                  <w:vAlign w:val="center"/>
                </w:tcPr>
                <w:p w14:paraId="648D5A3A">
                  <w:pPr>
                    <w:pStyle w:val="116"/>
                    <w:rPr>
                      <w:sz w:val="18"/>
                      <w:szCs w:val="18"/>
                    </w:rPr>
                  </w:pPr>
                  <w:r>
                    <w:rPr>
                      <w:sz w:val="18"/>
                      <w:szCs w:val="18"/>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氦等温室气体。加强节约能源与大气污染防治协同有效衔接，促进大气污染防治协同增效。</w:t>
                  </w:r>
                </w:p>
              </w:tc>
              <w:tc>
                <w:tcPr>
                  <w:tcW w:w="1378" w:type="pct"/>
                  <w:tcMar>
                    <w:top w:w="57" w:type="dxa"/>
                    <w:left w:w="57" w:type="dxa"/>
                    <w:bottom w:w="57" w:type="dxa"/>
                    <w:right w:w="57" w:type="dxa"/>
                  </w:tcMar>
                  <w:vAlign w:val="center"/>
                </w:tcPr>
                <w:p w14:paraId="1DCB556A">
                  <w:pPr>
                    <w:pStyle w:val="116"/>
                    <w:rPr>
                      <w:sz w:val="18"/>
                      <w:szCs w:val="18"/>
                    </w:rPr>
                  </w:pPr>
                  <w:r>
                    <w:rPr>
                      <w:sz w:val="18"/>
                      <w:szCs w:val="18"/>
                    </w:rPr>
                    <w:t>本项目</w:t>
                  </w:r>
                  <w:r>
                    <w:rPr>
                      <w:rFonts w:hint="eastAsia" w:hAnsi="宋体"/>
                      <w:snapToGrid w:val="0"/>
                      <w:sz w:val="18"/>
                      <w:szCs w:val="18"/>
                    </w:rPr>
                    <w:t>井场外新建</w:t>
                  </w:r>
                  <w:r>
                    <w:rPr>
                      <w:rFonts w:hAnsi="宋体"/>
                      <w:snapToGrid w:val="0"/>
                      <w:sz w:val="18"/>
                      <w:szCs w:val="18"/>
                    </w:rPr>
                    <w:t>2</w:t>
                  </w:r>
                  <w:r>
                    <w:rPr>
                      <w:rFonts w:hint="eastAsia" w:hAnsi="宋体"/>
                      <w:snapToGrid w:val="0"/>
                      <w:sz w:val="18"/>
                      <w:szCs w:val="18"/>
                    </w:rPr>
                    <w:t>座</w:t>
                  </w:r>
                  <w:r>
                    <w:rPr>
                      <w:rFonts w:hAnsi="宋体"/>
                      <w:snapToGrid w:val="0"/>
                      <w:sz w:val="18"/>
                      <w:szCs w:val="18"/>
                    </w:rPr>
                    <w:t>放喷池</w:t>
                  </w:r>
                  <w:r>
                    <w:rPr>
                      <w:rFonts w:hint="eastAsia" w:hAnsi="宋体"/>
                      <w:snapToGrid w:val="0"/>
                      <w:sz w:val="18"/>
                      <w:szCs w:val="18"/>
                    </w:rPr>
                    <w:t>，伴生气经过液气分离后通过放喷池点火排放，有效减少温室气体排放</w:t>
                  </w:r>
                  <w:r>
                    <w:rPr>
                      <w:sz w:val="18"/>
                      <w:szCs w:val="18"/>
                    </w:rPr>
                    <w:t>。</w:t>
                  </w:r>
                </w:p>
              </w:tc>
              <w:tc>
                <w:tcPr>
                  <w:tcW w:w="354" w:type="pct"/>
                  <w:tcMar>
                    <w:top w:w="57" w:type="dxa"/>
                    <w:left w:w="57" w:type="dxa"/>
                    <w:bottom w:w="57" w:type="dxa"/>
                    <w:right w:w="57" w:type="dxa"/>
                  </w:tcMar>
                  <w:vAlign w:val="center"/>
                </w:tcPr>
                <w:p w14:paraId="1C987E08">
                  <w:pPr>
                    <w:pStyle w:val="116"/>
                    <w:rPr>
                      <w:sz w:val="18"/>
                      <w:szCs w:val="18"/>
                    </w:rPr>
                  </w:pPr>
                  <w:r>
                    <w:rPr>
                      <w:sz w:val="18"/>
                      <w:szCs w:val="18"/>
                    </w:rPr>
                    <w:t>符合</w:t>
                  </w:r>
                </w:p>
              </w:tc>
            </w:tr>
            <w:tr w14:paraId="28EB3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0940E676">
                  <w:pPr>
                    <w:pStyle w:val="116"/>
                    <w:rPr>
                      <w:sz w:val="18"/>
                      <w:szCs w:val="18"/>
                    </w:rPr>
                  </w:pPr>
                </w:p>
              </w:tc>
              <w:tc>
                <w:tcPr>
                  <w:tcW w:w="469" w:type="pct"/>
                  <w:vMerge w:val="continue"/>
                  <w:tcMar>
                    <w:top w:w="57" w:type="dxa"/>
                    <w:left w:w="57" w:type="dxa"/>
                    <w:bottom w:w="57" w:type="dxa"/>
                    <w:right w:w="57" w:type="dxa"/>
                  </w:tcMar>
                  <w:vAlign w:val="center"/>
                </w:tcPr>
                <w:p w14:paraId="19D5E196">
                  <w:pPr>
                    <w:pStyle w:val="116"/>
                    <w:widowControl w:val="0"/>
                    <w:autoSpaceDE w:val="0"/>
                    <w:autoSpaceDN w:val="0"/>
                    <w:rPr>
                      <w:sz w:val="18"/>
                      <w:szCs w:val="18"/>
                    </w:rPr>
                  </w:pPr>
                </w:p>
              </w:tc>
              <w:tc>
                <w:tcPr>
                  <w:tcW w:w="2397" w:type="pct"/>
                  <w:tcMar>
                    <w:top w:w="57" w:type="dxa"/>
                    <w:left w:w="57" w:type="dxa"/>
                    <w:bottom w:w="57" w:type="dxa"/>
                    <w:right w:w="57" w:type="dxa"/>
                  </w:tcMar>
                  <w:vAlign w:val="center"/>
                </w:tcPr>
                <w:p w14:paraId="3D3BEB1E">
                  <w:pPr>
                    <w:pStyle w:val="116"/>
                    <w:rPr>
                      <w:sz w:val="18"/>
                      <w:szCs w:val="18"/>
                    </w:rPr>
                  </w:pPr>
                  <w:r>
                    <w:rPr>
                      <w:sz w:val="18"/>
                      <w:szCs w:val="18"/>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378" w:type="pct"/>
                  <w:tcMar>
                    <w:top w:w="57" w:type="dxa"/>
                    <w:left w:w="57" w:type="dxa"/>
                    <w:bottom w:w="57" w:type="dxa"/>
                    <w:right w:w="57" w:type="dxa"/>
                  </w:tcMar>
                  <w:vAlign w:val="center"/>
                </w:tcPr>
                <w:p w14:paraId="3EB7BD82">
                  <w:pPr>
                    <w:pStyle w:val="116"/>
                    <w:rPr>
                      <w:sz w:val="18"/>
                      <w:szCs w:val="18"/>
                    </w:rPr>
                  </w:pPr>
                  <w:r>
                    <w:rPr>
                      <w:rFonts w:hint="eastAsia"/>
                      <w:sz w:val="18"/>
                      <w:szCs w:val="18"/>
                    </w:rPr>
                    <w:t>本项目不属于前述重点行业。项目施工期采用先进生产工艺</w:t>
                  </w:r>
                  <w:r>
                    <w:rPr>
                      <w:sz w:val="18"/>
                      <w:szCs w:val="18"/>
                    </w:rPr>
                    <w:t>，</w:t>
                  </w:r>
                  <w:r>
                    <w:rPr>
                      <w:rFonts w:hint="eastAsia"/>
                      <w:sz w:val="18"/>
                      <w:szCs w:val="18"/>
                    </w:rPr>
                    <w:t>可</w:t>
                  </w:r>
                  <w:r>
                    <w:rPr>
                      <w:sz w:val="18"/>
                      <w:szCs w:val="18"/>
                    </w:rPr>
                    <w:t>有效减少废气无组织排放。</w:t>
                  </w:r>
                </w:p>
              </w:tc>
              <w:tc>
                <w:tcPr>
                  <w:tcW w:w="354" w:type="pct"/>
                  <w:tcMar>
                    <w:top w:w="57" w:type="dxa"/>
                    <w:left w:w="57" w:type="dxa"/>
                    <w:bottom w:w="57" w:type="dxa"/>
                    <w:right w:w="57" w:type="dxa"/>
                  </w:tcMar>
                  <w:vAlign w:val="center"/>
                </w:tcPr>
                <w:p w14:paraId="29EDF560">
                  <w:pPr>
                    <w:pStyle w:val="116"/>
                    <w:widowControl w:val="0"/>
                    <w:autoSpaceDE w:val="0"/>
                    <w:autoSpaceDN w:val="0"/>
                    <w:rPr>
                      <w:sz w:val="18"/>
                      <w:szCs w:val="18"/>
                    </w:rPr>
                  </w:pPr>
                  <w:r>
                    <w:rPr>
                      <w:sz w:val="18"/>
                      <w:szCs w:val="18"/>
                    </w:rPr>
                    <w:t>符合</w:t>
                  </w:r>
                </w:p>
              </w:tc>
            </w:tr>
            <w:tr w14:paraId="7A48A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620A99E7">
                  <w:pPr>
                    <w:pStyle w:val="116"/>
                    <w:rPr>
                      <w:sz w:val="18"/>
                      <w:szCs w:val="18"/>
                    </w:rPr>
                  </w:pPr>
                </w:p>
              </w:tc>
              <w:tc>
                <w:tcPr>
                  <w:tcW w:w="469" w:type="pct"/>
                  <w:vMerge w:val="continue"/>
                  <w:tcMar>
                    <w:top w:w="57" w:type="dxa"/>
                    <w:left w:w="57" w:type="dxa"/>
                    <w:bottom w:w="57" w:type="dxa"/>
                    <w:right w:w="57" w:type="dxa"/>
                  </w:tcMar>
                  <w:vAlign w:val="center"/>
                </w:tcPr>
                <w:p w14:paraId="4BBF2269">
                  <w:pPr>
                    <w:pStyle w:val="116"/>
                    <w:rPr>
                      <w:sz w:val="18"/>
                      <w:szCs w:val="18"/>
                    </w:rPr>
                  </w:pPr>
                </w:p>
              </w:tc>
              <w:tc>
                <w:tcPr>
                  <w:tcW w:w="2397" w:type="pct"/>
                  <w:tcMar>
                    <w:top w:w="57" w:type="dxa"/>
                    <w:left w:w="57" w:type="dxa"/>
                    <w:bottom w:w="57" w:type="dxa"/>
                    <w:right w:w="57" w:type="dxa"/>
                  </w:tcMar>
                  <w:vAlign w:val="center"/>
                </w:tcPr>
                <w:p w14:paraId="7E97FAC5">
                  <w:pPr>
                    <w:pStyle w:val="116"/>
                    <w:rPr>
                      <w:sz w:val="18"/>
                      <w:szCs w:val="18"/>
                    </w:rPr>
                  </w:pPr>
                  <w:r>
                    <w:rPr>
                      <w:sz w:val="18"/>
                      <w:szCs w:val="18"/>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氨燃烧改造、工业园区内轨道运输（大宗货物“公转铁”）、柴油货车治理、锅炉炉窑综合治理等工程项目。全面推行绿色施工，持续推动城市建成区重污染企业搬迁或关闭退出。</w:t>
                  </w:r>
                </w:p>
              </w:tc>
              <w:tc>
                <w:tcPr>
                  <w:tcW w:w="1378" w:type="pct"/>
                  <w:tcMar>
                    <w:top w:w="57" w:type="dxa"/>
                    <w:left w:w="57" w:type="dxa"/>
                    <w:bottom w:w="57" w:type="dxa"/>
                    <w:right w:w="57" w:type="dxa"/>
                  </w:tcMar>
                  <w:vAlign w:val="center"/>
                </w:tcPr>
                <w:p w14:paraId="277C5599">
                  <w:pPr>
                    <w:pStyle w:val="116"/>
                    <w:rPr>
                      <w:sz w:val="18"/>
                      <w:szCs w:val="18"/>
                    </w:rPr>
                  </w:pPr>
                  <w:r>
                    <w:rPr>
                      <w:sz w:val="18"/>
                      <w:szCs w:val="18"/>
                    </w:rPr>
                    <w:t>本项目施工期</w:t>
                  </w:r>
                  <w:r>
                    <w:rPr>
                      <w:rFonts w:hint="eastAsia"/>
                      <w:sz w:val="18"/>
                      <w:szCs w:val="18"/>
                    </w:rPr>
                    <w:t>采取</w:t>
                  </w:r>
                  <w:r>
                    <w:rPr>
                      <w:sz w:val="18"/>
                      <w:szCs w:val="18"/>
                    </w:rPr>
                    <w:t>完善措施减少施工造成的环境影响。</w:t>
                  </w:r>
                </w:p>
              </w:tc>
              <w:tc>
                <w:tcPr>
                  <w:tcW w:w="354" w:type="pct"/>
                  <w:tcMar>
                    <w:top w:w="57" w:type="dxa"/>
                    <w:left w:w="57" w:type="dxa"/>
                    <w:bottom w:w="57" w:type="dxa"/>
                    <w:right w:w="57" w:type="dxa"/>
                  </w:tcMar>
                  <w:vAlign w:val="center"/>
                </w:tcPr>
                <w:p w14:paraId="67EC9623">
                  <w:pPr>
                    <w:pStyle w:val="116"/>
                    <w:rPr>
                      <w:sz w:val="18"/>
                      <w:szCs w:val="18"/>
                    </w:rPr>
                  </w:pPr>
                  <w:r>
                    <w:rPr>
                      <w:sz w:val="18"/>
                      <w:szCs w:val="18"/>
                    </w:rPr>
                    <w:t>符合</w:t>
                  </w:r>
                </w:p>
              </w:tc>
            </w:tr>
            <w:tr w14:paraId="66035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50739859">
                  <w:pPr>
                    <w:pStyle w:val="116"/>
                    <w:rPr>
                      <w:sz w:val="18"/>
                      <w:szCs w:val="18"/>
                    </w:rPr>
                  </w:pPr>
                </w:p>
              </w:tc>
              <w:tc>
                <w:tcPr>
                  <w:tcW w:w="469" w:type="pct"/>
                  <w:vMerge w:val="continue"/>
                  <w:tcMar>
                    <w:top w:w="57" w:type="dxa"/>
                    <w:left w:w="57" w:type="dxa"/>
                    <w:bottom w:w="57" w:type="dxa"/>
                    <w:right w:w="57" w:type="dxa"/>
                  </w:tcMar>
                  <w:vAlign w:val="center"/>
                </w:tcPr>
                <w:p w14:paraId="7DA8744E">
                  <w:pPr>
                    <w:pStyle w:val="116"/>
                    <w:rPr>
                      <w:sz w:val="18"/>
                      <w:szCs w:val="18"/>
                    </w:rPr>
                  </w:pPr>
                </w:p>
              </w:tc>
              <w:tc>
                <w:tcPr>
                  <w:tcW w:w="2397" w:type="pct"/>
                  <w:tcMar>
                    <w:top w:w="57" w:type="dxa"/>
                    <w:left w:w="57" w:type="dxa"/>
                    <w:bottom w:w="57" w:type="dxa"/>
                    <w:right w:w="57" w:type="dxa"/>
                  </w:tcMar>
                  <w:vAlign w:val="center"/>
                </w:tcPr>
                <w:p w14:paraId="4282DCB5">
                  <w:pPr>
                    <w:pStyle w:val="116"/>
                    <w:rPr>
                      <w:sz w:val="18"/>
                      <w:szCs w:val="18"/>
                    </w:rPr>
                  </w:pPr>
                  <w:r>
                    <w:rPr>
                      <w:sz w:val="18"/>
                      <w:szCs w:val="18"/>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378" w:type="pct"/>
                  <w:tcMar>
                    <w:top w:w="57" w:type="dxa"/>
                    <w:left w:w="57" w:type="dxa"/>
                    <w:bottom w:w="57" w:type="dxa"/>
                    <w:right w:w="57" w:type="dxa"/>
                  </w:tcMar>
                  <w:vAlign w:val="center"/>
                </w:tcPr>
                <w:p w14:paraId="3159D5B6">
                  <w:pPr>
                    <w:pStyle w:val="116"/>
                    <w:widowControl w:val="0"/>
                    <w:autoSpaceDE w:val="0"/>
                    <w:autoSpaceDN w:val="0"/>
                    <w:rPr>
                      <w:sz w:val="18"/>
                      <w:szCs w:val="18"/>
                    </w:rPr>
                  </w:pPr>
                  <w:r>
                    <w:rPr>
                      <w:sz w:val="18"/>
                      <w:szCs w:val="18"/>
                    </w:rPr>
                    <w:t>本项目</w:t>
                  </w:r>
                  <w:r>
                    <w:rPr>
                      <w:rFonts w:hint="eastAsia"/>
                      <w:sz w:val="18"/>
                      <w:szCs w:val="18"/>
                    </w:rPr>
                    <w:t>无废水外排</w:t>
                  </w:r>
                  <w:r>
                    <w:rPr>
                      <w:sz w:val="18"/>
                      <w:szCs w:val="18"/>
                    </w:rPr>
                    <w:t>，不会严重污染水环境。</w:t>
                  </w:r>
                  <w:r>
                    <w:rPr>
                      <w:rFonts w:hint="eastAsia"/>
                      <w:sz w:val="18"/>
                      <w:szCs w:val="18"/>
                    </w:rPr>
                    <w:t>井场</w:t>
                  </w:r>
                  <w:r>
                    <w:rPr>
                      <w:sz w:val="18"/>
                      <w:szCs w:val="18"/>
                    </w:rPr>
                    <w:t>进行分区防渗，对地下水环境的影响较小。</w:t>
                  </w:r>
                </w:p>
              </w:tc>
              <w:tc>
                <w:tcPr>
                  <w:tcW w:w="354" w:type="pct"/>
                  <w:tcMar>
                    <w:top w:w="57" w:type="dxa"/>
                    <w:left w:w="57" w:type="dxa"/>
                    <w:bottom w:w="57" w:type="dxa"/>
                    <w:right w:w="57" w:type="dxa"/>
                  </w:tcMar>
                  <w:vAlign w:val="center"/>
                </w:tcPr>
                <w:p w14:paraId="5E68654E">
                  <w:pPr>
                    <w:pStyle w:val="116"/>
                    <w:rPr>
                      <w:sz w:val="18"/>
                      <w:szCs w:val="18"/>
                    </w:rPr>
                  </w:pPr>
                  <w:r>
                    <w:rPr>
                      <w:sz w:val="18"/>
                      <w:szCs w:val="18"/>
                    </w:rPr>
                    <w:t>符合</w:t>
                  </w:r>
                </w:p>
              </w:tc>
            </w:tr>
            <w:tr w14:paraId="5CD87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restart"/>
                  <w:tcMar>
                    <w:top w:w="57" w:type="dxa"/>
                    <w:left w:w="57" w:type="dxa"/>
                    <w:bottom w:w="57" w:type="dxa"/>
                    <w:right w:w="57" w:type="dxa"/>
                  </w:tcMar>
                  <w:vAlign w:val="center"/>
                </w:tcPr>
                <w:p w14:paraId="29630C96">
                  <w:pPr>
                    <w:pStyle w:val="116"/>
                    <w:rPr>
                      <w:rFonts w:hAnsi="Calibri"/>
                      <w:sz w:val="18"/>
                      <w:szCs w:val="18"/>
                    </w:rPr>
                  </w:pPr>
                  <w:r>
                    <w:rPr>
                      <w:sz w:val="18"/>
                      <w:szCs w:val="18"/>
                    </w:rPr>
                    <w:t>A3环境风险防</w:t>
                  </w:r>
                </w:p>
                <w:p w14:paraId="57E68D90">
                  <w:pPr>
                    <w:pStyle w:val="116"/>
                    <w:widowControl w:val="0"/>
                    <w:autoSpaceDE w:val="0"/>
                    <w:autoSpaceDN w:val="0"/>
                    <w:rPr>
                      <w:sz w:val="18"/>
                      <w:szCs w:val="18"/>
                    </w:rPr>
                  </w:pPr>
                  <w:r>
                    <w:rPr>
                      <w:sz w:val="18"/>
                      <w:szCs w:val="18"/>
                    </w:rPr>
                    <w:t>控</w:t>
                  </w:r>
                </w:p>
              </w:tc>
              <w:tc>
                <w:tcPr>
                  <w:tcW w:w="469" w:type="pct"/>
                  <w:vMerge w:val="restart"/>
                  <w:tcMar>
                    <w:top w:w="57" w:type="dxa"/>
                    <w:left w:w="57" w:type="dxa"/>
                    <w:bottom w:w="57" w:type="dxa"/>
                    <w:right w:w="57" w:type="dxa"/>
                  </w:tcMar>
                  <w:vAlign w:val="center"/>
                </w:tcPr>
                <w:p w14:paraId="42D1BA8F">
                  <w:pPr>
                    <w:pStyle w:val="116"/>
                    <w:rPr>
                      <w:sz w:val="18"/>
                      <w:szCs w:val="18"/>
                    </w:rPr>
                  </w:pPr>
                  <w:r>
                    <w:rPr>
                      <w:sz w:val="18"/>
                      <w:szCs w:val="18"/>
                    </w:rPr>
                    <w:t>A3.2联防联控要求</w:t>
                  </w:r>
                </w:p>
              </w:tc>
              <w:tc>
                <w:tcPr>
                  <w:tcW w:w="2397" w:type="pct"/>
                  <w:tcMar>
                    <w:top w:w="57" w:type="dxa"/>
                    <w:left w:w="57" w:type="dxa"/>
                    <w:bottom w:w="57" w:type="dxa"/>
                    <w:right w:w="57" w:type="dxa"/>
                  </w:tcMar>
                  <w:vAlign w:val="center"/>
                </w:tcPr>
                <w:p w14:paraId="02EED359">
                  <w:pPr>
                    <w:pStyle w:val="116"/>
                    <w:rPr>
                      <w:sz w:val="18"/>
                      <w:szCs w:val="18"/>
                    </w:rPr>
                  </w:pPr>
                  <w:r>
                    <w:rPr>
                      <w:sz w:val="18"/>
                      <w:szCs w:val="18"/>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1378" w:type="pct"/>
                  <w:tcMar>
                    <w:top w:w="57" w:type="dxa"/>
                    <w:left w:w="57" w:type="dxa"/>
                    <w:bottom w:w="57" w:type="dxa"/>
                    <w:right w:w="57" w:type="dxa"/>
                  </w:tcMar>
                  <w:vAlign w:val="center"/>
                </w:tcPr>
                <w:p w14:paraId="1F2EB72E">
                  <w:pPr>
                    <w:pStyle w:val="116"/>
                    <w:rPr>
                      <w:sz w:val="18"/>
                      <w:szCs w:val="18"/>
                    </w:rPr>
                  </w:pPr>
                  <w:r>
                    <w:rPr>
                      <w:sz w:val="18"/>
                      <w:szCs w:val="18"/>
                    </w:rPr>
                    <w:t>本项目</w:t>
                  </w:r>
                  <w:r>
                    <w:rPr>
                      <w:rFonts w:hint="eastAsia"/>
                      <w:sz w:val="18"/>
                      <w:szCs w:val="18"/>
                    </w:rPr>
                    <w:t>不涉及运营期</w:t>
                  </w:r>
                  <w:r>
                    <w:rPr>
                      <w:sz w:val="18"/>
                      <w:szCs w:val="18"/>
                    </w:rPr>
                    <w:t>。</w:t>
                  </w:r>
                  <w:r>
                    <w:rPr>
                      <w:rFonts w:hint="eastAsia"/>
                      <w:sz w:val="18"/>
                      <w:szCs w:val="18"/>
                    </w:rPr>
                    <w:t>项目</w:t>
                  </w:r>
                  <w:r>
                    <w:rPr>
                      <w:sz w:val="18"/>
                      <w:szCs w:val="18"/>
                    </w:rPr>
                    <w:t>制定了完善的监测计划，建立土壤污染隐患排查制度。</w:t>
                  </w:r>
                </w:p>
              </w:tc>
              <w:tc>
                <w:tcPr>
                  <w:tcW w:w="354" w:type="pct"/>
                  <w:tcMar>
                    <w:top w:w="57" w:type="dxa"/>
                    <w:left w:w="57" w:type="dxa"/>
                    <w:bottom w:w="57" w:type="dxa"/>
                    <w:right w:w="57" w:type="dxa"/>
                  </w:tcMar>
                  <w:vAlign w:val="center"/>
                </w:tcPr>
                <w:p w14:paraId="5E361BE1">
                  <w:pPr>
                    <w:pStyle w:val="116"/>
                    <w:rPr>
                      <w:sz w:val="18"/>
                      <w:szCs w:val="18"/>
                    </w:rPr>
                  </w:pPr>
                  <w:r>
                    <w:rPr>
                      <w:sz w:val="18"/>
                      <w:szCs w:val="18"/>
                    </w:rPr>
                    <w:t>符合</w:t>
                  </w:r>
                </w:p>
              </w:tc>
            </w:tr>
            <w:tr w14:paraId="2C94A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769E812C">
                  <w:pPr>
                    <w:pStyle w:val="116"/>
                    <w:widowControl w:val="0"/>
                    <w:autoSpaceDE w:val="0"/>
                    <w:autoSpaceDN w:val="0"/>
                    <w:rPr>
                      <w:sz w:val="18"/>
                      <w:szCs w:val="18"/>
                    </w:rPr>
                  </w:pPr>
                </w:p>
              </w:tc>
              <w:tc>
                <w:tcPr>
                  <w:tcW w:w="469" w:type="pct"/>
                  <w:vMerge w:val="continue"/>
                  <w:tcMar>
                    <w:top w:w="57" w:type="dxa"/>
                    <w:left w:w="57" w:type="dxa"/>
                    <w:bottom w:w="57" w:type="dxa"/>
                    <w:right w:w="57" w:type="dxa"/>
                  </w:tcMar>
                  <w:vAlign w:val="center"/>
                </w:tcPr>
                <w:p w14:paraId="39CE6F7E">
                  <w:pPr>
                    <w:pStyle w:val="116"/>
                    <w:rPr>
                      <w:sz w:val="18"/>
                      <w:szCs w:val="18"/>
                    </w:rPr>
                  </w:pPr>
                </w:p>
              </w:tc>
              <w:tc>
                <w:tcPr>
                  <w:tcW w:w="2397" w:type="pct"/>
                  <w:tcMar>
                    <w:top w:w="57" w:type="dxa"/>
                    <w:left w:w="57" w:type="dxa"/>
                    <w:bottom w:w="57" w:type="dxa"/>
                    <w:right w:w="57" w:type="dxa"/>
                  </w:tcMar>
                  <w:vAlign w:val="center"/>
                </w:tcPr>
                <w:p w14:paraId="3F980E03">
                  <w:pPr>
                    <w:pStyle w:val="116"/>
                    <w:rPr>
                      <w:sz w:val="18"/>
                      <w:szCs w:val="18"/>
                    </w:rPr>
                  </w:pPr>
                  <w:r>
                    <w:rPr>
                      <w:sz w:val="18"/>
                      <w:szCs w:val="18"/>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378" w:type="pct"/>
                  <w:tcMar>
                    <w:top w:w="57" w:type="dxa"/>
                    <w:left w:w="57" w:type="dxa"/>
                    <w:bottom w:w="57" w:type="dxa"/>
                    <w:right w:w="57" w:type="dxa"/>
                  </w:tcMar>
                  <w:vAlign w:val="center"/>
                </w:tcPr>
                <w:p w14:paraId="475E6FBE">
                  <w:pPr>
                    <w:pStyle w:val="116"/>
                    <w:rPr>
                      <w:sz w:val="18"/>
                      <w:szCs w:val="18"/>
                    </w:rPr>
                  </w:pPr>
                  <w:r>
                    <w:rPr>
                      <w:rFonts w:hint="eastAsia"/>
                      <w:sz w:val="18"/>
                      <w:szCs w:val="18"/>
                    </w:rPr>
                    <w:t>企业</w:t>
                  </w:r>
                  <w:r>
                    <w:rPr>
                      <w:sz w:val="18"/>
                      <w:szCs w:val="18"/>
                    </w:rPr>
                    <w:t>按照要求制定突发环境事件应急预案，</w:t>
                  </w:r>
                  <w:r>
                    <w:rPr>
                      <w:rFonts w:hint="eastAsia"/>
                      <w:sz w:val="18"/>
                      <w:szCs w:val="18"/>
                    </w:rPr>
                    <w:t>在县级地方主管部门完成备案，并</w:t>
                  </w:r>
                  <w:r>
                    <w:rPr>
                      <w:sz w:val="18"/>
                      <w:szCs w:val="18"/>
                    </w:rPr>
                    <w:t>定期</w:t>
                  </w:r>
                  <w:r>
                    <w:rPr>
                      <w:rFonts w:hint="eastAsia"/>
                      <w:sz w:val="18"/>
                      <w:szCs w:val="18"/>
                    </w:rPr>
                    <w:t>组织应急</w:t>
                  </w:r>
                  <w:r>
                    <w:rPr>
                      <w:sz w:val="18"/>
                      <w:szCs w:val="18"/>
                    </w:rPr>
                    <w:t>演练。</w:t>
                  </w:r>
                </w:p>
              </w:tc>
              <w:tc>
                <w:tcPr>
                  <w:tcW w:w="354" w:type="pct"/>
                  <w:tcMar>
                    <w:top w:w="57" w:type="dxa"/>
                    <w:left w:w="57" w:type="dxa"/>
                    <w:bottom w:w="57" w:type="dxa"/>
                    <w:right w:w="57" w:type="dxa"/>
                  </w:tcMar>
                  <w:vAlign w:val="center"/>
                </w:tcPr>
                <w:p w14:paraId="0CF1A006">
                  <w:pPr>
                    <w:pStyle w:val="116"/>
                    <w:widowControl w:val="0"/>
                    <w:autoSpaceDE w:val="0"/>
                    <w:autoSpaceDN w:val="0"/>
                    <w:rPr>
                      <w:sz w:val="18"/>
                      <w:szCs w:val="18"/>
                    </w:rPr>
                  </w:pPr>
                  <w:r>
                    <w:rPr>
                      <w:sz w:val="18"/>
                      <w:szCs w:val="18"/>
                    </w:rPr>
                    <w:t>符合</w:t>
                  </w:r>
                </w:p>
              </w:tc>
            </w:tr>
            <w:tr w14:paraId="4498B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restart"/>
                  <w:tcMar>
                    <w:top w:w="57" w:type="dxa"/>
                    <w:left w:w="57" w:type="dxa"/>
                    <w:bottom w:w="57" w:type="dxa"/>
                    <w:right w:w="57" w:type="dxa"/>
                  </w:tcMar>
                  <w:vAlign w:val="center"/>
                </w:tcPr>
                <w:p w14:paraId="5E72ACEC">
                  <w:pPr>
                    <w:pStyle w:val="116"/>
                    <w:rPr>
                      <w:rFonts w:hAnsi="Calibri"/>
                      <w:sz w:val="18"/>
                      <w:szCs w:val="18"/>
                    </w:rPr>
                  </w:pPr>
                  <w:r>
                    <w:rPr>
                      <w:sz w:val="18"/>
                      <w:szCs w:val="18"/>
                    </w:rPr>
                    <w:t>A4</w:t>
                  </w:r>
                </w:p>
                <w:p w14:paraId="7060B119">
                  <w:pPr>
                    <w:pStyle w:val="116"/>
                    <w:rPr>
                      <w:rFonts w:hAnsi="Calibri"/>
                      <w:sz w:val="18"/>
                      <w:szCs w:val="18"/>
                    </w:rPr>
                  </w:pPr>
                  <w:r>
                    <w:rPr>
                      <w:sz w:val="18"/>
                      <w:szCs w:val="18"/>
                    </w:rPr>
                    <w:t>资源</w:t>
                  </w:r>
                </w:p>
                <w:p w14:paraId="48770457">
                  <w:pPr>
                    <w:pStyle w:val="116"/>
                    <w:widowControl w:val="0"/>
                    <w:autoSpaceDE w:val="0"/>
                    <w:autoSpaceDN w:val="0"/>
                    <w:rPr>
                      <w:sz w:val="18"/>
                      <w:szCs w:val="18"/>
                    </w:rPr>
                  </w:pPr>
                  <w:r>
                    <w:rPr>
                      <w:sz w:val="18"/>
                      <w:szCs w:val="18"/>
                    </w:rPr>
                    <w:t>利用要求</w:t>
                  </w:r>
                </w:p>
              </w:tc>
              <w:tc>
                <w:tcPr>
                  <w:tcW w:w="469" w:type="pct"/>
                  <w:tcMar>
                    <w:top w:w="57" w:type="dxa"/>
                    <w:left w:w="57" w:type="dxa"/>
                    <w:bottom w:w="57" w:type="dxa"/>
                    <w:right w:w="57" w:type="dxa"/>
                  </w:tcMar>
                  <w:vAlign w:val="center"/>
                </w:tcPr>
                <w:p w14:paraId="18EE6BFA">
                  <w:pPr>
                    <w:pStyle w:val="116"/>
                    <w:rPr>
                      <w:rFonts w:hAnsi="Calibri"/>
                      <w:sz w:val="18"/>
                      <w:szCs w:val="18"/>
                    </w:rPr>
                  </w:pPr>
                  <w:r>
                    <w:rPr>
                      <w:sz w:val="18"/>
                      <w:szCs w:val="18"/>
                    </w:rPr>
                    <w:t>A4.1</w:t>
                  </w:r>
                </w:p>
                <w:p w14:paraId="0DB11EA7">
                  <w:pPr>
                    <w:pStyle w:val="116"/>
                    <w:rPr>
                      <w:rFonts w:hAnsi="Calibri"/>
                      <w:sz w:val="18"/>
                      <w:szCs w:val="18"/>
                    </w:rPr>
                  </w:pPr>
                  <w:r>
                    <w:rPr>
                      <w:sz w:val="18"/>
                      <w:szCs w:val="18"/>
                    </w:rPr>
                    <w:t>水资</w:t>
                  </w:r>
                </w:p>
                <w:p w14:paraId="5EF1B56C">
                  <w:pPr>
                    <w:pStyle w:val="116"/>
                    <w:widowControl w:val="0"/>
                    <w:autoSpaceDE w:val="0"/>
                    <w:autoSpaceDN w:val="0"/>
                    <w:rPr>
                      <w:sz w:val="18"/>
                      <w:szCs w:val="18"/>
                    </w:rPr>
                  </w:pPr>
                  <w:r>
                    <w:rPr>
                      <w:sz w:val="18"/>
                      <w:szCs w:val="18"/>
                    </w:rPr>
                    <w:t>源</w:t>
                  </w:r>
                </w:p>
              </w:tc>
              <w:tc>
                <w:tcPr>
                  <w:tcW w:w="2397" w:type="pct"/>
                  <w:tcMar>
                    <w:top w:w="57" w:type="dxa"/>
                    <w:left w:w="57" w:type="dxa"/>
                    <w:bottom w:w="57" w:type="dxa"/>
                    <w:right w:w="57" w:type="dxa"/>
                  </w:tcMar>
                  <w:vAlign w:val="center"/>
                </w:tcPr>
                <w:p w14:paraId="79C9D862">
                  <w:pPr>
                    <w:pStyle w:val="116"/>
                    <w:rPr>
                      <w:sz w:val="18"/>
                      <w:szCs w:val="18"/>
                    </w:rPr>
                  </w:pPr>
                  <w:r>
                    <w:rPr>
                      <w:sz w:val="18"/>
                      <w:szCs w:val="18"/>
                    </w:rPr>
                    <w:t>[A4.1-1]自治区用水总量2025年、2030年控制在国家下达的指标内。[A4.1-4]地下水资源利用实行总量控制和水位控制。取用地下水资源，应当按照国家和自治区有关规定申请取水许可。地下水利用应当以浅层地下水为主。</w:t>
                  </w:r>
                </w:p>
              </w:tc>
              <w:tc>
                <w:tcPr>
                  <w:tcW w:w="1378" w:type="pct"/>
                  <w:tcMar>
                    <w:top w:w="57" w:type="dxa"/>
                    <w:left w:w="57" w:type="dxa"/>
                    <w:bottom w:w="57" w:type="dxa"/>
                    <w:right w:w="57" w:type="dxa"/>
                  </w:tcMar>
                  <w:vAlign w:val="center"/>
                </w:tcPr>
                <w:p w14:paraId="4F7F13DF">
                  <w:pPr>
                    <w:pStyle w:val="116"/>
                    <w:rPr>
                      <w:sz w:val="18"/>
                      <w:szCs w:val="18"/>
                    </w:rPr>
                  </w:pPr>
                  <w:r>
                    <w:rPr>
                      <w:sz w:val="18"/>
                      <w:szCs w:val="18"/>
                    </w:rPr>
                    <w:t>本项目</w:t>
                  </w:r>
                  <w:r>
                    <w:rPr>
                      <w:rFonts w:hint="eastAsia"/>
                      <w:sz w:val="18"/>
                      <w:szCs w:val="18"/>
                    </w:rPr>
                    <w:t>施工用水采用罐车拉运，不涉及开采地下水</w:t>
                  </w:r>
                  <w:r>
                    <w:rPr>
                      <w:sz w:val="18"/>
                      <w:szCs w:val="18"/>
                    </w:rPr>
                    <w:t>。</w:t>
                  </w:r>
                </w:p>
              </w:tc>
              <w:tc>
                <w:tcPr>
                  <w:tcW w:w="354" w:type="pct"/>
                  <w:tcMar>
                    <w:top w:w="57" w:type="dxa"/>
                    <w:left w:w="57" w:type="dxa"/>
                    <w:bottom w:w="57" w:type="dxa"/>
                    <w:right w:w="57" w:type="dxa"/>
                  </w:tcMar>
                  <w:vAlign w:val="center"/>
                </w:tcPr>
                <w:p w14:paraId="592A3DFB">
                  <w:pPr>
                    <w:pStyle w:val="116"/>
                    <w:widowControl w:val="0"/>
                    <w:autoSpaceDE w:val="0"/>
                    <w:autoSpaceDN w:val="0"/>
                    <w:rPr>
                      <w:sz w:val="18"/>
                      <w:szCs w:val="18"/>
                    </w:rPr>
                  </w:pPr>
                  <w:r>
                    <w:rPr>
                      <w:sz w:val="18"/>
                      <w:szCs w:val="18"/>
                    </w:rPr>
                    <w:t>符合</w:t>
                  </w:r>
                </w:p>
              </w:tc>
            </w:tr>
            <w:tr w14:paraId="7B7A2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32870694">
                  <w:pPr>
                    <w:pStyle w:val="116"/>
                    <w:rPr>
                      <w:sz w:val="18"/>
                      <w:szCs w:val="18"/>
                    </w:rPr>
                  </w:pPr>
                </w:p>
              </w:tc>
              <w:tc>
                <w:tcPr>
                  <w:tcW w:w="469" w:type="pct"/>
                  <w:tcMar>
                    <w:top w:w="57" w:type="dxa"/>
                    <w:left w:w="57" w:type="dxa"/>
                    <w:bottom w:w="57" w:type="dxa"/>
                    <w:right w:w="57" w:type="dxa"/>
                  </w:tcMar>
                  <w:vAlign w:val="center"/>
                </w:tcPr>
                <w:p w14:paraId="011437EE">
                  <w:pPr>
                    <w:pStyle w:val="116"/>
                    <w:rPr>
                      <w:sz w:val="18"/>
                      <w:szCs w:val="18"/>
                    </w:rPr>
                  </w:pPr>
                  <w:r>
                    <w:rPr>
                      <w:sz w:val="18"/>
                      <w:szCs w:val="18"/>
                    </w:rPr>
                    <w:t>A4.2土地资源</w:t>
                  </w:r>
                </w:p>
              </w:tc>
              <w:tc>
                <w:tcPr>
                  <w:tcW w:w="2397" w:type="pct"/>
                  <w:tcMar>
                    <w:top w:w="57" w:type="dxa"/>
                    <w:left w:w="57" w:type="dxa"/>
                    <w:bottom w:w="57" w:type="dxa"/>
                    <w:right w:w="57" w:type="dxa"/>
                  </w:tcMar>
                  <w:vAlign w:val="center"/>
                </w:tcPr>
                <w:p w14:paraId="7FB268F8">
                  <w:pPr>
                    <w:pStyle w:val="116"/>
                    <w:rPr>
                      <w:sz w:val="18"/>
                      <w:szCs w:val="18"/>
                    </w:rPr>
                  </w:pPr>
                  <w:r>
                    <w:rPr>
                      <w:sz w:val="18"/>
                      <w:szCs w:val="18"/>
                    </w:rPr>
                    <w:t>[A4.2-1]土地资源上线指标控制在最终批复的国土空间规划控制指标内。</w:t>
                  </w:r>
                </w:p>
              </w:tc>
              <w:tc>
                <w:tcPr>
                  <w:tcW w:w="1378" w:type="pct"/>
                  <w:tcMar>
                    <w:top w:w="57" w:type="dxa"/>
                    <w:left w:w="57" w:type="dxa"/>
                    <w:bottom w:w="57" w:type="dxa"/>
                    <w:right w:w="57" w:type="dxa"/>
                  </w:tcMar>
                  <w:vAlign w:val="center"/>
                </w:tcPr>
                <w:p w14:paraId="7A71E52E">
                  <w:pPr>
                    <w:pStyle w:val="116"/>
                    <w:rPr>
                      <w:sz w:val="18"/>
                      <w:szCs w:val="18"/>
                    </w:rPr>
                  </w:pPr>
                  <w:r>
                    <w:rPr>
                      <w:sz w:val="18"/>
                      <w:szCs w:val="18"/>
                    </w:rPr>
                    <w:t>本项目符合</w:t>
                  </w:r>
                  <w:r>
                    <w:rPr>
                      <w:rFonts w:ascii="Segoe UI" w:hAnsi="Segoe UI" w:cs="Segoe UI"/>
                      <w:sz w:val="18"/>
                      <w:szCs w:val="18"/>
                    </w:rPr>
                    <w:t>昌吉回族自治州</w:t>
                  </w:r>
                  <w:r>
                    <w:rPr>
                      <w:sz w:val="18"/>
                      <w:szCs w:val="18"/>
                    </w:rPr>
                    <w:t>国土空间</w:t>
                  </w:r>
                  <w:r>
                    <w:rPr>
                      <w:rFonts w:hint="eastAsia"/>
                      <w:sz w:val="18"/>
                      <w:szCs w:val="18"/>
                    </w:rPr>
                    <w:t>总体</w:t>
                  </w:r>
                  <w:r>
                    <w:rPr>
                      <w:sz w:val="18"/>
                      <w:szCs w:val="18"/>
                    </w:rPr>
                    <w:t>规划。</w:t>
                  </w:r>
                </w:p>
              </w:tc>
              <w:tc>
                <w:tcPr>
                  <w:tcW w:w="354" w:type="pct"/>
                  <w:tcMar>
                    <w:top w:w="57" w:type="dxa"/>
                    <w:left w:w="57" w:type="dxa"/>
                    <w:bottom w:w="57" w:type="dxa"/>
                    <w:right w:w="57" w:type="dxa"/>
                  </w:tcMar>
                  <w:vAlign w:val="center"/>
                </w:tcPr>
                <w:p w14:paraId="7E722173">
                  <w:pPr>
                    <w:pStyle w:val="116"/>
                    <w:rPr>
                      <w:sz w:val="18"/>
                      <w:szCs w:val="18"/>
                    </w:rPr>
                  </w:pPr>
                  <w:r>
                    <w:rPr>
                      <w:sz w:val="18"/>
                      <w:szCs w:val="18"/>
                    </w:rPr>
                    <w:t>符合</w:t>
                  </w:r>
                </w:p>
              </w:tc>
            </w:tr>
            <w:tr w14:paraId="58EF8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198A16B6">
                  <w:pPr>
                    <w:pStyle w:val="116"/>
                    <w:rPr>
                      <w:sz w:val="18"/>
                      <w:szCs w:val="18"/>
                    </w:rPr>
                  </w:pPr>
                </w:p>
              </w:tc>
              <w:tc>
                <w:tcPr>
                  <w:tcW w:w="469" w:type="pct"/>
                  <w:vMerge w:val="restart"/>
                  <w:tcMar>
                    <w:top w:w="57" w:type="dxa"/>
                    <w:left w:w="57" w:type="dxa"/>
                    <w:bottom w:w="57" w:type="dxa"/>
                    <w:right w:w="57" w:type="dxa"/>
                  </w:tcMar>
                  <w:vAlign w:val="center"/>
                </w:tcPr>
                <w:p w14:paraId="6196023B">
                  <w:pPr>
                    <w:pStyle w:val="116"/>
                    <w:rPr>
                      <w:rFonts w:hAnsi="Calibri"/>
                      <w:sz w:val="18"/>
                      <w:szCs w:val="18"/>
                    </w:rPr>
                  </w:pPr>
                  <w:r>
                    <w:rPr>
                      <w:sz w:val="18"/>
                      <w:szCs w:val="18"/>
                    </w:rPr>
                    <w:t>A4.3</w:t>
                  </w:r>
                </w:p>
                <w:p w14:paraId="52E08187">
                  <w:pPr>
                    <w:pStyle w:val="116"/>
                    <w:widowControl w:val="0"/>
                    <w:autoSpaceDE w:val="0"/>
                    <w:autoSpaceDN w:val="0"/>
                    <w:rPr>
                      <w:sz w:val="18"/>
                      <w:szCs w:val="18"/>
                    </w:rPr>
                  </w:pPr>
                  <w:r>
                    <w:rPr>
                      <w:sz w:val="18"/>
                      <w:szCs w:val="18"/>
                    </w:rPr>
                    <w:t>能源</w:t>
                  </w:r>
                </w:p>
                <w:p w14:paraId="09D5E7B2">
                  <w:pPr>
                    <w:pStyle w:val="116"/>
                    <w:widowControl w:val="0"/>
                    <w:autoSpaceDE w:val="0"/>
                    <w:autoSpaceDN w:val="0"/>
                    <w:rPr>
                      <w:sz w:val="18"/>
                      <w:szCs w:val="18"/>
                    </w:rPr>
                  </w:pPr>
                  <w:r>
                    <w:rPr>
                      <w:sz w:val="18"/>
                      <w:szCs w:val="18"/>
                    </w:rPr>
                    <w:t>利用</w:t>
                  </w:r>
                </w:p>
              </w:tc>
              <w:tc>
                <w:tcPr>
                  <w:tcW w:w="2397" w:type="pct"/>
                  <w:tcMar>
                    <w:top w:w="57" w:type="dxa"/>
                    <w:left w:w="57" w:type="dxa"/>
                    <w:bottom w:w="57" w:type="dxa"/>
                    <w:right w:w="57" w:type="dxa"/>
                  </w:tcMar>
                  <w:vAlign w:val="center"/>
                </w:tcPr>
                <w:p w14:paraId="6E264E5C">
                  <w:pPr>
                    <w:pStyle w:val="116"/>
                    <w:rPr>
                      <w:sz w:val="18"/>
                      <w:szCs w:val="18"/>
                    </w:rPr>
                  </w:pPr>
                  <w:r>
                    <w:rPr>
                      <w:sz w:val="18"/>
                      <w:szCs w:val="18"/>
                    </w:rPr>
                    <w:t>[A4.3-1]单位地区生产总值二氧化碳排放降低水平完成国家下达指标。</w:t>
                  </w:r>
                </w:p>
                <w:p w14:paraId="4E991030">
                  <w:pPr>
                    <w:pStyle w:val="116"/>
                    <w:rPr>
                      <w:rFonts w:hAnsi="Calibri"/>
                      <w:sz w:val="18"/>
                      <w:szCs w:val="18"/>
                    </w:rPr>
                  </w:pPr>
                  <w:r>
                    <w:rPr>
                      <w:sz w:val="18"/>
                      <w:szCs w:val="18"/>
                    </w:rPr>
                    <w:t>[A4.3-2]到2025年，自治区万元国内生产总值能耗比2020年下降14.5%。</w:t>
                  </w:r>
                </w:p>
                <w:p w14:paraId="610EE983">
                  <w:pPr>
                    <w:pStyle w:val="116"/>
                    <w:widowControl w:val="0"/>
                    <w:autoSpaceDE w:val="0"/>
                    <w:autoSpaceDN w:val="0"/>
                    <w:rPr>
                      <w:sz w:val="18"/>
                      <w:szCs w:val="18"/>
                    </w:rPr>
                  </w:pPr>
                  <w:r>
                    <w:rPr>
                      <w:sz w:val="18"/>
                      <w:szCs w:val="18"/>
                    </w:rPr>
                    <w:t>[A4.3-3]到2025年，非化石能源占一次能源消费比重达18%以上。</w:t>
                  </w:r>
                </w:p>
              </w:tc>
              <w:tc>
                <w:tcPr>
                  <w:tcW w:w="1378" w:type="pct"/>
                  <w:tcMar>
                    <w:top w:w="57" w:type="dxa"/>
                    <w:left w:w="57" w:type="dxa"/>
                    <w:bottom w:w="57" w:type="dxa"/>
                    <w:right w:w="57" w:type="dxa"/>
                  </w:tcMar>
                  <w:vAlign w:val="center"/>
                </w:tcPr>
                <w:p w14:paraId="14212BE5">
                  <w:pPr>
                    <w:pStyle w:val="116"/>
                    <w:widowControl w:val="0"/>
                    <w:autoSpaceDE w:val="0"/>
                    <w:autoSpaceDN w:val="0"/>
                    <w:rPr>
                      <w:sz w:val="18"/>
                      <w:szCs w:val="18"/>
                    </w:rPr>
                  </w:pPr>
                  <w:r>
                    <w:rPr>
                      <w:sz w:val="18"/>
                      <w:szCs w:val="18"/>
                    </w:rPr>
                    <w:t>本项目</w:t>
                  </w:r>
                  <w:r>
                    <w:rPr>
                      <w:rFonts w:hint="eastAsia"/>
                      <w:sz w:val="18"/>
                      <w:szCs w:val="18"/>
                    </w:rPr>
                    <w:t>采用先进生产设备，降低能源消耗</w:t>
                  </w:r>
                  <w:r>
                    <w:rPr>
                      <w:sz w:val="18"/>
                      <w:szCs w:val="18"/>
                    </w:rPr>
                    <w:t>。</w:t>
                  </w:r>
                </w:p>
              </w:tc>
              <w:tc>
                <w:tcPr>
                  <w:tcW w:w="354" w:type="pct"/>
                  <w:tcMar>
                    <w:top w:w="57" w:type="dxa"/>
                    <w:left w:w="57" w:type="dxa"/>
                    <w:bottom w:w="57" w:type="dxa"/>
                    <w:right w:w="57" w:type="dxa"/>
                  </w:tcMar>
                  <w:vAlign w:val="center"/>
                </w:tcPr>
                <w:p w14:paraId="579DB9D8">
                  <w:pPr>
                    <w:pStyle w:val="116"/>
                    <w:rPr>
                      <w:sz w:val="18"/>
                      <w:szCs w:val="18"/>
                    </w:rPr>
                  </w:pPr>
                  <w:r>
                    <w:rPr>
                      <w:sz w:val="18"/>
                      <w:szCs w:val="18"/>
                    </w:rPr>
                    <w:t>符合</w:t>
                  </w:r>
                </w:p>
              </w:tc>
            </w:tr>
            <w:tr w14:paraId="2046B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776EBCC5">
                  <w:pPr>
                    <w:pStyle w:val="116"/>
                    <w:rPr>
                      <w:sz w:val="18"/>
                      <w:szCs w:val="18"/>
                    </w:rPr>
                  </w:pPr>
                </w:p>
              </w:tc>
              <w:tc>
                <w:tcPr>
                  <w:tcW w:w="469" w:type="pct"/>
                  <w:vMerge w:val="continue"/>
                  <w:tcMar>
                    <w:top w:w="57" w:type="dxa"/>
                    <w:left w:w="57" w:type="dxa"/>
                    <w:bottom w:w="57" w:type="dxa"/>
                    <w:right w:w="57" w:type="dxa"/>
                  </w:tcMar>
                  <w:vAlign w:val="center"/>
                </w:tcPr>
                <w:p w14:paraId="6E4CC1F5">
                  <w:pPr>
                    <w:pStyle w:val="116"/>
                    <w:rPr>
                      <w:sz w:val="18"/>
                      <w:szCs w:val="18"/>
                    </w:rPr>
                  </w:pPr>
                </w:p>
              </w:tc>
              <w:tc>
                <w:tcPr>
                  <w:tcW w:w="2397" w:type="pct"/>
                  <w:tcMar>
                    <w:top w:w="57" w:type="dxa"/>
                    <w:left w:w="57" w:type="dxa"/>
                    <w:bottom w:w="57" w:type="dxa"/>
                    <w:right w:w="57" w:type="dxa"/>
                  </w:tcMar>
                  <w:vAlign w:val="center"/>
                </w:tcPr>
                <w:p w14:paraId="11B9BF87">
                  <w:pPr>
                    <w:pStyle w:val="116"/>
                    <w:rPr>
                      <w:sz w:val="18"/>
                      <w:szCs w:val="18"/>
                    </w:rPr>
                  </w:pPr>
                  <w:r>
                    <w:rPr>
                      <w:sz w:val="18"/>
                      <w:szCs w:val="18"/>
                    </w:rPr>
                    <w:t>[A4.3-4]鼓励使用清洁能源或电厂热力、工业余热等替代锅炉、炉窑燃料用煤。[A4.3-5]以碳达峰碳中和工作为引领，着力提高能源资源利用效率。引导重点行业深入实施清洁生产改造，钢铁、建材、石油化工等重点行业以及其他行业重点用能单位持续开展节能降耗。[A4.3-6]深入推进碳达峰碳中和行动。推动能源清洁低碳转型，加强能耗“双控”管理，优化能源消费结构。新增原料用能不纳入能源消费总量控制。持续推进散煤整治。</w:t>
                  </w:r>
                </w:p>
              </w:tc>
              <w:tc>
                <w:tcPr>
                  <w:tcW w:w="1378" w:type="pct"/>
                  <w:tcMar>
                    <w:top w:w="57" w:type="dxa"/>
                    <w:left w:w="57" w:type="dxa"/>
                    <w:bottom w:w="57" w:type="dxa"/>
                    <w:right w:w="57" w:type="dxa"/>
                  </w:tcMar>
                  <w:vAlign w:val="center"/>
                </w:tcPr>
                <w:p w14:paraId="1DF56AB2">
                  <w:pPr>
                    <w:pStyle w:val="116"/>
                    <w:rPr>
                      <w:sz w:val="18"/>
                      <w:szCs w:val="18"/>
                    </w:rPr>
                  </w:pPr>
                  <w:r>
                    <w:rPr>
                      <w:sz w:val="18"/>
                      <w:szCs w:val="18"/>
                    </w:rPr>
                    <w:t>本项目</w:t>
                  </w:r>
                  <w:r>
                    <w:rPr>
                      <w:rFonts w:hint="eastAsia"/>
                      <w:sz w:val="18"/>
                      <w:szCs w:val="18"/>
                    </w:rPr>
                    <w:t>施工过程在</w:t>
                  </w:r>
                  <w:r>
                    <w:rPr>
                      <w:rFonts w:hint="eastAsia" w:hAnsi="宋体"/>
                      <w:snapToGrid w:val="0"/>
                      <w:sz w:val="18"/>
                      <w:szCs w:val="18"/>
                    </w:rPr>
                    <w:t>井场外新建</w:t>
                  </w:r>
                  <w:r>
                    <w:rPr>
                      <w:rFonts w:hAnsi="宋体"/>
                      <w:snapToGrid w:val="0"/>
                      <w:sz w:val="18"/>
                      <w:szCs w:val="18"/>
                    </w:rPr>
                    <w:t>2</w:t>
                  </w:r>
                  <w:r>
                    <w:rPr>
                      <w:rFonts w:hint="eastAsia" w:hAnsi="宋体"/>
                      <w:snapToGrid w:val="0"/>
                      <w:sz w:val="18"/>
                      <w:szCs w:val="18"/>
                    </w:rPr>
                    <w:t>座</w:t>
                  </w:r>
                  <w:r>
                    <w:rPr>
                      <w:rFonts w:hAnsi="宋体"/>
                      <w:snapToGrid w:val="0"/>
                      <w:sz w:val="18"/>
                      <w:szCs w:val="18"/>
                    </w:rPr>
                    <w:t>放喷池</w:t>
                  </w:r>
                  <w:r>
                    <w:rPr>
                      <w:rFonts w:hint="eastAsia" w:hAnsi="宋体"/>
                      <w:snapToGrid w:val="0"/>
                      <w:sz w:val="18"/>
                      <w:szCs w:val="18"/>
                    </w:rPr>
                    <w:t>，伴生气经过液气分离后通过放喷池点火排放</w:t>
                  </w:r>
                  <w:r>
                    <w:rPr>
                      <w:sz w:val="18"/>
                      <w:szCs w:val="18"/>
                    </w:rPr>
                    <w:t>。</w:t>
                  </w:r>
                  <w:r>
                    <w:rPr>
                      <w:rFonts w:hint="eastAsia"/>
                      <w:sz w:val="18"/>
                      <w:szCs w:val="18"/>
                    </w:rPr>
                    <w:t>可有效减少温室气体的排放。</w:t>
                  </w:r>
                </w:p>
              </w:tc>
              <w:tc>
                <w:tcPr>
                  <w:tcW w:w="354" w:type="pct"/>
                  <w:tcMar>
                    <w:top w:w="57" w:type="dxa"/>
                    <w:left w:w="57" w:type="dxa"/>
                    <w:bottom w:w="57" w:type="dxa"/>
                    <w:right w:w="57" w:type="dxa"/>
                  </w:tcMar>
                  <w:vAlign w:val="center"/>
                </w:tcPr>
                <w:p w14:paraId="6B0B0188">
                  <w:pPr>
                    <w:pStyle w:val="116"/>
                    <w:rPr>
                      <w:sz w:val="18"/>
                      <w:szCs w:val="18"/>
                    </w:rPr>
                  </w:pPr>
                  <w:r>
                    <w:rPr>
                      <w:sz w:val="18"/>
                      <w:szCs w:val="18"/>
                    </w:rPr>
                    <w:t>符合</w:t>
                  </w:r>
                </w:p>
              </w:tc>
            </w:tr>
            <w:tr w14:paraId="5B8CA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01" w:type="pct"/>
                  <w:vMerge w:val="continue"/>
                  <w:tcMar>
                    <w:top w:w="57" w:type="dxa"/>
                    <w:left w:w="57" w:type="dxa"/>
                    <w:bottom w:w="57" w:type="dxa"/>
                    <w:right w:w="57" w:type="dxa"/>
                  </w:tcMar>
                  <w:vAlign w:val="center"/>
                </w:tcPr>
                <w:p w14:paraId="546FFF67">
                  <w:pPr>
                    <w:pStyle w:val="116"/>
                    <w:rPr>
                      <w:sz w:val="18"/>
                      <w:szCs w:val="18"/>
                    </w:rPr>
                  </w:pPr>
                </w:p>
              </w:tc>
              <w:tc>
                <w:tcPr>
                  <w:tcW w:w="469" w:type="pct"/>
                  <w:tcMar>
                    <w:top w:w="57" w:type="dxa"/>
                    <w:left w:w="57" w:type="dxa"/>
                    <w:bottom w:w="57" w:type="dxa"/>
                    <w:right w:w="57" w:type="dxa"/>
                  </w:tcMar>
                  <w:vAlign w:val="center"/>
                </w:tcPr>
                <w:p w14:paraId="67A5EB22">
                  <w:pPr>
                    <w:pStyle w:val="116"/>
                    <w:rPr>
                      <w:sz w:val="18"/>
                      <w:szCs w:val="18"/>
                    </w:rPr>
                  </w:pPr>
                  <w:r>
                    <w:rPr>
                      <w:sz w:val="18"/>
                      <w:szCs w:val="18"/>
                    </w:rPr>
                    <w:t>A4.5</w:t>
                  </w:r>
                </w:p>
                <w:p w14:paraId="633A5396">
                  <w:pPr>
                    <w:pStyle w:val="116"/>
                    <w:rPr>
                      <w:sz w:val="18"/>
                      <w:szCs w:val="18"/>
                    </w:rPr>
                  </w:pPr>
                  <w:r>
                    <w:rPr>
                      <w:sz w:val="18"/>
                      <w:szCs w:val="18"/>
                    </w:rPr>
                    <w:t>资源</w:t>
                  </w:r>
                </w:p>
                <w:p w14:paraId="4FA59255">
                  <w:pPr>
                    <w:pStyle w:val="116"/>
                    <w:rPr>
                      <w:sz w:val="18"/>
                      <w:szCs w:val="18"/>
                    </w:rPr>
                  </w:pPr>
                  <w:r>
                    <w:rPr>
                      <w:sz w:val="18"/>
                      <w:szCs w:val="18"/>
                    </w:rPr>
                    <w:t>综合</w:t>
                  </w:r>
                </w:p>
                <w:p w14:paraId="1DEBB5DA">
                  <w:pPr>
                    <w:pStyle w:val="116"/>
                    <w:rPr>
                      <w:sz w:val="18"/>
                      <w:szCs w:val="18"/>
                    </w:rPr>
                  </w:pPr>
                  <w:r>
                    <w:rPr>
                      <w:sz w:val="18"/>
                      <w:szCs w:val="18"/>
                    </w:rPr>
                    <w:t>利用</w:t>
                  </w:r>
                </w:p>
              </w:tc>
              <w:tc>
                <w:tcPr>
                  <w:tcW w:w="2397" w:type="pct"/>
                  <w:tcMar>
                    <w:top w:w="57" w:type="dxa"/>
                    <w:left w:w="57" w:type="dxa"/>
                    <w:bottom w:w="57" w:type="dxa"/>
                    <w:right w:w="57" w:type="dxa"/>
                  </w:tcMar>
                  <w:vAlign w:val="center"/>
                </w:tcPr>
                <w:p w14:paraId="76AC200B">
                  <w:pPr>
                    <w:pStyle w:val="116"/>
                    <w:rPr>
                      <w:sz w:val="18"/>
                      <w:szCs w:val="18"/>
                    </w:rPr>
                  </w:pPr>
                  <w:r>
                    <w:rPr>
                      <w:sz w:val="18"/>
                      <w:szCs w:val="18"/>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378" w:type="pct"/>
                  <w:tcMar>
                    <w:top w:w="57" w:type="dxa"/>
                    <w:left w:w="57" w:type="dxa"/>
                    <w:bottom w:w="57" w:type="dxa"/>
                    <w:right w:w="57" w:type="dxa"/>
                  </w:tcMar>
                  <w:vAlign w:val="center"/>
                </w:tcPr>
                <w:p w14:paraId="44563A82">
                  <w:pPr>
                    <w:pStyle w:val="116"/>
                    <w:rPr>
                      <w:sz w:val="18"/>
                      <w:szCs w:val="18"/>
                    </w:rPr>
                  </w:pPr>
                  <w:r>
                    <w:rPr>
                      <w:sz w:val="18"/>
                      <w:szCs w:val="18"/>
                    </w:rPr>
                    <w:t>本项目各项固体废物均能得到合理处置，符合固体废物源头减量、资源化利用和无害化处置的要求。</w:t>
                  </w:r>
                </w:p>
              </w:tc>
              <w:tc>
                <w:tcPr>
                  <w:tcW w:w="354" w:type="pct"/>
                  <w:tcMar>
                    <w:top w:w="57" w:type="dxa"/>
                    <w:left w:w="57" w:type="dxa"/>
                    <w:bottom w:w="57" w:type="dxa"/>
                    <w:right w:w="57" w:type="dxa"/>
                  </w:tcMar>
                  <w:vAlign w:val="center"/>
                </w:tcPr>
                <w:p w14:paraId="3B0F7873">
                  <w:pPr>
                    <w:pStyle w:val="116"/>
                    <w:rPr>
                      <w:sz w:val="18"/>
                      <w:szCs w:val="18"/>
                    </w:rPr>
                  </w:pPr>
                  <w:r>
                    <w:rPr>
                      <w:sz w:val="18"/>
                      <w:szCs w:val="18"/>
                    </w:rPr>
                    <w:t>符合</w:t>
                  </w:r>
                </w:p>
              </w:tc>
            </w:tr>
          </w:tbl>
          <w:p w14:paraId="3E82FCDB">
            <w:pPr>
              <w:pStyle w:val="113"/>
              <w:rPr>
                <w:rFonts w:hint="eastAsia"/>
                <w:szCs w:val="21"/>
              </w:rPr>
            </w:pPr>
          </w:p>
          <w:p w14:paraId="422B35F9">
            <w:pPr>
              <w:pStyle w:val="113"/>
              <w:rPr>
                <w:rFonts w:hint="eastAsia"/>
              </w:rPr>
            </w:pPr>
            <w:r>
              <w:rPr>
                <w:rFonts w:hint="eastAsia"/>
              </w:rPr>
              <w:t>4）昌吉回族自治州管控要求</w:t>
            </w:r>
          </w:p>
          <w:p w14:paraId="0EC27830">
            <w:pPr>
              <w:pStyle w:val="113"/>
              <w:rPr>
                <w:rFonts w:hint="eastAsia"/>
                <w:szCs w:val="21"/>
              </w:rPr>
            </w:pPr>
            <w:r>
              <w:rPr>
                <w:rFonts w:hint="eastAsia"/>
                <w:szCs w:val="21"/>
              </w:rPr>
              <w:t>本项目与《</w:t>
            </w:r>
            <w:r>
              <w:rPr>
                <w:szCs w:val="21"/>
              </w:rPr>
              <w:t>昌吉回族自治州“三线一单”生态环境分区管控方案及生态环境准入清单</w:t>
            </w:r>
            <w:r>
              <w:rPr>
                <w:rFonts w:hint="eastAsia"/>
                <w:szCs w:val="21"/>
              </w:rPr>
              <w:t>（动态更新版）》中“三线一单”符合性分析见</w:t>
            </w:r>
            <w:r>
              <w:rPr>
                <w:szCs w:val="21"/>
              </w:rPr>
              <w:fldChar w:fldCharType="begin"/>
            </w:r>
            <w:r>
              <w:rPr>
                <w:szCs w:val="21"/>
              </w:rPr>
              <w:instrText xml:space="preserve"> </w:instrText>
            </w:r>
            <w:r>
              <w:rPr>
                <w:rFonts w:hint="eastAsia"/>
                <w:szCs w:val="21"/>
              </w:rPr>
              <w:instrText xml:space="preserve">REF _Ref138685006 \h</w:instrText>
            </w:r>
            <w:r>
              <w:rPr>
                <w:szCs w:val="21"/>
              </w:rPr>
              <w:instrText xml:space="preserve">  \* MERGEFORMAT </w:instrText>
            </w:r>
            <w:r>
              <w:rPr>
                <w:szCs w:val="21"/>
              </w:rPr>
              <w:fldChar w:fldCharType="separate"/>
            </w:r>
            <w:r>
              <w:rPr>
                <w:rFonts w:hint="eastAsia"/>
              </w:rPr>
              <w:t>表4</w:t>
            </w:r>
            <w:r>
              <w:rPr>
                <w:szCs w:val="21"/>
              </w:rPr>
              <w:fldChar w:fldCharType="end"/>
            </w:r>
            <w:r>
              <w:rPr>
                <w:rFonts w:hint="eastAsia"/>
                <w:szCs w:val="21"/>
              </w:rPr>
              <w:t>。</w:t>
            </w:r>
          </w:p>
          <w:p w14:paraId="55897E09">
            <w:pPr>
              <w:pStyle w:val="12"/>
              <w:spacing w:before="120"/>
              <w:rPr>
                <w:rFonts w:hint="eastAsia" w:hAnsi="宋体"/>
              </w:rPr>
            </w:pPr>
            <w:bookmarkStart w:id="8" w:name="_Ref138685006"/>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4</w:t>
            </w:r>
            <w:r>
              <w:rPr>
                <w:rFonts w:hAnsi="宋体"/>
              </w:rPr>
              <w:fldChar w:fldCharType="end"/>
            </w:r>
            <w:bookmarkEnd w:id="8"/>
            <w:r>
              <w:rPr>
                <w:rFonts w:hAnsi="宋体"/>
              </w:rPr>
              <w:t xml:space="preserve">  </w:t>
            </w:r>
            <w:r>
              <w:rPr>
                <w:rFonts w:hint="eastAsia" w:hAnsi="宋体"/>
                <w:szCs w:val="21"/>
              </w:rPr>
              <w:t>与</w:t>
            </w:r>
            <w:r>
              <w:rPr>
                <w:szCs w:val="21"/>
              </w:rPr>
              <w:t>昌吉回族自治州</w:t>
            </w:r>
            <w:r>
              <w:rPr>
                <w:rFonts w:hint="eastAsia"/>
                <w:szCs w:val="21"/>
              </w:rPr>
              <w:t>“</w:t>
            </w:r>
            <w:r>
              <w:rPr>
                <w:szCs w:val="21"/>
              </w:rPr>
              <w:t>三线一单</w:t>
            </w:r>
            <w:r>
              <w:rPr>
                <w:rFonts w:hint="eastAsia"/>
                <w:szCs w:val="21"/>
              </w:rPr>
              <w:t>”（动态更新版）</w:t>
            </w:r>
            <w:r>
              <w:rPr>
                <w:rFonts w:hint="eastAsia" w:hAnsi="宋体"/>
                <w:szCs w:val="21"/>
              </w:rPr>
              <w:t>符合性分析表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73"/>
              <w:gridCol w:w="4253"/>
              <w:gridCol w:w="2268"/>
              <w:gridCol w:w="755"/>
            </w:tblGrid>
            <w:tr w14:paraId="146A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66" w:type="pct"/>
                  <w:gridSpan w:val="2"/>
                  <w:tcBorders>
                    <w:top w:val="single" w:color="auto" w:sz="4" w:space="0"/>
                    <w:left w:val="single" w:color="auto" w:sz="4" w:space="0"/>
                    <w:bottom w:val="single" w:color="auto" w:sz="4" w:space="0"/>
                    <w:right w:val="single" w:color="auto" w:sz="4" w:space="0"/>
                  </w:tcBorders>
                  <w:vAlign w:val="center"/>
                </w:tcPr>
                <w:p w14:paraId="16B50CBE">
                  <w:pPr>
                    <w:pStyle w:val="116"/>
                    <w:rPr>
                      <w:rFonts w:hint="eastAsia" w:hAnsi="宋体"/>
                    </w:rPr>
                  </w:pPr>
                  <w:r>
                    <w:rPr>
                      <w:rFonts w:hint="eastAsia" w:hAnsi="宋体"/>
                    </w:rPr>
                    <w:t>序号</w:t>
                  </w:r>
                </w:p>
              </w:tc>
              <w:tc>
                <w:tcPr>
                  <w:tcW w:w="2475" w:type="pct"/>
                  <w:tcBorders>
                    <w:top w:val="single" w:color="auto" w:sz="4" w:space="0"/>
                    <w:left w:val="single" w:color="auto" w:sz="4" w:space="0"/>
                    <w:bottom w:val="single" w:color="auto" w:sz="4" w:space="0"/>
                    <w:right w:val="single" w:color="auto" w:sz="4" w:space="0"/>
                  </w:tcBorders>
                  <w:vAlign w:val="center"/>
                </w:tcPr>
                <w:p w14:paraId="3AB696F6">
                  <w:pPr>
                    <w:pStyle w:val="116"/>
                    <w:rPr>
                      <w:rFonts w:hint="eastAsia" w:hAnsi="宋体"/>
                    </w:rPr>
                  </w:pPr>
                  <w:r>
                    <w:rPr>
                      <w:rFonts w:hAnsi="宋体"/>
                    </w:rPr>
                    <w:t>昌州政办发</w:t>
                  </w:r>
                  <w:r>
                    <w:rPr>
                      <w:rFonts w:hint="eastAsia" w:hAnsi="宋体"/>
                    </w:rPr>
                    <w:t>[</w:t>
                  </w:r>
                  <w:r>
                    <w:rPr>
                      <w:rFonts w:hAnsi="宋体"/>
                    </w:rPr>
                    <w:t>2021]41号</w:t>
                  </w:r>
                  <w:r>
                    <w:rPr>
                      <w:rFonts w:hint="eastAsia" w:hAnsi="宋体"/>
                    </w:rPr>
                    <w:t>要求</w:t>
                  </w:r>
                </w:p>
              </w:tc>
              <w:tc>
                <w:tcPr>
                  <w:tcW w:w="1320" w:type="pct"/>
                  <w:tcBorders>
                    <w:top w:val="single" w:color="auto" w:sz="4" w:space="0"/>
                    <w:left w:val="single" w:color="auto" w:sz="4" w:space="0"/>
                    <w:bottom w:val="single" w:color="auto" w:sz="4" w:space="0"/>
                    <w:right w:val="single" w:color="auto" w:sz="4" w:space="0"/>
                  </w:tcBorders>
                  <w:vAlign w:val="center"/>
                </w:tcPr>
                <w:p w14:paraId="09CA2F37">
                  <w:pPr>
                    <w:pStyle w:val="116"/>
                    <w:rPr>
                      <w:rFonts w:hint="eastAsia" w:hAnsi="宋体"/>
                    </w:rPr>
                  </w:pPr>
                  <w:r>
                    <w:rPr>
                      <w:rFonts w:hint="eastAsia" w:hAnsi="宋体"/>
                    </w:rPr>
                    <w:t>项目情况</w:t>
                  </w:r>
                </w:p>
              </w:tc>
              <w:tc>
                <w:tcPr>
                  <w:tcW w:w="439" w:type="pct"/>
                  <w:tcBorders>
                    <w:top w:val="single" w:color="auto" w:sz="4" w:space="0"/>
                    <w:left w:val="single" w:color="auto" w:sz="4" w:space="0"/>
                    <w:bottom w:val="single" w:color="auto" w:sz="4" w:space="0"/>
                    <w:right w:val="single" w:color="auto" w:sz="4" w:space="0"/>
                  </w:tcBorders>
                  <w:vAlign w:val="center"/>
                </w:tcPr>
                <w:p w14:paraId="2C820E46">
                  <w:pPr>
                    <w:pStyle w:val="116"/>
                    <w:rPr>
                      <w:rFonts w:hint="eastAsia" w:hAnsi="宋体"/>
                    </w:rPr>
                  </w:pPr>
                  <w:r>
                    <w:rPr>
                      <w:rFonts w:hint="eastAsia" w:hAnsi="宋体"/>
                    </w:rPr>
                    <w:t>符合性</w:t>
                  </w:r>
                </w:p>
              </w:tc>
            </w:tr>
            <w:tr w14:paraId="0083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tcBorders>
                    <w:top w:val="single" w:color="auto" w:sz="4" w:space="0"/>
                    <w:left w:val="single" w:color="auto" w:sz="4" w:space="0"/>
                    <w:bottom w:val="single" w:color="auto" w:sz="4" w:space="0"/>
                    <w:right w:val="single" w:color="auto" w:sz="4" w:space="0"/>
                  </w:tcBorders>
                  <w:vAlign w:val="center"/>
                </w:tcPr>
                <w:p w14:paraId="4F879D6A">
                  <w:pPr>
                    <w:pStyle w:val="116"/>
                    <w:rPr>
                      <w:rFonts w:hint="eastAsia" w:hAnsi="宋体"/>
                    </w:rPr>
                  </w:pPr>
                  <w:r>
                    <w:rPr>
                      <w:rFonts w:hint="eastAsia" w:hAnsi="宋体"/>
                    </w:rPr>
                    <w:t>1</w:t>
                  </w:r>
                </w:p>
              </w:tc>
              <w:tc>
                <w:tcPr>
                  <w:tcW w:w="508" w:type="pct"/>
                  <w:tcBorders>
                    <w:top w:val="single" w:color="auto" w:sz="4" w:space="0"/>
                    <w:left w:val="single" w:color="auto" w:sz="4" w:space="0"/>
                    <w:bottom w:val="single" w:color="auto" w:sz="4" w:space="0"/>
                    <w:right w:val="single" w:color="auto" w:sz="4" w:space="0"/>
                  </w:tcBorders>
                  <w:vAlign w:val="center"/>
                </w:tcPr>
                <w:p w14:paraId="20AEC473">
                  <w:pPr>
                    <w:pStyle w:val="116"/>
                    <w:rPr>
                      <w:rFonts w:hint="eastAsia" w:hAnsi="宋体"/>
                    </w:rPr>
                  </w:pPr>
                  <w:r>
                    <w:rPr>
                      <w:rFonts w:hint="eastAsia" w:hAnsi="宋体"/>
                    </w:rPr>
                    <w:t>生态保护红线</w:t>
                  </w:r>
                </w:p>
              </w:tc>
              <w:tc>
                <w:tcPr>
                  <w:tcW w:w="2475" w:type="pct"/>
                  <w:tcBorders>
                    <w:top w:val="single" w:color="auto" w:sz="4" w:space="0"/>
                    <w:left w:val="single" w:color="auto" w:sz="4" w:space="0"/>
                    <w:bottom w:val="single" w:color="auto" w:sz="4" w:space="0"/>
                    <w:right w:val="single" w:color="auto" w:sz="4" w:space="0"/>
                  </w:tcBorders>
                  <w:vAlign w:val="center"/>
                </w:tcPr>
                <w:p w14:paraId="6BB33A8E">
                  <w:pPr>
                    <w:pStyle w:val="116"/>
                    <w:rPr>
                      <w:rFonts w:hint="eastAsia" w:hAnsi="宋体"/>
                    </w:rPr>
                  </w:pPr>
                  <w:r>
                    <w:rPr>
                      <w:rFonts w:hint="eastAsia" w:hAnsi="宋体"/>
                    </w:rPr>
                    <w:t>生态功能不降低、面积不减少、性质不改变”的基本要求，生态空间得到优化和保护，生态保护红线得到严格管控。生态功能保持稳定，生物多样性水平稳步提升，生态空间保护体系基本建立</w:t>
                  </w:r>
                </w:p>
              </w:tc>
              <w:tc>
                <w:tcPr>
                  <w:tcW w:w="1320" w:type="pct"/>
                  <w:tcBorders>
                    <w:top w:val="single" w:color="auto" w:sz="4" w:space="0"/>
                    <w:left w:val="single" w:color="auto" w:sz="4" w:space="0"/>
                    <w:bottom w:val="single" w:color="auto" w:sz="4" w:space="0"/>
                    <w:right w:val="single" w:color="auto" w:sz="4" w:space="0"/>
                  </w:tcBorders>
                  <w:vAlign w:val="center"/>
                </w:tcPr>
                <w:p w14:paraId="55DA3E10">
                  <w:pPr>
                    <w:pStyle w:val="116"/>
                    <w:rPr>
                      <w:rFonts w:hint="eastAsia" w:hAnsi="宋体"/>
                    </w:rPr>
                  </w:pPr>
                  <w:r>
                    <w:rPr>
                      <w:rFonts w:hint="eastAsia" w:hAnsi="宋体"/>
                    </w:rPr>
                    <w:t>本项目周边无自然保护区、饮用水源保护区等生态保护目标，不占用生态红线，总体符合新疆生态保护红线规划要求</w:t>
                  </w:r>
                </w:p>
              </w:tc>
              <w:tc>
                <w:tcPr>
                  <w:tcW w:w="439" w:type="pct"/>
                  <w:tcBorders>
                    <w:top w:val="single" w:color="auto" w:sz="4" w:space="0"/>
                    <w:left w:val="single" w:color="auto" w:sz="4" w:space="0"/>
                    <w:bottom w:val="single" w:color="auto" w:sz="4" w:space="0"/>
                    <w:right w:val="single" w:color="auto" w:sz="4" w:space="0"/>
                  </w:tcBorders>
                  <w:vAlign w:val="center"/>
                </w:tcPr>
                <w:p w14:paraId="308BDBFB">
                  <w:pPr>
                    <w:pStyle w:val="116"/>
                    <w:rPr>
                      <w:rFonts w:hint="eastAsia" w:hAnsi="宋体"/>
                    </w:rPr>
                  </w:pPr>
                  <w:r>
                    <w:rPr>
                      <w:rFonts w:hint="eastAsia" w:hAnsi="宋体"/>
                    </w:rPr>
                    <w:t>符合</w:t>
                  </w:r>
                </w:p>
              </w:tc>
            </w:tr>
            <w:tr w14:paraId="62C1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tcBorders>
                    <w:top w:val="single" w:color="auto" w:sz="4" w:space="0"/>
                    <w:left w:val="single" w:color="auto" w:sz="4" w:space="0"/>
                    <w:bottom w:val="single" w:color="auto" w:sz="4" w:space="0"/>
                    <w:right w:val="single" w:color="auto" w:sz="4" w:space="0"/>
                  </w:tcBorders>
                  <w:vAlign w:val="center"/>
                </w:tcPr>
                <w:p w14:paraId="3D0F4B6A">
                  <w:pPr>
                    <w:pStyle w:val="116"/>
                    <w:rPr>
                      <w:rFonts w:hint="eastAsia" w:hAnsi="宋体"/>
                    </w:rPr>
                  </w:pPr>
                  <w:r>
                    <w:rPr>
                      <w:rFonts w:hint="eastAsia" w:hAnsi="宋体"/>
                    </w:rPr>
                    <w:t>2</w:t>
                  </w:r>
                </w:p>
              </w:tc>
              <w:tc>
                <w:tcPr>
                  <w:tcW w:w="508" w:type="pct"/>
                  <w:tcBorders>
                    <w:top w:val="single" w:color="auto" w:sz="4" w:space="0"/>
                    <w:left w:val="single" w:color="auto" w:sz="4" w:space="0"/>
                    <w:bottom w:val="single" w:color="auto" w:sz="4" w:space="0"/>
                    <w:right w:val="single" w:color="auto" w:sz="4" w:space="0"/>
                  </w:tcBorders>
                  <w:vAlign w:val="center"/>
                </w:tcPr>
                <w:p w14:paraId="0ECCEC4A">
                  <w:pPr>
                    <w:pStyle w:val="116"/>
                    <w:rPr>
                      <w:rFonts w:hint="eastAsia" w:hAnsi="宋体"/>
                    </w:rPr>
                  </w:pPr>
                  <w:r>
                    <w:rPr>
                      <w:rFonts w:hint="eastAsia" w:hAnsi="宋体"/>
                    </w:rPr>
                    <w:t>资源利用上线</w:t>
                  </w:r>
                </w:p>
              </w:tc>
              <w:tc>
                <w:tcPr>
                  <w:tcW w:w="2475" w:type="pct"/>
                  <w:tcBorders>
                    <w:top w:val="single" w:color="auto" w:sz="4" w:space="0"/>
                    <w:left w:val="single" w:color="auto" w:sz="4" w:space="0"/>
                    <w:bottom w:val="single" w:color="auto" w:sz="4" w:space="0"/>
                    <w:right w:val="single" w:color="auto" w:sz="4" w:space="0"/>
                  </w:tcBorders>
                  <w:vAlign w:val="center"/>
                </w:tcPr>
                <w:p w14:paraId="66919C76">
                  <w:pPr>
                    <w:pStyle w:val="116"/>
                    <w:rPr>
                      <w:rFonts w:hint="eastAsia" w:hAnsi="宋体"/>
                    </w:rPr>
                  </w:pPr>
                  <w:r>
                    <w:rPr>
                      <w:rFonts w:hint="eastAsia" w:hAnsi="宋体"/>
                    </w:rPr>
                    <w:t>强化节约集约利用，持续提升资源能源利用效率，水资源、土地资源、能源消耗等达到自治区、自治州下达的总量和强度控制目标。加快区域低碳发展，积极推动昌吉市国家级低碳试点城市发挥低碳试点示范和引领作用。</w:t>
                  </w:r>
                </w:p>
              </w:tc>
              <w:tc>
                <w:tcPr>
                  <w:tcW w:w="1320" w:type="pct"/>
                  <w:tcBorders>
                    <w:top w:val="single" w:color="auto" w:sz="4" w:space="0"/>
                    <w:left w:val="single" w:color="auto" w:sz="4" w:space="0"/>
                    <w:bottom w:val="single" w:color="auto" w:sz="4" w:space="0"/>
                    <w:right w:val="single" w:color="auto" w:sz="4" w:space="0"/>
                  </w:tcBorders>
                  <w:vAlign w:val="center"/>
                </w:tcPr>
                <w:p w14:paraId="7B2C42F0">
                  <w:pPr>
                    <w:pStyle w:val="116"/>
                    <w:rPr>
                      <w:rFonts w:hint="eastAsia" w:hAnsi="宋体"/>
                    </w:rPr>
                  </w:pPr>
                  <w:r>
                    <w:rPr>
                      <w:rFonts w:hint="eastAsia" w:hAnsi="宋体"/>
                    </w:rPr>
                    <w:t>本项目施工过程钻井废水循环利用，消耗新鲜水量较少，不新增永久占地，临时占地在施工结束后及时进行植被恢复。本项目水的消耗量相对区域资源利用总量较小，符合资源利用上线要求</w:t>
                  </w:r>
                </w:p>
              </w:tc>
              <w:tc>
                <w:tcPr>
                  <w:tcW w:w="439" w:type="pct"/>
                  <w:tcBorders>
                    <w:top w:val="single" w:color="auto" w:sz="4" w:space="0"/>
                    <w:left w:val="single" w:color="auto" w:sz="4" w:space="0"/>
                    <w:bottom w:val="single" w:color="auto" w:sz="4" w:space="0"/>
                    <w:right w:val="single" w:color="auto" w:sz="4" w:space="0"/>
                  </w:tcBorders>
                  <w:vAlign w:val="center"/>
                </w:tcPr>
                <w:p w14:paraId="6C10FCDA">
                  <w:pPr>
                    <w:pStyle w:val="116"/>
                    <w:rPr>
                      <w:rFonts w:hint="eastAsia" w:hAnsi="宋体"/>
                    </w:rPr>
                  </w:pPr>
                  <w:r>
                    <w:rPr>
                      <w:rFonts w:hint="eastAsia" w:hAnsi="宋体"/>
                    </w:rPr>
                    <w:t>符合</w:t>
                  </w:r>
                </w:p>
              </w:tc>
            </w:tr>
            <w:tr w14:paraId="42BD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tcBorders>
                    <w:top w:val="single" w:color="auto" w:sz="4" w:space="0"/>
                    <w:left w:val="single" w:color="auto" w:sz="4" w:space="0"/>
                    <w:bottom w:val="single" w:color="auto" w:sz="4" w:space="0"/>
                    <w:right w:val="single" w:color="auto" w:sz="4" w:space="0"/>
                  </w:tcBorders>
                  <w:vAlign w:val="center"/>
                </w:tcPr>
                <w:p w14:paraId="270A31BD">
                  <w:pPr>
                    <w:pStyle w:val="116"/>
                    <w:rPr>
                      <w:rFonts w:hint="eastAsia" w:hAnsi="宋体"/>
                    </w:rPr>
                  </w:pPr>
                  <w:r>
                    <w:rPr>
                      <w:rFonts w:hint="eastAsia" w:hAnsi="宋体"/>
                    </w:rPr>
                    <w:t>3</w:t>
                  </w:r>
                </w:p>
              </w:tc>
              <w:tc>
                <w:tcPr>
                  <w:tcW w:w="508" w:type="pct"/>
                  <w:tcBorders>
                    <w:top w:val="single" w:color="auto" w:sz="4" w:space="0"/>
                    <w:left w:val="single" w:color="auto" w:sz="4" w:space="0"/>
                    <w:bottom w:val="single" w:color="auto" w:sz="4" w:space="0"/>
                    <w:right w:val="single" w:color="auto" w:sz="4" w:space="0"/>
                  </w:tcBorders>
                  <w:vAlign w:val="center"/>
                </w:tcPr>
                <w:p w14:paraId="4D22E172">
                  <w:pPr>
                    <w:pStyle w:val="116"/>
                    <w:rPr>
                      <w:rFonts w:hint="eastAsia" w:hAnsi="宋体"/>
                    </w:rPr>
                  </w:pPr>
                  <w:r>
                    <w:rPr>
                      <w:rFonts w:hint="eastAsia" w:hAnsi="宋体"/>
                    </w:rPr>
                    <w:t>环境质量底线</w:t>
                  </w:r>
                </w:p>
              </w:tc>
              <w:tc>
                <w:tcPr>
                  <w:tcW w:w="2475" w:type="pct"/>
                  <w:tcBorders>
                    <w:top w:val="single" w:color="auto" w:sz="4" w:space="0"/>
                    <w:left w:val="single" w:color="auto" w:sz="4" w:space="0"/>
                    <w:bottom w:val="single" w:color="auto" w:sz="4" w:space="0"/>
                    <w:right w:val="single" w:color="auto" w:sz="4" w:space="0"/>
                  </w:tcBorders>
                  <w:vAlign w:val="center"/>
                </w:tcPr>
                <w:p w14:paraId="4E2FBEAF">
                  <w:pPr>
                    <w:pStyle w:val="116"/>
                    <w:rPr>
                      <w:rFonts w:hint="eastAsia" w:hAnsi="宋体"/>
                    </w:rPr>
                  </w:pPr>
                  <w:r>
                    <w:rPr>
                      <w:rFonts w:hint="eastAsia" w:hAnsi="宋体"/>
                    </w:rPr>
                    <w:t>全州环境空气质量有所提升，重污染天数持续减少，已达标城市环境空气质量保持稳定，未达标城市环境空气质量持续改善；</w:t>
                  </w:r>
                  <w:r>
                    <w:rPr>
                      <w:rFonts w:hAnsi="宋体"/>
                    </w:rPr>
                    <w:t>全州河流、湖库及城镇集中式饮用水水源地水质稳中向好。地下水质量考核点位水质级别保持稳定，地下水污染风险得到有效控制</w:t>
                  </w:r>
                  <w:r>
                    <w:rPr>
                      <w:rFonts w:hint="eastAsia" w:hAnsi="宋体"/>
                    </w:rPr>
                    <w:t>，地下水超采得到严格控制；全州土壤环境质量保持稳定，污染地块安全利用水平稳中有升，土壤环境风险得到进一步管控。</w:t>
                  </w:r>
                </w:p>
              </w:tc>
              <w:tc>
                <w:tcPr>
                  <w:tcW w:w="1320" w:type="pct"/>
                  <w:tcBorders>
                    <w:top w:val="single" w:color="auto" w:sz="4" w:space="0"/>
                    <w:left w:val="single" w:color="auto" w:sz="4" w:space="0"/>
                    <w:bottom w:val="single" w:color="auto" w:sz="4" w:space="0"/>
                    <w:right w:val="single" w:color="auto" w:sz="4" w:space="0"/>
                  </w:tcBorders>
                  <w:vAlign w:val="center"/>
                </w:tcPr>
                <w:p w14:paraId="18B32B79">
                  <w:pPr>
                    <w:pStyle w:val="134"/>
                  </w:pPr>
                  <w:r>
                    <w:rPr>
                      <w:rFonts w:hint="eastAsia" w:hAnsi="宋体"/>
                    </w:rPr>
                    <w:t>本项目产生的废气、噪声等污染影为短时影响，随着施工的结束即消失，</w:t>
                  </w:r>
                  <w:r>
                    <w:rPr>
                      <w:rFonts w:hint="eastAsia" w:ascii="宋体" w:hAnsi="宋体"/>
                    </w:rPr>
                    <w:t>井下作业废液</w:t>
                  </w:r>
                </w:p>
                <w:p w14:paraId="2C978A03">
                  <w:pPr>
                    <w:pStyle w:val="87"/>
                    <w:rPr>
                      <w:rFonts w:hint="eastAsia" w:hAnsi="宋体"/>
                    </w:rPr>
                  </w:pPr>
                  <w:r>
                    <w:rPr>
                      <w:rFonts w:hint="eastAsia" w:hAnsi="宋体"/>
                    </w:rPr>
                    <w:t>、压裂返排液、钻井固废均可以得到妥善处置，生态影响可依靠后期自然恢复。综上，项目对区域环境质量的影响较小，项目建设后不会突破环境质量底线</w:t>
                  </w:r>
                </w:p>
              </w:tc>
              <w:tc>
                <w:tcPr>
                  <w:tcW w:w="439" w:type="pct"/>
                  <w:tcBorders>
                    <w:top w:val="single" w:color="auto" w:sz="4" w:space="0"/>
                    <w:left w:val="single" w:color="auto" w:sz="4" w:space="0"/>
                    <w:bottom w:val="single" w:color="auto" w:sz="4" w:space="0"/>
                    <w:right w:val="single" w:color="auto" w:sz="4" w:space="0"/>
                  </w:tcBorders>
                  <w:vAlign w:val="center"/>
                </w:tcPr>
                <w:p w14:paraId="4C9672C0">
                  <w:pPr>
                    <w:pStyle w:val="116"/>
                    <w:rPr>
                      <w:rFonts w:hint="eastAsia" w:hAnsi="宋体"/>
                    </w:rPr>
                  </w:pPr>
                  <w:r>
                    <w:rPr>
                      <w:rFonts w:hint="eastAsia" w:hAnsi="宋体"/>
                    </w:rPr>
                    <w:t>符合</w:t>
                  </w:r>
                </w:p>
              </w:tc>
            </w:tr>
            <w:tr w14:paraId="437F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tcBorders>
                    <w:top w:val="single" w:color="auto" w:sz="4" w:space="0"/>
                    <w:left w:val="single" w:color="auto" w:sz="4" w:space="0"/>
                    <w:right w:val="single" w:color="auto" w:sz="4" w:space="0"/>
                  </w:tcBorders>
                  <w:vAlign w:val="center"/>
                </w:tcPr>
                <w:p w14:paraId="6970742A">
                  <w:pPr>
                    <w:pStyle w:val="116"/>
                    <w:rPr>
                      <w:rFonts w:hint="eastAsia" w:hAnsi="宋体"/>
                    </w:rPr>
                  </w:pPr>
                  <w:r>
                    <w:rPr>
                      <w:rFonts w:hint="eastAsia" w:hAnsi="宋体"/>
                    </w:rPr>
                    <w:t>4</w:t>
                  </w:r>
                </w:p>
              </w:tc>
              <w:tc>
                <w:tcPr>
                  <w:tcW w:w="508" w:type="pct"/>
                  <w:tcBorders>
                    <w:top w:val="single" w:color="auto" w:sz="4" w:space="0"/>
                    <w:left w:val="single" w:color="auto" w:sz="4" w:space="0"/>
                    <w:bottom w:val="single" w:color="auto" w:sz="4" w:space="0"/>
                    <w:right w:val="single" w:color="auto" w:sz="4" w:space="0"/>
                  </w:tcBorders>
                  <w:vAlign w:val="center"/>
                </w:tcPr>
                <w:p w14:paraId="1A255098">
                  <w:pPr>
                    <w:pStyle w:val="116"/>
                    <w:rPr>
                      <w:rFonts w:hint="eastAsia" w:hAnsi="宋体"/>
                    </w:rPr>
                  </w:pPr>
                  <w:r>
                    <w:rPr>
                      <w:rFonts w:hint="eastAsia" w:hAnsi="宋体"/>
                    </w:rPr>
                    <w:t>生态环境准入清单</w:t>
                  </w:r>
                </w:p>
              </w:tc>
              <w:tc>
                <w:tcPr>
                  <w:tcW w:w="2475" w:type="pct"/>
                  <w:tcBorders>
                    <w:top w:val="single" w:color="auto" w:sz="4" w:space="0"/>
                    <w:left w:val="single" w:color="auto" w:sz="4" w:space="0"/>
                    <w:bottom w:val="single" w:color="auto" w:sz="4" w:space="0"/>
                    <w:right w:val="single" w:color="auto" w:sz="4" w:space="0"/>
                  </w:tcBorders>
                  <w:vAlign w:val="center"/>
                </w:tcPr>
                <w:p w14:paraId="249188D3">
                  <w:pPr>
                    <w:pStyle w:val="116"/>
                    <w:rPr>
                      <w:rFonts w:hint="eastAsia" w:hAnsi="宋体"/>
                    </w:rPr>
                  </w:pPr>
                  <w:r>
                    <w:rPr>
                      <w:rFonts w:hint="eastAsia" w:hAnsi="宋体"/>
                    </w:rPr>
                    <w:t>以环境管控单元为基础，从空间布局约束、污染物排放管控、环境风险防控和资源利用效率四个方面严格环境准入。</w:t>
                  </w:r>
                </w:p>
                <w:p w14:paraId="7E3AC391">
                  <w:pPr>
                    <w:pStyle w:val="116"/>
                    <w:rPr>
                      <w:rFonts w:hint="eastAsia" w:hAnsi="宋体"/>
                    </w:rPr>
                  </w:pPr>
                  <w:r>
                    <w:rPr>
                      <w:rFonts w:hint="eastAsia" w:hAnsi="宋体"/>
                    </w:rPr>
                    <w:t>一般管控单元主要落实生态环境保护基本要求，推动区域环境质量持续改善。</w:t>
                  </w:r>
                </w:p>
              </w:tc>
              <w:tc>
                <w:tcPr>
                  <w:tcW w:w="1320" w:type="pct"/>
                  <w:tcBorders>
                    <w:top w:val="single" w:color="auto" w:sz="4" w:space="0"/>
                    <w:left w:val="single" w:color="auto" w:sz="4" w:space="0"/>
                    <w:bottom w:val="single" w:color="auto" w:sz="4" w:space="0"/>
                    <w:right w:val="single" w:color="auto" w:sz="4" w:space="0"/>
                  </w:tcBorders>
                  <w:vAlign w:val="center"/>
                </w:tcPr>
                <w:p w14:paraId="2F6D855E">
                  <w:pPr>
                    <w:pStyle w:val="116"/>
                    <w:rPr>
                      <w:rFonts w:hint="eastAsia" w:hAnsi="宋体"/>
                    </w:rPr>
                  </w:pPr>
                  <w:r>
                    <w:rPr>
                      <w:rFonts w:hint="eastAsia" w:hAnsi="宋体"/>
                    </w:rPr>
                    <w:t>本项目位于玛纳斯县一般</w:t>
                  </w:r>
                  <w:r>
                    <w:t>管控单元</w:t>
                  </w:r>
                </w:p>
              </w:tc>
              <w:tc>
                <w:tcPr>
                  <w:tcW w:w="439" w:type="pct"/>
                  <w:tcBorders>
                    <w:top w:val="single" w:color="auto" w:sz="4" w:space="0"/>
                    <w:left w:val="single" w:color="auto" w:sz="4" w:space="0"/>
                    <w:bottom w:val="single" w:color="auto" w:sz="4" w:space="0"/>
                    <w:right w:val="single" w:color="auto" w:sz="4" w:space="0"/>
                  </w:tcBorders>
                  <w:vAlign w:val="center"/>
                </w:tcPr>
                <w:p w14:paraId="17A22C03">
                  <w:pPr>
                    <w:pStyle w:val="116"/>
                    <w:rPr>
                      <w:rFonts w:hint="eastAsia" w:hAnsi="宋体"/>
                    </w:rPr>
                  </w:pPr>
                  <w:r>
                    <w:rPr>
                      <w:rFonts w:hint="eastAsia" w:hAnsi="宋体"/>
                    </w:rPr>
                    <w:t>符合</w:t>
                  </w:r>
                </w:p>
              </w:tc>
            </w:tr>
          </w:tbl>
          <w:p w14:paraId="7EF38B21">
            <w:pPr>
              <w:pStyle w:val="127"/>
              <w:rPr>
                <w:rFonts w:hint="eastAsia"/>
                <w:szCs w:val="20"/>
              </w:rPr>
            </w:pPr>
          </w:p>
          <w:p w14:paraId="602D6FC4">
            <w:pPr>
              <w:pStyle w:val="127"/>
              <w:rPr>
                <w:rFonts w:hint="eastAsia"/>
                <w:szCs w:val="20"/>
              </w:rPr>
            </w:pPr>
            <w:r>
              <w:rPr>
                <w:rFonts w:hint="eastAsia"/>
                <w:szCs w:val="20"/>
              </w:rPr>
              <w:t>5）与玛纳斯县环境管控单元生态环境准入清单符合性分析</w:t>
            </w:r>
          </w:p>
          <w:p w14:paraId="4A2598EE">
            <w:pPr>
              <w:pStyle w:val="127"/>
              <w:rPr>
                <w:rFonts w:hint="eastAsia"/>
                <w:szCs w:val="20"/>
              </w:rPr>
            </w:pPr>
            <w:r>
              <w:rPr>
                <w:rFonts w:hint="eastAsia"/>
                <w:szCs w:val="20"/>
              </w:rPr>
              <w:t>根据《关于发布昌吉回族自治州生态环境分区管控动态更新成果的公告》（昌吉州人民政府，</w:t>
            </w:r>
            <w:r>
              <w:rPr>
                <w:szCs w:val="20"/>
              </w:rPr>
              <w:t>2025</w:t>
            </w:r>
            <w:r>
              <w:rPr>
                <w:rFonts w:hint="eastAsia"/>
                <w:szCs w:val="20"/>
              </w:rPr>
              <w:t>年1月</w:t>
            </w:r>
            <w:r>
              <w:rPr>
                <w:szCs w:val="20"/>
              </w:rPr>
              <w:t>10</w:t>
            </w:r>
            <w:r>
              <w:rPr>
                <w:rFonts w:hint="eastAsia"/>
                <w:szCs w:val="20"/>
              </w:rPr>
              <w:t>日），本项目属于玛纳斯县一般管控单元，本项目与管控要求相符性分析详见</w:t>
            </w:r>
            <w:r>
              <w:fldChar w:fldCharType="begin"/>
            </w:r>
            <w:r>
              <w:rPr>
                <w:szCs w:val="20"/>
              </w:rPr>
              <w:instrText xml:space="preserve"> </w:instrText>
            </w:r>
            <w:r>
              <w:rPr>
                <w:rFonts w:hint="eastAsia"/>
                <w:szCs w:val="20"/>
              </w:rPr>
              <w:instrText xml:space="preserve">REF _Ref138671949 \h</w:instrText>
            </w:r>
            <w:r>
              <w:rPr>
                <w:szCs w:val="20"/>
              </w:rPr>
              <w:instrText xml:space="preserve"> </w:instrText>
            </w:r>
            <w:r>
              <w:instrText xml:space="preserve"> \* MERGEFORMAT </w:instrText>
            </w:r>
            <w:r>
              <w:fldChar w:fldCharType="separate"/>
            </w:r>
            <w:r>
              <w:rPr>
                <w:rFonts w:hint="eastAsia"/>
              </w:rPr>
              <w:t>表5</w:t>
            </w:r>
            <w:r>
              <w:fldChar w:fldCharType="end"/>
            </w:r>
            <w:r>
              <w:rPr>
                <w:rFonts w:hint="eastAsia"/>
                <w:szCs w:val="20"/>
              </w:rPr>
              <w:t>。</w:t>
            </w:r>
          </w:p>
          <w:p w14:paraId="1F68BD6D">
            <w:pPr>
              <w:pStyle w:val="12"/>
              <w:spacing w:before="120"/>
              <w:rPr>
                <w:rFonts w:hint="eastAsia" w:hAnsi="宋体" w:cs="宋体"/>
              </w:rPr>
            </w:pPr>
            <w:bookmarkStart w:id="9" w:name="_Ref138671949"/>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5</w:t>
            </w:r>
            <w:r>
              <w:rPr>
                <w:rFonts w:hAnsi="宋体"/>
              </w:rPr>
              <w:fldChar w:fldCharType="end"/>
            </w:r>
            <w:bookmarkEnd w:id="9"/>
            <w:r>
              <w:rPr>
                <w:rFonts w:hAnsi="宋体"/>
              </w:rPr>
              <w:t xml:space="preserve">  </w:t>
            </w:r>
            <w:r>
              <w:rPr>
                <w:rFonts w:hint="eastAsia"/>
              </w:rPr>
              <w:t>与“玛纳斯县一般管控单元管控要求”相符性分析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852"/>
              <w:gridCol w:w="1067"/>
              <w:gridCol w:w="2631"/>
              <w:gridCol w:w="2230"/>
              <w:gridCol w:w="812"/>
            </w:tblGrid>
            <w:tr w14:paraId="3C44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0"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037C5B5">
                  <w:pPr>
                    <w:pStyle w:val="116"/>
                    <w:rPr>
                      <w:rFonts w:hint="eastAsia" w:hAnsi="宋体" w:cs="宋体"/>
                      <w:sz w:val="18"/>
                      <w:szCs w:val="18"/>
                    </w:rPr>
                  </w:pPr>
                  <w:r>
                    <w:rPr>
                      <w:rFonts w:hint="eastAsia" w:hAnsi="宋体" w:cs="宋体"/>
                      <w:sz w:val="18"/>
                      <w:szCs w:val="18"/>
                    </w:rPr>
                    <w:t>单元编号</w:t>
                  </w:r>
                </w:p>
              </w:tc>
              <w:tc>
                <w:tcPr>
                  <w:tcW w:w="49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6A872B1">
                  <w:pPr>
                    <w:pStyle w:val="116"/>
                    <w:rPr>
                      <w:rFonts w:hint="eastAsia" w:hAnsi="宋体" w:cs="宋体"/>
                      <w:sz w:val="18"/>
                      <w:szCs w:val="18"/>
                    </w:rPr>
                  </w:pPr>
                  <w:r>
                    <w:rPr>
                      <w:rFonts w:hint="eastAsia" w:hAnsi="宋体" w:cs="宋体"/>
                      <w:sz w:val="18"/>
                      <w:szCs w:val="18"/>
                    </w:rPr>
                    <w:t>环境管控</w:t>
                  </w:r>
                </w:p>
              </w:tc>
              <w:tc>
                <w:tcPr>
                  <w:tcW w:w="2152" w:type="pct"/>
                  <w:gridSpan w:val="2"/>
                  <w:tcBorders>
                    <w:top w:val="single" w:color="auto" w:sz="4" w:space="0"/>
                    <w:left w:val="single" w:color="auto" w:sz="4" w:space="0"/>
                    <w:right w:val="single" w:color="auto" w:sz="4" w:space="0"/>
                  </w:tcBorders>
                  <w:tcMar>
                    <w:top w:w="57" w:type="dxa"/>
                    <w:left w:w="108" w:type="dxa"/>
                    <w:bottom w:w="57" w:type="dxa"/>
                    <w:right w:w="108" w:type="dxa"/>
                  </w:tcMar>
                  <w:vAlign w:val="center"/>
                </w:tcPr>
                <w:p w14:paraId="4744C425">
                  <w:pPr>
                    <w:pStyle w:val="116"/>
                    <w:rPr>
                      <w:rFonts w:hint="eastAsia" w:hAnsi="宋体" w:cs="宋体"/>
                      <w:sz w:val="18"/>
                      <w:szCs w:val="18"/>
                    </w:rPr>
                  </w:pPr>
                  <w:r>
                    <w:rPr>
                      <w:rFonts w:hint="eastAsia" w:hAnsi="宋体" w:cs="宋体"/>
                      <w:sz w:val="18"/>
                      <w:szCs w:val="18"/>
                    </w:rPr>
                    <w:t>管控要求</w:t>
                  </w:r>
                </w:p>
              </w:tc>
              <w:tc>
                <w:tcPr>
                  <w:tcW w:w="129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425A319">
                  <w:pPr>
                    <w:pStyle w:val="116"/>
                    <w:rPr>
                      <w:rFonts w:hint="eastAsia" w:hAnsi="宋体" w:cs="宋体"/>
                      <w:sz w:val="18"/>
                      <w:szCs w:val="18"/>
                    </w:rPr>
                  </w:pPr>
                  <w:r>
                    <w:rPr>
                      <w:rFonts w:hint="eastAsia" w:hAnsi="宋体" w:cs="宋体"/>
                      <w:sz w:val="18"/>
                      <w:szCs w:val="18"/>
                    </w:rPr>
                    <w:t>项目情况</w:t>
                  </w:r>
                </w:p>
              </w:tc>
              <w:tc>
                <w:tcPr>
                  <w:tcW w:w="472"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22EEBFE3">
                  <w:pPr>
                    <w:pStyle w:val="116"/>
                    <w:rPr>
                      <w:rFonts w:hint="eastAsia" w:hAnsi="宋体" w:cs="宋体"/>
                      <w:sz w:val="18"/>
                      <w:szCs w:val="18"/>
                    </w:rPr>
                  </w:pPr>
                  <w:r>
                    <w:rPr>
                      <w:rFonts w:hint="eastAsia" w:hAnsi="宋体" w:cs="宋体"/>
                      <w:sz w:val="18"/>
                      <w:szCs w:val="18"/>
                    </w:rPr>
                    <w:t>相符性</w:t>
                  </w:r>
                </w:p>
              </w:tc>
            </w:tr>
            <w:tr w14:paraId="686D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0" w:type="pct"/>
                  <w:vMerge w:val="restart"/>
                  <w:tcBorders>
                    <w:top w:val="single" w:color="auto" w:sz="4" w:space="0"/>
                    <w:left w:val="single" w:color="auto" w:sz="4" w:space="0"/>
                    <w:right w:val="single" w:color="auto" w:sz="4" w:space="0"/>
                  </w:tcBorders>
                  <w:tcMar>
                    <w:top w:w="57" w:type="dxa"/>
                    <w:left w:w="108" w:type="dxa"/>
                    <w:bottom w:w="57" w:type="dxa"/>
                    <w:right w:w="108" w:type="dxa"/>
                  </w:tcMar>
                  <w:vAlign w:val="center"/>
                </w:tcPr>
                <w:p w14:paraId="210E8492">
                  <w:pPr>
                    <w:pStyle w:val="116"/>
                    <w:rPr>
                      <w:rFonts w:hint="eastAsia" w:hAnsi="宋体" w:cs="宋体"/>
                      <w:sz w:val="18"/>
                      <w:szCs w:val="18"/>
                    </w:rPr>
                  </w:pPr>
                  <w:r>
                    <w:rPr>
                      <w:rFonts w:hint="eastAsia" w:hAnsi="宋体" w:cs="宋体"/>
                      <w:sz w:val="18"/>
                      <w:szCs w:val="18"/>
                    </w:rPr>
                    <w:t>ZH65230</w:t>
                  </w:r>
                </w:p>
                <w:p w14:paraId="45009FD1">
                  <w:pPr>
                    <w:pStyle w:val="116"/>
                    <w:rPr>
                      <w:rFonts w:hint="eastAsia" w:hAnsi="宋体" w:cs="宋体"/>
                      <w:sz w:val="18"/>
                      <w:szCs w:val="18"/>
                    </w:rPr>
                  </w:pPr>
                  <w:r>
                    <w:rPr>
                      <w:rFonts w:hint="eastAsia" w:hAnsi="宋体" w:cs="宋体"/>
                      <w:sz w:val="18"/>
                      <w:szCs w:val="18"/>
                    </w:rPr>
                    <w:t>230001</w:t>
                  </w:r>
                </w:p>
              </w:tc>
              <w:tc>
                <w:tcPr>
                  <w:tcW w:w="49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3FFF968">
                  <w:pPr>
                    <w:pStyle w:val="116"/>
                    <w:rPr>
                      <w:rFonts w:hint="eastAsia" w:hAnsi="宋体" w:cs="宋体"/>
                      <w:sz w:val="18"/>
                      <w:szCs w:val="18"/>
                    </w:rPr>
                  </w:pPr>
                  <w:r>
                    <w:rPr>
                      <w:rFonts w:hint="eastAsia" w:hAnsi="宋体" w:cs="宋体"/>
                      <w:sz w:val="18"/>
                      <w:szCs w:val="18"/>
                    </w:rPr>
                    <w:t>空间布</w:t>
                  </w:r>
                </w:p>
                <w:p w14:paraId="4E0FD483">
                  <w:pPr>
                    <w:pStyle w:val="116"/>
                    <w:rPr>
                      <w:rFonts w:hint="eastAsia" w:hAnsi="宋体" w:cs="宋体"/>
                      <w:sz w:val="18"/>
                      <w:szCs w:val="18"/>
                    </w:rPr>
                  </w:pPr>
                  <w:r>
                    <w:rPr>
                      <w:rFonts w:hint="eastAsia" w:hAnsi="宋体" w:cs="宋体"/>
                      <w:sz w:val="18"/>
                      <w:szCs w:val="18"/>
                    </w:rPr>
                    <w:t>局约束</w:t>
                  </w:r>
                </w:p>
              </w:tc>
              <w:tc>
                <w:tcPr>
                  <w:tcW w:w="621" w:type="pct"/>
                  <w:tcBorders>
                    <w:left w:val="single" w:color="auto" w:sz="4" w:space="0"/>
                    <w:right w:val="single" w:color="auto" w:sz="4" w:space="0"/>
                  </w:tcBorders>
                  <w:tcMar>
                    <w:top w:w="57" w:type="dxa"/>
                    <w:left w:w="108" w:type="dxa"/>
                    <w:bottom w:w="57" w:type="dxa"/>
                    <w:right w:w="108" w:type="dxa"/>
                  </w:tcMar>
                  <w:vAlign w:val="center"/>
                </w:tcPr>
                <w:p w14:paraId="5058753D">
                  <w:pPr>
                    <w:pStyle w:val="116"/>
                    <w:rPr>
                      <w:rFonts w:hint="eastAsia" w:hAnsi="宋体" w:cs="宋体"/>
                      <w:sz w:val="18"/>
                      <w:szCs w:val="18"/>
                    </w:rPr>
                  </w:pPr>
                  <w:r>
                    <w:rPr>
                      <w:rFonts w:hint="eastAsia" w:hAnsi="宋体" w:cs="宋体"/>
                      <w:sz w:val="18"/>
                      <w:szCs w:val="18"/>
                    </w:rPr>
                    <w:t>执行自治区总体准入要求中关于一般环境管控单元的准入要求</w:t>
                  </w:r>
                </w:p>
              </w:tc>
              <w:tc>
                <w:tcPr>
                  <w:tcW w:w="1531" w:type="pct"/>
                  <w:tcBorders>
                    <w:left w:val="single" w:color="auto" w:sz="4" w:space="0"/>
                    <w:right w:val="single" w:color="auto" w:sz="4" w:space="0"/>
                  </w:tcBorders>
                  <w:tcMar>
                    <w:top w:w="57" w:type="dxa"/>
                    <w:left w:w="108" w:type="dxa"/>
                    <w:bottom w:w="57" w:type="dxa"/>
                    <w:right w:w="108" w:type="dxa"/>
                  </w:tcMar>
                  <w:vAlign w:val="center"/>
                </w:tcPr>
                <w:p w14:paraId="6C968238">
                  <w:pPr>
                    <w:pStyle w:val="116"/>
                    <w:rPr>
                      <w:rFonts w:hint="eastAsia" w:hAnsi="宋体" w:cs="宋体"/>
                      <w:sz w:val="18"/>
                      <w:szCs w:val="18"/>
                    </w:rPr>
                  </w:pPr>
                  <w:r>
                    <w:rPr>
                      <w:rFonts w:hint="eastAsia" w:hAnsi="宋体" w:cs="宋体"/>
                      <w:sz w:val="18"/>
                      <w:szCs w:val="18"/>
                    </w:rPr>
                    <w:t>1、应符合国土空间规划要求。</w:t>
                  </w:r>
                </w:p>
                <w:p w14:paraId="650E8F1C">
                  <w:pPr>
                    <w:pStyle w:val="116"/>
                    <w:rPr>
                      <w:rFonts w:hint="eastAsia" w:hAnsi="宋体" w:cs="宋体"/>
                      <w:sz w:val="18"/>
                      <w:szCs w:val="18"/>
                    </w:rPr>
                  </w:pPr>
                  <w:r>
                    <w:rPr>
                      <w:rFonts w:hint="eastAsia" w:hAnsi="宋体" w:cs="宋体"/>
                      <w:sz w:val="18"/>
                      <w:szCs w:val="18"/>
                    </w:rPr>
                    <w:t>2、应符合《产业结构调整指导目录》（2024年本）《市场准入负面清单》（202</w:t>
                  </w:r>
                  <w:r>
                    <w:rPr>
                      <w:rFonts w:hAnsi="宋体" w:cs="宋体"/>
                      <w:sz w:val="18"/>
                      <w:szCs w:val="18"/>
                    </w:rPr>
                    <w:t>2</w:t>
                  </w:r>
                  <w:r>
                    <w:rPr>
                      <w:rFonts w:hint="eastAsia" w:hAnsi="宋体" w:cs="宋体"/>
                      <w:sz w:val="18"/>
                      <w:szCs w:val="18"/>
                    </w:rPr>
                    <w:t>年版）。</w:t>
                  </w:r>
                </w:p>
              </w:tc>
              <w:tc>
                <w:tcPr>
                  <w:tcW w:w="129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A950D3E">
                  <w:pPr>
                    <w:pStyle w:val="116"/>
                    <w:rPr>
                      <w:rFonts w:hint="eastAsia" w:hAnsi="宋体" w:cs="宋体"/>
                      <w:sz w:val="18"/>
                      <w:szCs w:val="18"/>
                    </w:rPr>
                  </w:pPr>
                  <w:r>
                    <w:rPr>
                      <w:rFonts w:hint="eastAsia" w:hAnsi="宋体" w:cs="宋体"/>
                      <w:sz w:val="18"/>
                      <w:szCs w:val="18"/>
                    </w:rPr>
                    <w:t>1、本项目不占用基本农田、生态红线，符合国土空间规划要求。</w:t>
                  </w:r>
                </w:p>
                <w:p w14:paraId="432A0F31">
                  <w:pPr>
                    <w:pStyle w:val="116"/>
                    <w:rPr>
                      <w:rFonts w:hint="eastAsia" w:hAnsi="宋体" w:cs="宋体"/>
                      <w:sz w:val="18"/>
                      <w:szCs w:val="18"/>
                    </w:rPr>
                  </w:pPr>
                  <w:r>
                    <w:rPr>
                      <w:rFonts w:hint="eastAsia" w:hAnsi="宋体" w:cs="宋体"/>
                      <w:sz w:val="18"/>
                      <w:szCs w:val="18"/>
                    </w:rPr>
                    <w:t>2、据《产业结构调整指导目录》（2</w:t>
                  </w:r>
                  <w:r>
                    <w:rPr>
                      <w:rFonts w:hAnsi="宋体" w:cs="宋体"/>
                      <w:sz w:val="18"/>
                      <w:szCs w:val="18"/>
                    </w:rPr>
                    <w:t>024</w:t>
                  </w:r>
                  <w:r>
                    <w:rPr>
                      <w:rFonts w:hint="eastAsia" w:hAnsi="宋体" w:cs="宋体"/>
                      <w:sz w:val="18"/>
                      <w:szCs w:val="18"/>
                    </w:rPr>
                    <w:t>年本）本项目属于鼓励类石油天然气开采：</w:t>
                  </w:r>
                  <w:r>
                    <w:rPr>
                      <w:rFonts w:hint="eastAsia" w:hAnsi="宋体" w:cs="宋体"/>
                      <w:b/>
                      <w:sz w:val="18"/>
                      <w:szCs w:val="18"/>
                    </w:rPr>
                    <w:t>常规石油</w:t>
                  </w:r>
                  <w:r>
                    <w:rPr>
                      <w:rFonts w:hint="eastAsia" w:hAnsi="宋体" w:cs="宋体"/>
                      <w:sz w:val="18"/>
                      <w:szCs w:val="18"/>
                    </w:rPr>
                    <w:t>、天然气勘探与开采，页岩气、页岩油、致密油（气）、油气、页燃气水合物等非常规资源勘探开发。本项目属于“许可准入类-采矿”，不属于“禁止准入类”。</w:t>
                  </w:r>
                </w:p>
              </w:tc>
              <w:tc>
                <w:tcPr>
                  <w:tcW w:w="472"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F959475">
                  <w:pPr>
                    <w:pStyle w:val="116"/>
                    <w:rPr>
                      <w:rFonts w:hint="eastAsia" w:hAnsi="宋体" w:cs="宋体"/>
                      <w:sz w:val="18"/>
                      <w:szCs w:val="18"/>
                    </w:rPr>
                  </w:pPr>
                  <w:r>
                    <w:rPr>
                      <w:rFonts w:hint="eastAsia" w:hAnsi="宋体" w:cs="宋体"/>
                      <w:sz w:val="18"/>
                      <w:szCs w:val="18"/>
                    </w:rPr>
                    <w:t>符合</w:t>
                  </w:r>
                </w:p>
              </w:tc>
            </w:tr>
            <w:tr w14:paraId="1069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0" w:type="pct"/>
                  <w:vMerge w:val="continue"/>
                  <w:tcBorders>
                    <w:left w:val="single" w:color="auto" w:sz="4" w:space="0"/>
                    <w:right w:val="single" w:color="auto" w:sz="4" w:space="0"/>
                  </w:tcBorders>
                  <w:tcMar>
                    <w:top w:w="57" w:type="dxa"/>
                    <w:left w:w="108" w:type="dxa"/>
                    <w:bottom w:w="57" w:type="dxa"/>
                    <w:right w:w="108" w:type="dxa"/>
                  </w:tcMar>
                  <w:vAlign w:val="center"/>
                </w:tcPr>
                <w:p w14:paraId="3BD28D42">
                  <w:pPr>
                    <w:pStyle w:val="116"/>
                    <w:jc w:val="both"/>
                    <w:rPr>
                      <w:rFonts w:hint="eastAsia" w:hAnsi="宋体" w:cs="宋体"/>
                      <w:sz w:val="18"/>
                      <w:szCs w:val="18"/>
                    </w:rPr>
                  </w:pPr>
                </w:p>
              </w:tc>
              <w:tc>
                <w:tcPr>
                  <w:tcW w:w="49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781E702">
                  <w:pPr>
                    <w:pStyle w:val="116"/>
                    <w:rPr>
                      <w:rFonts w:hint="eastAsia" w:hAnsi="宋体" w:cs="宋体"/>
                      <w:sz w:val="18"/>
                      <w:szCs w:val="18"/>
                    </w:rPr>
                  </w:pPr>
                  <w:r>
                    <w:rPr>
                      <w:rFonts w:hint="eastAsia" w:hAnsi="宋体" w:cs="宋体"/>
                      <w:sz w:val="18"/>
                      <w:szCs w:val="18"/>
                    </w:rPr>
                    <w:t>污染物</w:t>
                  </w:r>
                </w:p>
                <w:p w14:paraId="6D87FCE2">
                  <w:pPr>
                    <w:pStyle w:val="116"/>
                    <w:rPr>
                      <w:rFonts w:hint="eastAsia" w:hAnsi="宋体" w:cs="宋体"/>
                      <w:sz w:val="18"/>
                      <w:szCs w:val="18"/>
                    </w:rPr>
                  </w:pPr>
                  <w:r>
                    <w:rPr>
                      <w:rFonts w:hint="eastAsia" w:hAnsi="宋体" w:cs="宋体"/>
                      <w:sz w:val="18"/>
                      <w:szCs w:val="18"/>
                    </w:rPr>
                    <w:t>排放管控</w:t>
                  </w:r>
                </w:p>
              </w:tc>
              <w:tc>
                <w:tcPr>
                  <w:tcW w:w="621" w:type="pct"/>
                  <w:tcBorders>
                    <w:left w:val="single" w:color="auto" w:sz="4" w:space="0"/>
                    <w:right w:val="single" w:color="auto" w:sz="4" w:space="0"/>
                  </w:tcBorders>
                  <w:tcMar>
                    <w:top w:w="57" w:type="dxa"/>
                    <w:left w:w="108" w:type="dxa"/>
                    <w:bottom w:w="57" w:type="dxa"/>
                    <w:right w:w="108" w:type="dxa"/>
                  </w:tcMar>
                  <w:vAlign w:val="center"/>
                </w:tcPr>
                <w:p w14:paraId="14FD5D0B">
                  <w:pPr>
                    <w:pStyle w:val="116"/>
                    <w:rPr>
                      <w:rFonts w:hint="eastAsia" w:hAnsi="宋体" w:cs="宋体"/>
                      <w:sz w:val="18"/>
                      <w:szCs w:val="18"/>
                    </w:rPr>
                  </w:pPr>
                  <w:r>
                    <w:rPr>
                      <w:rFonts w:hint="eastAsia" w:hAnsi="宋体" w:cs="宋体"/>
                      <w:sz w:val="18"/>
                      <w:szCs w:val="18"/>
                    </w:rPr>
                    <w:t>执行自治区总体准入要求中关于一般环境管控单元的准入要求</w:t>
                  </w:r>
                </w:p>
              </w:tc>
              <w:tc>
                <w:tcPr>
                  <w:tcW w:w="1531" w:type="pct"/>
                  <w:tcBorders>
                    <w:left w:val="single" w:color="auto" w:sz="4" w:space="0"/>
                    <w:right w:val="single" w:color="auto" w:sz="4" w:space="0"/>
                  </w:tcBorders>
                  <w:tcMar>
                    <w:top w:w="57" w:type="dxa"/>
                    <w:left w:w="108" w:type="dxa"/>
                    <w:bottom w:w="57" w:type="dxa"/>
                    <w:right w:w="108" w:type="dxa"/>
                  </w:tcMar>
                  <w:vAlign w:val="center"/>
                </w:tcPr>
                <w:p w14:paraId="56E73B0C">
                  <w:pPr>
                    <w:pStyle w:val="116"/>
                    <w:rPr>
                      <w:rFonts w:hint="eastAsia" w:hAnsi="宋体" w:cs="宋体"/>
                      <w:sz w:val="18"/>
                      <w:szCs w:val="18"/>
                    </w:rPr>
                  </w:pPr>
                  <w:r>
                    <w:rPr>
                      <w:rFonts w:hAnsi="宋体" w:cs="宋体"/>
                      <w:sz w:val="18"/>
                      <w:szCs w:val="18"/>
                    </w:rPr>
                    <w:t>1、</w:t>
                  </w:r>
                  <w:r>
                    <w:rPr>
                      <w:rFonts w:hint="eastAsia" w:hAnsi="宋体" w:cs="宋体"/>
                      <w:sz w:val="18"/>
                      <w:szCs w:val="18"/>
                    </w:rPr>
                    <w:t>污染物排放执行国家和地方相关标准中普适性要求。</w:t>
                  </w:r>
                </w:p>
                <w:p w14:paraId="7FD12335">
                  <w:pPr>
                    <w:pStyle w:val="116"/>
                    <w:rPr>
                      <w:rFonts w:hint="eastAsia" w:hAnsi="宋体" w:cs="宋体"/>
                      <w:sz w:val="18"/>
                      <w:szCs w:val="18"/>
                    </w:rPr>
                  </w:pPr>
                  <w:r>
                    <w:rPr>
                      <w:rFonts w:hint="eastAsia" w:hAnsi="宋体" w:cs="宋体"/>
                      <w:sz w:val="18"/>
                      <w:szCs w:val="18"/>
                    </w:rPr>
                    <w:t>2、“乌-昌-石”区域内，已实施超低排放的涉气排污单位，其实施超低排放改造的污染因子执行超低排放限值，其他污染因子执行特别排放限值和特别控制要求。</w:t>
                  </w:r>
                </w:p>
                <w:p w14:paraId="15409F05">
                  <w:pPr>
                    <w:pStyle w:val="116"/>
                    <w:rPr>
                      <w:rFonts w:hint="eastAsia" w:hAnsi="宋体" w:cs="宋体"/>
                      <w:sz w:val="18"/>
                      <w:szCs w:val="18"/>
                    </w:rPr>
                  </w:pPr>
                  <w:r>
                    <w:rPr>
                      <w:rFonts w:hint="eastAsia" w:hAnsi="宋体" w:cs="宋体"/>
                      <w:sz w:val="18"/>
                      <w:szCs w:val="18"/>
                    </w:rPr>
                    <w:t>3、加强农业面源污染治理，科学合理使用化肥农药，逐步削减农业面源污染物排放量。</w:t>
                  </w:r>
                </w:p>
                <w:p w14:paraId="6B21328B">
                  <w:pPr>
                    <w:pStyle w:val="116"/>
                    <w:rPr>
                      <w:rFonts w:hint="eastAsia" w:hAnsi="宋体" w:cs="宋体"/>
                      <w:sz w:val="18"/>
                      <w:szCs w:val="18"/>
                    </w:rPr>
                  </w:pPr>
                  <w:r>
                    <w:rPr>
                      <w:rFonts w:hint="eastAsia" w:hAnsi="宋体" w:cs="宋体"/>
                      <w:sz w:val="18"/>
                      <w:szCs w:val="18"/>
                    </w:rPr>
                    <w:t>4、施工工地全面落实“六个百分之百”（施工工地周边围挡、物料堆放覆盖、出入车辆冲洗、施工现场地面硬化、拆迁工地湿法作业、渣土车辆密闭运输）。</w:t>
                  </w:r>
                </w:p>
              </w:tc>
              <w:tc>
                <w:tcPr>
                  <w:tcW w:w="129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39CF362">
                  <w:pPr>
                    <w:pStyle w:val="116"/>
                    <w:rPr>
                      <w:rFonts w:hint="eastAsia" w:hAnsi="宋体" w:cs="宋体"/>
                      <w:sz w:val="18"/>
                      <w:szCs w:val="18"/>
                    </w:rPr>
                  </w:pPr>
                  <w:r>
                    <w:rPr>
                      <w:rFonts w:hint="eastAsia" w:hAnsi="宋体" w:cs="宋体"/>
                      <w:sz w:val="18"/>
                      <w:szCs w:val="18"/>
                    </w:rPr>
                    <w:t>1、本项目产生的废气、废水、噪声、固废均得到妥善处置，能够满足国家和地方的对应标准。</w:t>
                  </w:r>
                </w:p>
                <w:p w14:paraId="6731DE3A">
                  <w:pPr>
                    <w:pStyle w:val="116"/>
                    <w:rPr>
                      <w:rFonts w:hint="eastAsia" w:hAnsi="宋体" w:cs="宋体"/>
                      <w:sz w:val="18"/>
                      <w:szCs w:val="18"/>
                    </w:rPr>
                  </w:pPr>
                  <w:r>
                    <w:rPr>
                      <w:rFonts w:hint="eastAsia" w:hAnsi="宋体" w:cs="宋体"/>
                      <w:sz w:val="18"/>
                      <w:szCs w:val="18"/>
                    </w:rPr>
                    <w:t>2、本项目生物质锅炉配套低氮燃烧器，废气经炉内SNCR脱硝+袋式除尘+脱硫塔脱硫处理后由1根15m高，内径0.27m排气筒排放，锅炉废气排放达到《锅炉大气污染物排放标准》（GB 13271-2014）表2中燃气锅炉大气污染物排放限值要求。</w:t>
                  </w:r>
                </w:p>
                <w:p w14:paraId="7F273900">
                  <w:pPr>
                    <w:pStyle w:val="116"/>
                    <w:rPr>
                      <w:rFonts w:hint="eastAsia" w:hAnsi="宋体" w:cs="宋体"/>
                      <w:sz w:val="18"/>
                      <w:szCs w:val="18"/>
                    </w:rPr>
                  </w:pPr>
                  <w:r>
                    <w:rPr>
                      <w:rFonts w:hint="eastAsia" w:hAnsi="宋体" w:cs="宋体"/>
                      <w:sz w:val="18"/>
                      <w:szCs w:val="18"/>
                    </w:rPr>
                    <w:t>3、本项目不涉及面源。</w:t>
                  </w:r>
                </w:p>
                <w:p w14:paraId="1EC29E5A">
                  <w:pPr>
                    <w:pStyle w:val="116"/>
                    <w:rPr>
                      <w:rFonts w:hint="eastAsia" w:hAnsi="宋体" w:cs="宋体"/>
                      <w:sz w:val="18"/>
                      <w:szCs w:val="18"/>
                    </w:rPr>
                  </w:pPr>
                  <w:r>
                    <w:rPr>
                      <w:rFonts w:hint="eastAsia" w:hAnsi="宋体" w:cs="宋体"/>
                      <w:sz w:val="18"/>
                      <w:szCs w:val="18"/>
                    </w:rPr>
                    <w:t>4、施工场地设置围挡，场地地面硬化，减少扬尘的产生。</w:t>
                  </w:r>
                </w:p>
              </w:tc>
              <w:tc>
                <w:tcPr>
                  <w:tcW w:w="472"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2B41A529">
                  <w:pPr>
                    <w:pStyle w:val="116"/>
                    <w:rPr>
                      <w:rFonts w:hint="eastAsia" w:hAnsi="宋体" w:cs="宋体"/>
                      <w:sz w:val="18"/>
                      <w:szCs w:val="18"/>
                    </w:rPr>
                  </w:pPr>
                  <w:r>
                    <w:rPr>
                      <w:rFonts w:hint="eastAsia" w:hAnsi="宋体" w:cs="宋体"/>
                      <w:sz w:val="18"/>
                      <w:szCs w:val="18"/>
                    </w:rPr>
                    <w:t>符合</w:t>
                  </w:r>
                </w:p>
              </w:tc>
            </w:tr>
            <w:tr w14:paraId="1BCE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0" w:type="pct"/>
                  <w:vMerge w:val="continue"/>
                  <w:tcBorders>
                    <w:left w:val="single" w:color="auto" w:sz="4" w:space="0"/>
                    <w:right w:val="single" w:color="auto" w:sz="4" w:space="0"/>
                  </w:tcBorders>
                  <w:tcMar>
                    <w:top w:w="57" w:type="dxa"/>
                    <w:left w:w="108" w:type="dxa"/>
                    <w:bottom w:w="57" w:type="dxa"/>
                    <w:right w:w="108" w:type="dxa"/>
                  </w:tcMar>
                  <w:vAlign w:val="center"/>
                </w:tcPr>
                <w:p w14:paraId="4608AB8E">
                  <w:pPr>
                    <w:pStyle w:val="116"/>
                    <w:jc w:val="both"/>
                    <w:rPr>
                      <w:rFonts w:hint="eastAsia" w:hAnsi="宋体" w:cs="宋体"/>
                      <w:sz w:val="18"/>
                      <w:szCs w:val="18"/>
                    </w:rPr>
                  </w:pPr>
                </w:p>
              </w:tc>
              <w:tc>
                <w:tcPr>
                  <w:tcW w:w="49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5AA3303">
                  <w:pPr>
                    <w:pStyle w:val="116"/>
                    <w:rPr>
                      <w:rFonts w:hint="eastAsia" w:hAnsi="宋体" w:cs="宋体"/>
                      <w:sz w:val="18"/>
                      <w:szCs w:val="18"/>
                      <w:shd w:val="clear" w:color="auto" w:fill="FFFFFF"/>
                    </w:rPr>
                  </w:pPr>
                  <w:r>
                    <w:rPr>
                      <w:rFonts w:hint="eastAsia" w:hAnsi="宋体" w:cs="宋体"/>
                      <w:sz w:val="18"/>
                      <w:szCs w:val="18"/>
                      <w:shd w:val="clear" w:color="auto" w:fill="FFFFFF"/>
                    </w:rPr>
                    <w:t>环境风</w:t>
                  </w:r>
                </w:p>
                <w:p w14:paraId="7D73DE6A">
                  <w:pPr>
                    <w:pStyle w:val="116"/>
                    <w:rPr>
                      <w:rFonts w:hint="eastAsia" w:hAnsi="宋体" w:cs="宋体"/>
                      <w:sz w:val="18"/>
                      <w:szCs w:val="18"/>
                    </w:rPr>
                  </w:pPr>
                  <w:r>
                    <w:rPr>
                      <w:rFonts w:hint="eastAsia" w:hAnsi="宋体" w:cs="宋体"/>
                      <w:sz w:val="18"/>
                      <w:szCs w:val="18"/>
                      <w:shd w:val="clear" w:color="auto" w:fill="FFFFFF"/>
                    </w:rPr>
                    <w:t>险防控</w:t>
                  </w:r>
                </w:p>
              </w:tc>
              <w:tc>
                <w:tcPr>
                  <w:tcW w:w="621" w:type="pct"/>
                  <w:tcBorders>
                    <w:left w:val="single" w:color="auto" w:sz="4" w:space="0"/>
                    <w:right w:val="single" w:color="auto" w:sz="4" w:space="0"/>
                  </w:tcBorders>
                  <w:tcMar>
                    <w:top w:w="57" w:type="dxa"/>
                    <w:left w:w="108" w:type="dxa"/>
                    <w:bottom w:w="57" w:type="dxa"/>
                    <w:right w:w="108" w:type="dxa"/>
                  </w:tcMar>
                  <w:vAlign w:val="center"/>
                </w:tcPr>
                <w:p w14:paraId="61289107">
                  <w:pPr>
                    <w:pStyle w:val="116"/>
                    <w:rPr>
                      <w:rFonts w:hint="eastAsia" w:hAnsi="宋体" w:cs="宋体"/>
                      <w:sz w:val="18"/>
                      <w:szCs w:val="18"/>
                    </w:rPr>
                  </w:pPr>
                  <w:r>
                    <w:rPr>
                      <w:rFonts w:hint="eastAsia" w:hAnsi="宋体" w:cs="宋体"/>
                      <w:sz w:val="18"/>
                      <w:szCs w:val="18"/>
                      <w:shd w:val="clear" w:color="auto" w:fill="FFFFFF"/>
                    </w:rPr>
                    <w:t>执行自治区总体要求中纳入关于一般环境管控单元的准入要求</w:t>
                  </w:r>
                </w:p>
              </w:tc>
              <w:tc>
                <w:tcPr>
                  <w:tcW w:w="1531" w:type="pct"/>
                  <w:tcBorders>
                    <w:left w:val="single" w:color="auto" w:sz="4" w:space="0"/>
                    <w:right w:val="single" w:color="auto" w:sz="4" w:space="0"/>
                  </w:tcBorders>
                  <w:tcMar>
                    <w:top w:w="57" w:type="dxa"/>
                    <w:left w:w="108" w:type="dxa"/>
                    <w:bottom w:w="57" w:type="dxa"/>
                    <w:right w:w="108" w:type="dxa"/>
                  </w:tcMar>
                  <w:vAlign w:val="center"/>
                </w:tcPr>
                <w:p w14:paraId="6C509195">
                  <w:pPr>
                    <w:pStyle w:val="116"/>
                    <w:numPr>
                      <w:ilvl w:val="0"/>
                      <w:numId w:val="7"/>
                    </w:numPr>
                    <w:rPr>
                      <w:rFonts w:hint="eastAsia" w:hAnsi="宋体" w:cs="宋体"/>
                      <w:sz w:val="18"/>
                      <w:szCs w:val="18"/>
                      <w:shd w:val="clear" w:color="auto" w:fill="FFFFFF"/>
                    </w:rPr>
                  </w:pPr>
                  <w:r>
                    <w:rPr>
                      <w:rFonts w:hint="eastAsia" w:hAnsi="宋体" w:cs="宋体"/>
                      <w:sz w:val="18"/>
                      <w:szCs w:val="18"/>
                      <w:shd w:val="clear" w:color="auto" w:fill="FFFFFF"/>
                    </w:rPr>
                    <w:t>执行区域资源能源利用的基本要求。</w:t>
                  </w:r>
                </w:p>
                <w:p w14:paraId="69EDEB60">
                  <w:pPr>
                    <w:pStyle w:val="116"/>
                    <w:rPr>
                      <w:rFonts w:hint="eastAsia" w:hAnsi="宋体" w:cs="宋体"/>
                      <w:sz w:val="18"/>
                      <w:szCs w:val="18"/>
                    </w:rPr>
                  </w:pPr>
                  <w:r>
                    <w:rPr>
                      <w:rFonts w:hint="eastAsia" w:hAnsi="宋体" w:cs="宋体"/>
                      <w:sz w:val="18"/>
                      <w:szCs w:val="18"/>
                      <w:shd w:val="clear" w:color="auto" w:fill="FFFFFF"/>
                    </w:rPr>
                    <w:t>2、执行昌吉州总体准入清单中的要求。</w:t>
                  </w:r>
                </w:p>
              </w:tc>
              <w:tc>
                <w:tcPr>
                  <w:tcW w:w="129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76BB197">
                  <w:pPr>
                    <w:pStyle w:val="116"/>
                    <w:rPr>
                      <w:rFonts w:hint="eastAsia" w:hAnsi="宋体" w:cs="宋体"/>
                      <w:sz w:val="18"/>
                      <w:szCs w:val="18"/>
                      <w:shd w:val="clear" w:color="auto" w:fill="FFFFFF"/>
                    </w:rPr>
                  </w:pPr>
                  <w:r>
                    <w:rPr>
                      <w:rFonts w:hint="eastAsia" w:hAnsi="宋体" w:cs="宋体"/>
                      <w:sz w:val="18"/>
                      <w:szCs w:val="18"/>
                      <w:shd w:val="clear" w:color="auto" w:fill="FFFFFF"/>
                    </w:rPr>
                    <w:t>1、本项目一开、二开采用水基钻井液，采用“钻井泥浆不落地技术”，分离的液相交由钻井队回收用于后续钻井液配制。项目废水、危废均得到妥善处置。</w:t>
                  </w:r>
                </w:p>
                <w:p w14:paraId="2988E764">
                  <w:pPr>
                    <w:pStyle w:val="116"/>
                    <w:rPr>
                      <w:rFonts w:hint="eastAsia" w:hAnsi="宋体" w:cs="宋体"/>
                      <w:sz w:val="18"/>
                      <w:szCs w:val="18"/>
                      <w:shd w:val="clear" w:color="auto" w:fill="FFFFFF"/>
                    </w:rPr>
                  </w:pPr>
                  <w:r>
                    <w:rPr>
                      <w:rFonts w:hint="eastAsia" w:hAnsi="宋体" w:cs="宋体"/>
                      <w:sz w:val="18"/>
                      <w:szCs w:val="18"/>
                      <w:shd w:val="clear" w:color="auto" w:fill="FFFFFF"/>
                    </w:rPr>
                    <w:t>2、根据附件5可知，本项目满足昌吉州总体准入清单中的要求。</w:t>
                  </w:r>
                </w:p>
              </w:tc>
              <w:tc>
                <w:tcPr>
                  <w:tcW w:w="472"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421B2A3">
                  <w:pPr>
                    <w:pStyle w:val="116"/>
                    <w:rPr>
                      <w:rFonts w:hint="eastAsia" w:hAnsi="宋体" w:cs="宋体"/>
                      <w:sz w:val="18"/>
                      <w:szCs w:val="18"/>
                    </w:rPr>
                  </w:pPr>
                  <w:r>
                    <w:rPr>
                      <w:rFonts w:hint="eastAsia" w:hAnsi="宋体" w:cs="宋体"/>
                      <w:sz w:val="18"/>
                      <w:szCs w:val="18"/>
                    </w:rPr>
                    <w:t>符合</w:t>
                  </w:r>
                </w:p>
              </w:tc>
            </w:tr>
            <w:tr w14:paraId="0F9D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0" w:type="pct"/>
                  <w:vMerge w:val="continue"/>
                  <w:tcBorders>
                    <w:left w:val="single" w:color="auto" w:sz="4" w:space="0"/>
                    <w:bottom w:val="single" w:color="auto" w:sz="4" w:space="0"/>
                    <w:right w:val="single" w:color="auto" w:sz="4" w:space="0"/>
                  </w:tcBorders>
                  <w:tcMar>
                    <w:top w:w="57" w:type="dxa"/>
                    <w:left w:w="108" w:type="dxa"/>
                    <w:bottom w:w="57" w:type="dxa"/>
                    <w:right w:w="108" w:type="dxa"/>
                  </w:tcMar>
                  <w:vAlign w:val="center"/>
                </w:tcPr>
                <w:p w14:paraId="64AAB7D8">
                  <w:pPr>
                    <w:pStyle w:val="116"/>
                    <w:jc w:val="both"/>
                    <w:rPr>
                      <w:rFonts w:hint="eastAsia" w:hAnsi="宋体" w:cs="宋体"/>
                      <w:sz w:val="18"/>
                      <w:szCs w:val="18"/>
                    </w:rPr>
                  </w:pPr>
                </w:p>
              </w:tc>
              <w:tc>
                <w:tcPr>
                  <w:tcW w:w="49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45BD21B">
                  <w:pPr>
                    <w:pStyle w:val="116"/>
                    <w:rPr>
                      <w:rFonts w:hint="eastAsia" w:hAnsi="宋体" w:cs="宋体"/>
                      <w:sz w:val="18"/>
                      <w:szCs w:val="18"/>
                      <w:shd w:val="clear" w:color="auto" w:fill="FFFFFF"/>
                    </w:rPr>
                  </w:pPr>
                  <w:r>
                    <w:rPr>
                      <w:rFonts w:hint="eastAsia" w:hAnsi="宋体" w:cs="宋体"/>
                      <w:sz w:val="18"/>
                      <w:szCs w:val="18"/>
                      <w:shd w:val="clear" w:color="auto" w:fill="FFFFFF"/>
                    </w:rPr>
                    <w:t>资源利</w:t>
                  </w:r>
                </w:p>
                <w:p w14:paraId="51981A38">
                  <w:pPr>
                    <w:pStyle w:val="116"/>
                    <w:rPr>
                      <w:rFonts w:hint="eastAsia" w:hAnsi="宋体" w:cs="宋体"/>
                      <w:sz w:val="18"/>
                      <w:szCs w:val="18"/>
                    </w:rPr>
                  </w:pPr>
                  <w:r>
                    <w:rPr>
                      <w:rFonts w:hint="eastAsia" w:hAnsi="宋体" w:cs="宋体"/>
                      <w:sz w:val="18"/>
                      <w:szCs w:val="18"/>
                      <w:shd w:val="clear" w:color="auto" w:fill="FFFFFF"/>
                    </w:rPr>
                    <w:t>用效率</w:t>
                  </w:r>
                </w:p>
              </w:tc>
              <w:tc>
                <w:tcPr>
                  <w:tcW w:w="621" w:type="pct"/>
                  <w:tcBorders>
                    <w:left w:val="single" w:color="auto" w:sz="4" w:space="0"/>
                    <w:right w:val="single" w:color="auto" w:sz="4" w:space="0"/>
                  </w:tcBorders>
                  <w:tcMar>
                    <w:top w:w="57" w:type="dxa"/>
                    <w:left w:w="108" w:type="dxa"/>
                    <w:bottom w:w="57" w:type="dxa"/>
                    <w:right w:w="108" w:type="dxa"/>
                  </w:tcMar>
                  <w:vAlign w:val="center"/>
                </w:tcPr>
                <w:p w14:paraId="5332A9F6">
                  <w:pPr>
                    <w:pStyle w:val="116"/>
                    <w:rPr>
                      <w:rFonts w:hint="eastAsia" w:hAnsi="宋体" w:cs="宋体"/>
                      <w:sz w:val="18"/>
                      <w:szCs w:val="18"/>
                    </w:rPr>
                  </w:pPr>
                  <w:r>
                    <w:rPr>
                      <w:rFonts w:hint="eastAsia" w:hAnsi="宋体" w:cs="宋体"/>
                      <w:sz w:val="18"/>
                      <w:szCs w:val="18"/>
                      <w:shd w:val="clear" w:color="auto" w:fill="FFFFFF"/>
                    </w:rPr>
                    <w:t>执行自治区总体准入要求中关于一般环境管控单元的准入要求</w:t>
                  </w:r>
                </w:p>
              </w:tc>
              <w:tc>
                <w:tcPr>
                  <w:tcW w:w="1531" w:type="pct"/>
                  <w:tcBorders>
                    <w:left w:val="single" w:color="auto" w:sz="4" w:space="0"/>
                    <w:right w:val="single" w:color="auto" w:sz="4" w:space="0"/>
                  </w:tcBorders>
                  <w:tcMar>
                    <w:top w:w="57" w:type="dxa"/>
                    <w:left w:w="108" w:type="dxa"/>
                    <w:bottom w:w="57" w:type="dxa"/>
                    <w:right w:w="108" w:type="dxa"/>
                  </w:tcMar>
                  <w:vAlign w:val="center"/>
                </w:tcPr>
                <w:p w14:paraId="59AF377B">
                  <w:pPr>
                    <w:pStyle w:val="116"/>
                    <w:numPr>
                      <w:ilvl w:val="0"/>
                      <w:numId w:val="8"/>
                    </w:numPr>
                    <w:rPr>
                      <w:rFonts w:hint="eastAsia" w:hAnsi="宋体" w:cs="宋体"/>
                      <w:sz w:val="18"/>
                      <w:szCs w:val="18"/>
                      <w:shd w:val="clear" w:color="auto" w:fill="FFFFFF"/>
                    </w:rPr>
                  </w:pPr>
                  <w:r>
                    <w:rPr>
                      <w:rFonts w:hint="eastAsia" w:hAnsi="宋体" w:cs="宋体"/>
                      <w:sz w:val="18"/>
                      <w:szCs w:val="18"/>
                      <w:shd w:val="clear" w:color="auto" w:fill="FFFFFF"/>
                    </w:rPr>
                    <w:t>执行区域资源能源利用的基本要求。</w:t>
                  </w:r>
                </w:p>
                <w:p w14:paraId="31F03FDA">
                  <w:pPr>
                    <w:pStyle w:val="116"/>
                    <w:rPr>
                      <w:rFonts w:hint="eastAsia" w:hAnsi="宋体" w:cs="宋体"/>
                      <w:sz w:val="18"/>
                      <w:szCs w:val="18"/>
                    </w:rPr>
                  </w:pPr>
                  <w:r>
                    <w:rPr>
                      <w:rFonts w:hint="eastAsia" w:hAnsi="宋体" w:cs="宋体"/>
                      <w:sz w:val="18"/>
                      <w:szCs w:val="18"/>
                      <w:shd w:val="clear" w:color="auto" w:fill="FFFFFF"/>
                    </w:rPr>
                    <w:t>2、执行昌吉州总体准入清单中的要求。</w:t>
                  </w:r>
                </w:p>
              </w:tc>
              <w:tc>
                <w:tcPr>
                  <w:tcW w:w="129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8CE63B0">
                  <w:pPr>
                    <w:pStyle w:val="116"/>
                    <w:rPr>
                      <w:rFonts w:hint="eastAsia" w:hAnsi="宋体" w:cs="宋体"/>
                      <w:sz w:val="18"/>
                      <w:szCs w:val="18"/>
                      <w:shd w:val="clear" w:color="auto" w:fill="FFFFFF"/>
                    </w:rPr>
                  </w:pPr>
                  <w:r>
                    <w:rPr>
                      <w:rFonts w:hint="eastAsia" w:hAnsi="宋体" w:cs="宋体"/>
                      <w:sz w:val="18"/>
                      <w:szCs w:val="18"/>
                      <w:shd w:val="clear" w:color="auto" w:fill="FFFFFF"/>
                    </w:rPr>
                    <w:t>1、本项目属于试油勘探项目，满足区域矿产资源总体规划要求。</w:t>
                  </w:r>
                </w:p>
                <w:p w14:paraId="50D33A71">
                  <w:pPr>
                    <w:pStyle w:val="116"/>
                    <w:jc w:val="both"/>
                    <w:rPr>
                      <w:rFonts w:hint="eastAsia" w:hAnsi="宋体" w:cs="宋体"/>
                      <w:sz w:val="18"/>
                      <w:szCs w:val="18"/>
                      <w:shd w:val="clear" w:color="auto" w:fill="FFFFFF"/>
                    </w:rPr>
                  </w:pPr>
                  <w:r>
                    <w:rPr>
                      <w:rFonts w:hint="eastAsia" w:hAnsi="宋体" w:cs="宋体"/>
                      <w:sz w:val="18"/>
                      <w:szCs w:val="18"/>
                      <w:shd w:val="clear" w:color="auto" w:fill="FFFFFF"/>
                    </w:rPr>
                    <w:t>2、根据附件5可知，本项目满足昌吉州总体准入清单中的要求。</w:t>
                  </w:r>
                </w:p>
              </w:tc>
              <w:tc>
                <w:tcPr>
                  <w:tcW w:w="472"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275E348">
                  <w:pPr>
                    <w:pStyle w:val="116"/>
                    <w:rPr>
                      <w:rFonts w:hint="eastAsia" w:hAnsi="宋体" w:cs="宋体"/>
                      <w:sz w:val="18"/>
                      <w:szCs w:val="18"/>
                    </w:rPr>
                  </w:pPr>
                  <w:r>
                    <w:rPr>
                      <w:rFonts w:hint="eastAsia" w:hAnsi="宋体" w:cs="宋体"/>
                      <w:sz w:val="18"/>
                      <w:szCs w:val="18"/>
                    </w:rPr>
                    <w:t>符合</w:t>
                  </w:r>
                </w:p>
              </w:tc>
            </w:tr>
          </w:tbl>
          <w:p w14:paraId="19E211A5"/>
          <w:p w14:paraId="10CBB8C4"/>
          <w:p w14:paraId="727BF82A">
            <w:pPr>
              <w:pStyle w:val="89"/>
              <w:ind w:firstLine="420"/>
              <w:rPr>
                <w:rFonts w:hint="eastAsia" w:hAnsi="宋体"/>
              </w:rPr>
            </w:pPr>
            <w:r>
              <w:rPr>
                <w:rFonts w:hAnsi="宋体"/>
                <w:bCs/>
              </w:rPr>
              <w:t>3</w:t>
            </w:r>
            <w:r>
              <w:rPr>
                <w:rFonts w:hint="eastAsia" w:hAnsi="宋体"/>
                <w:bCs/>
              </w:rPr>
              <w:t>、</w:t>
            </w:r>
            <w:r>
              <w:rPr>
                <w:rFonts w:hint="eastAsia" w:hAnsi="宋体"/>
              </w:rPr>
              <w:t>与《关于进一步加强石油天然气行业环境影响评价管理的通知》（</w:t>
            </w:r>
            <w:r>
              <w:rPr>
                <w:rFonts w:hAnsi="宋体"/>
              </w:rPr>
              <w:t>环办环评函</w:t>
            </w:r>
            <w:r>
              <w:rPr>
                <w:rFonts w:hint="eastAsia" w:hAnsi="宋体"/>
              </w:rPr>
              <w:t>[</w:t>
            </w:r>
            <w:r>
              <w:rPr>
                <w:rFonts w:hAnsi="宋体"/>
              </w:rPr>
              <w:t>2019]910号</w:t>
            </w:r>
            <w:r>
              <w:rPr>
                <w:rFonts w:hint="eastAsia" w:hAnsi="宋体"/>
              </w:rPr>
              <w:t>）相符性分析</w:t>
            </w:r>
          </w:p>
          <w:p w14:paraId="18EC4F9B">
            <w:pPr>
              <w:pStyle w:val="89"/>
              <w:ind w:firstLine="420"/>
              <w:rPr>
                <w:rFonts w:hint="eastAsia" w:hAnsi="宋体"/>
              </w:rPr>
            </w:pPr>
            <w:r>
              <w:rPr>
                <w:rFonts w:hint="eastAsia" w:hAnsi="宋体"/>
              </w:rPr>
              <w:t>本项目与《关于进一步加强石油天然气行业环境影响评价管理的通知》（</w:t>
            </w:r>
            <w:r>
              <w:rPr>
                <w:rFonts w:hAnsi="宋体"/>
              </w:rPr>
              <w:t>环办环评函</w:t>
            </w:r>
            <w:r>
              <w:rPr>
                <w:rFonts w:hint="eastAsia" w:hAnsi="宋体"/>
              </w:rPr>
              <w:t>[</w:t>
            </w:r>
            <w:r>
              <w:rPr>
                <w:rFonts w:hAnsi="宋体"/>
              </w:rPr>
              <w:t>2019]910号</w:t>
            </w:r>
            <w:r>
              <w:rPr>
                <w:rFonts w:hint="eastAsia" w:hAnsi="宋体"/>
              </w:rPr>
              <w:t>）中要求的相符性分析详见</w:t>
            </w:r>
            <w:r>
              <w:rPr>
                <w:rFonts w:hAnsi="宋体"/>
              </w:rPr>
              <w:fldChar w:fldCharType="begin"/>
            </w:r>
            <w:r>
              <w:rPr>
                <w:rFonts w:hAnsi="宋体"/>
              </w:rPr>
              <w:instrText xml:space="preserve"> </w:instrText>
            </w:r>
            <w:r>
              <w:rPr>
                <w:rFonts w:hint="eastAsia" w:hAnsi="宋体"/>
              </w:rPr>
              <w:instrText xml:space="preserve">REF _Ref138671960 \h</w:instrText>
            </w:r>
            <w:r>
              <w:rPr>
                <w:rFonts w:hAnsi="宋体"/>
              </w:rPr>
              <w:instrText xml:space="preserve">  \* MERGEFORMAT </w:instrText>
            </w:r>
            <w:r>
              <w:rPr>
                <w:rFonts w:hAnsi="宋体"/>
              </w:rPr>
              <w:fldChar w:fldCharType="separate"/>
            </w:r>
            <w:r>
              <w:rPr>
                <w:rFonts w:hint="eastAsia" w:hAnsi="宋体"/>
              </w:rPr>
              <w:t>表6</w:t>
            </w:r>
            <w:r>
              <w:rPr>
                <w:rFonts w:hAnsi="宋体"/>
              </w:rPr>
              <w:fldChar w:fldCharType="end"/>
            </w:r>
            <w:r>
              <w:rPr>
                <w:rFonts w:hint="eastAsia" w:hAnsi="宋体"/>
              </w:rPr>
              <w:t>。</w:t>
            </w:r>
            <w:r>
              <w:rPr>
                <w:rFonts w:hAnsi="宋体"/>
              </w:rPr>
              <w:t xml:space="preserve"> </w:t>
            </w:r>
          </w:p>
          <w:p w14:paraId="3CB6B9F6">
            <w:pPr>
              <w:pStyle w:val="12"/>
              <w:spacing w:before="120"/>
              <w:rPr>
                <w:rFonts w:hint="eastAsia" w:hAnsi="宋体"/>
              </w:rPr>
            </w:pPr>
            <w:bookmarkStart w:id="10" w:name="_Ref138671960"/>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6</w:t>
            </w:r>
            <w:r>
              <w:rPr>
                <w:rFonts w:hAnsi="宋体"/>
              </w:rPr>
              <w:fldChar w:fldCharType="end"/>
            </w:r>
            <w:bookmarkEnd w:id="10"/>
            <w:r>
              <w:rPr>
                <w:rFonts w:hAnsi="宋体"/>
              </w:rPr>
              <w:t xml:space="preserve">  </w:t>
            </w:r>
            <w:r>
              <w:rPr>
                <w:rFonts w:hint="eastAsia" w:hAnsi="宋体"/>
                <w:snapToGrid w:val="0"/>
                <w:szCs w:val="21"/>
              </w:rPr>
              <w:t>与《</w:t>
            </w:r>
            <w:r>
              <w:rPr>
                <w:rFonts w:hint="eastAsia" w:hAnsi="宋体"/>
                <w:szCs w:val="21"/>
              </w:rPr>
              <w:t>关于进一步加强石油天然气行业环境影响评价管理的通知</w:t>
            </w:r>
            <w:r>
              <w:rPr>
                <w:rFonts w:hint="eastAsia" w:hAnsi="宋体"/>
                <w:snapToGrid w:val="0"/>
                <w:szCs w:val="21"/>
              </w:rPr>
              <w:t>》</w:t>
            </w:r>
            <w:r>
              <w:rPr>
                <w:rFonts w:hint="eastAsia" w:hAnsi="宋体"/>
                <w:szCs w:val="21"/>
              </w:rPr>
              <w:t>（</w:t>
            </w:r>
            <w:r>
              <w:rPr>
                <w:rFonts w:hAnsi="宋体"/>
                <w:szCs w:val="21"/>
              </w:rPr>
              <w:t>环办环评函</w:t>
            </w:r>
            <w:r>
              <w:rPr>
                <w:rFonts w:hint="eastAsia" w:hAnsi="宋体"/>
                <w:szCs w:val="21"/>
              </w:rPr>
              <w:t>[</w:t>
            </w:r>
            <w:r>
              <w:rPr>
                <w:rFonts w:hAnsi="宋体"/>
                <w:szCs w:val="21"/>
              </w:rPr>
              <w:t>2019]910号</w:t>
            </w:r>
            <w:r>
              <w:rPr>
                <w:rFonts w:hint="eastAsia" w:hAnsi="宋体"/>
                <w:szCs w:val="21"/>
              </w:rPr>
              <w:t>）</w:t>
            </w:r>
            <w:r>
              <w:rPr>
                <w:rFonts w:hint="eastAsia" w:hAnsi="宋体"/>
                <w:snapToGrid w:val="0"/>
                <w:szCs w:val="21"/>
              </w:rPr>
              <w:t>的相符性分析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870"/>
              <w:gridCol w:w="3834"/>
              <w:gridCol w:w="462"/>
            </w:tblGrid>
            <w:tr w14:paraId="0858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Align w:val="center"/>
                </w:tcPr>
                <w:p w14:paraId="4908E53D">
                  <w:pPr>
                    <w:pStyle w:val="87"/>
                    <w:rPr>
                      <w:rFonts w:hint="eastAsia" w:hAnsi="宋体"/>
                    </w:rPr>
                  </w:pPr>
                  <w:r>
                    <w:rPr>
                      <w:rFonts w:hint="eastAsia" w:hAnsi="宋体"/>
                    </w:rPr>
                    <w:t>序号</w:t>
                  </w:r>
                </w:p>
              </w:tc>
              <w:tc>
                <w:tcPr>
                  <w:tcW w:w="2252" w:type="pct"/>
                  <w:vAlign w:val="center"/>
                </w:tcPr>
                <w:p w14:paraId="754F2AF3">
                  <w:pPr>
                    <w:pStyle w:val="87"/>
                    <w:rPr>
                      <w:rFonts w:hint="eastAsia" w:hAnsi="宋体"/>
                    </w:rPr>
                  </w:pPr>
                  <w:r>
                    <w:rPr>
                      <w:rFonts w:hint="eastAsia" w:hAnsi="宋体"/>
                    </w:rPr>
                    <w:t>《关于进一步加强石油天然气行业环境影响评价管理的通知》（</w:t>
                  </w:r>
                  <w:r>
                    <w:rPr>
                      <w:rFonts w:hAnsi="宋体"/>
                    </w:rPr>
                    <w:t>环办环评函</w:t>
                  </w:r>
                  <w:r>
                    <w:rPr>
                      <w:rFonts w:hint="eastAsia" w:hAnsi="宋体"/>
                    </w:rPr>
                    <w:t>[</w:t>
                  </w:r>
                  <w:r>
                    <w:rPr>
                      <w:rFonts w:hAnsi="宋体"/>
                    </w:rPr>
                    <w:t>2019]910号</w:t>
                  </w:r>
                  <w:r>
                    <w:rPr>
                      <w:rFonts w:hint="eastAsia" w:hAnsi="宋体"/>
                    </w:rPr>
                    <w:t>）中相关规定</w:t>
                  </w:r>
                </w:p>
              </w:tc>
              <w:tc>
                <w:tcPr>
                  <w:tcW w:w="2231" w:type="pct"/>
                  <w:vAlign w:val="center"/>
                </w:tcPr>
                <w:p w14:paraId="792FABA7">
                  <w:pPr>
                    <w:pStyle w:val="87"/>
                    <w:rPr>
                      <w:rFonts w:hint="eastAsia" w:hAnsi="宋体"/>
                    </w:rPr>
                  </w:pPr>
                  <w:r>
                    <w:rPr>
                      <w:rFonts w:hint="eastAsia" w:hAnsi="宋体"/>
                    </w:rPr>
                    <w:t>本项目实施过程中采取的措施</w:t>
                  </w:r>
                </w:p>
              </w:tc>
              <w:tc>
                <w:tcPr>
                  <w:tcW w:w="269" w:type="pct"/>
                  <w:vAlign w:val="center"/>
                </w:tcPr>
                <w:p w14:paraId="34D91DC7">
                  <w:pPr>
                    <w:pStyle w:val="87"/>
                    <w:rPr>
                      <w:rFonts w:hint="eastAsia" w:hAnsi="宋体"/>
                    </w:rPr>
                  </w:pPr>
                  <w:r>
                    <w:rPr>
                      <w:rFonts w:hint="eastAsia" w:hAnsi="宋体"/>
                    </w:rPr>
                    <w:t>相符性分析</w:t>
                  </w:r>
                </w:p>
              </w:tc>
            </w:tr>
            <w:tr w14:paraId="004D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Align w:val="center"/>
                </w:tcPr>
                <w:p w14:paraId="3BF81FA5">
                  <w:pPr>
                    <w:pStyle w:val="87"/>
                    <w:rPr>
                      <w:rFonts w:hint="eastAsia" w:hAnsi="宋体"/>
                    </w:rPr>
                  </w:pPr>
                  <w:r>
                    <w:rPr>
                      <w:rFonts w:hint="eastAsia" w:hAnsi="宋体"/>
                    </w:rPr>
                    <w:t>1</w:t>
                  </w:r>
                </w:p>
              </w:tc>
              <w:tc>
                <w:tcPr>
                  <w:tcW w:w="2252" w:type="pct"/>
                  <w:vAlign w:val="center"/>
                </w:tcPr>
                <w:p w14:paraId="38E2C4F3">
                  <w:pPr>
                    <w:pStyle w:val="87"/>
                    <w:rPr>
                      <w:rFonts w:hint="eastAsia" w:hAnsi="宋体"/>
                    </w:rPr>
                  </w:pPr>
                  <w:r>
                    <w:rPr>
                      <w:rFonts w:hAnsi="宋体"/>
                    </w:rPr>
                    <w:t>未确定产能建设规模的陆地油气开采新区块，建设勘探井应当依法编制环境影响报告表。海洋油气勘探工程应当填报环境影响登记表并进行备案。确定产能建设规模后，原则上不得以勘探名义继续开展单井环评。勘探井转为生产井的，可以纳入区块环评。自2021年1月1日起，原则上不以单井形式开展环评。</w:t>
                  </w:r>
                </w:p>
              </w:tc>
              <w:tc>
                <w:tcPr>
                  <w:tcW w:w="2231" w:type="pct"/>
                  <w:vAlign w:val="center"/>
                </w:tcPr>
                <w:p w14:paraId="6EAA671B">
                  <w:pPr>
                    <w:pStyle w:val="87"/>
                    <w:rPr>
                      <w:rFonts w:hint="eastAsia" w:hAnsi="宋体"/>
                    </w:rPr>
                  </w:pPr>
                  <w:r>
                    <w:rPr>
                      <w:rFonts w:hAnsi="宋体"/>
                    </w:rPr>
                    <w:t>为了进一步对油层进行勘探，获取产能等技术参数，</w:t>
                  </w:r>
                  <w:r>
                    <w:rPr>
                      <w:rFonts w:hint="eastAsia" w:hAnsi="宋体"/>
                    </w:rPr>
                    <w:t>本项目为新区块勘探井项目，</w:t>
                  </w:r>
                  <w:r>
                    <w:rPr>
                      <w:rFonts w:hAnsi="宋体"/>
                    </w:rPr>
                    <w:t>待区块油气产能确定后，</w:t>
                  </w:r>
                  <w:r>
                    <w:rPr>
                      <w:rFonts w:hint="eastAsia" w:hAnsi="宋体"/>
                    </w:rPr>
                    <w:t>后续</w:t>
                  </w:r>
                  <w:r>
                    <w:rPr>
                      <w:rFonts w:hAnsi="宋体"/>
                    </w:rPr>
                    <w:t>将纳入区块环评。</w:t>
                  </w:r>
                </w:p>
              </w:tc>
              <w:tc>
                <w:tcPr>
                  <w:tcW w:w="269" w:type="pct"/>
                  <w:vAlign w:val="center"/>
                </w:tcPr>
                <w:p w14:paraId="1A4265EE">
                  <w:pPr>
                    <w:pStyle w:val="87"/>
                    <w:rPr>
                      <w:rFonts w:hint="eastAsia" w:hAnsi="宋体"/>
                    </w:rPr>
                  </w:pPr>
                  <w:r>
                    <w:rPr>
                      <w:rFonts w:hint="eastAsia" w:hAnsi="宋体"/>
                    </w:rPr>
                    <w:t>符合</w:t>
                  </w:r>
                </w:p>
              </w:tc>
            </w:tr>
            <w:tr w14:paraId="544C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Align w:val="center"/>
                </w:tcPr>
                <w:p w14:paraId="296AC608">
                  <w:pPr>
                    <w:pStyle w:val="87"/>
                    <w:rPr>
                      <w:rFonts w:hint="eastAsia" w:hAnsi="宋体"/>
                    </w:rPr>
                  </w:pPr>
                  <w:r>
                    <w:rPr>
                      <w:rFonts w:hAnsi="宋体"/>
                    </w:rPr>
                    <w:t>2</w:t>
                  </w:r>
                </w:p>
              </w:tc>
              <w:tc>
                <w:tcPr>
                  <w:tcW w:w="2252" w:type="pct"/>
                  <w:vAlign w:val="center"/>
                </w:tcPr>
                <w:p w14:paraId="003BE253">
                  <w:pPr>
                    <w:pStyle w:val="87"/>
                    <w:rPr>
                      <w:rFonts w:hint="eastAsia" w:hAnsi="宋体"/>
                    </w:rPr>
                  </w:pPr>
                  <w:r>
                    <w:rPr>
                      <w:rFonts w:hAnsi="宋体"/>
                    </w:rPr>
                    <w:t>涉及向地表水体排放污染物的陆地油气开采项目，应当符合国家和地方污染物排放标准，满足重点污染物排放总量控制要求。</w:t>
                  </w:r>
                </w:p>
              </w:tc>
              <w:tc>
                <w:tcPr>
                  <w:tcW w:w="2231" w:type="pct"/>
                  <w:vAlign w:val="center"/>
                </w:tcPr>
                <w:p w14:paraId="14663B9C">
                  <w:pPr>
                    <w:pStyle w:val="87"/>
                    <w:rPr>
                      <w:rFonts w:hint="eastAsia" w:hAnsi="宋体"/>
                    </w:rPr>
                  </w:pPr>
                  <w:r>
                    <w:rPr>
                      <w:rFonts w:hAnsi="宋体"/>
                    </w:rPr>
                    <w:t>本项目</w:t>
                  </w:r>
                  <w:r>
                    <w:rPr>
                      <w:rFonts w:hint="eastAsia" w:hAnsi="宋体"/>
                    </w:rPr>
                    <w:t>无</w:t>
                  </w:r>
                  <w:r>
                    <w:rPr>
                      <w:rFonts w:hAnsi="宋体"/>
                    </w:rPr>
                    <w:t>废水外排。</w:t>
                  </w:r>
                </w:p>
              </w:tc>
              <w:tc>
                <w:tcPr>
                  <w:tcW w:w="269" w:type="pct"/>
                  <w:vAlign w:val="center"/>
                </w:tcPr>
                <w:p w14:paraId="31097EA8">
                  <w:pPr>
                    <w:pStyle w:val="87"/>
                    <w:rPr>
                      <w:rFonts w:hint="eastAsia" w:hAnsi="宋体"/>
                    </w:rPr>
                  </w:pPr>
                  <w:r>
                    <w:rPr>
                      <w:rFonts w:hint="eastAsia" w:hAnsi="宋体"/>
                    </w:rPr>
                    <w:t>符合</w:t>
                  </w:r>
                </w:p>
              </w:tc>
            </w:tr>
            <w:tr w14:paraId="7E71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Align w:val="center"/>
                </w:tcPr>
                <w:p w14:paraId="1D1FF17E">
                  <w:pPr>
                    <w:pStyle w:val="87"/>
                    <w:rPr>
                      <w:rFonts w:hint="eastAsia" w:hAnsi="宋体"/>
                    </w:rPr>
                  </w:pPr>
                  <w:r>
                    <w:rPr>
                      <w:rFonts w:hAnsi="宋体"/>
                    </w:rPr>
                    <w:t>3</w:t>
                  </w:r>
                </w:p>
              </w:tc>
              <w:tc>
                <w:tcPr>
                  <w:tcW w:w="2252" w:type="pct"/>
                  <w:vAlign w:val="center"/>
                </w:tcPr>
                <w:p w14:paraId="6D8037AD">
                  <w:pPr>
                    <w:pStyle w:val="87"/>
                    <w:rPr>
                      <w:rFonts w:hint="eastAsia" w:hAnsi="宋体"/>
                    </w:rPr>
                  </w:pPr>
                  <w:r>
                    <w:rPr>
                      <w:rFonts w:hAnsi="宋体"/>
                    </w:rPr>
                    <w:t>涉及废水回注的，应当论证回注的环境可行性，采取切实可行的地下水污染防治和监控措施，不得回注与油气开采无关的废水，严禁造成地下水污染。在相关行业污染控制标准发布前，回注的开采废水应当经处理并符合</w:t>
                  </w:r>
                  <w:r>
                    <w:rPr>
                      <w:rFonts w:hint="eastAsia" w:hAnsi="宋体"/>
                    </w:rPr>
                    <w:t>《碎屑岩油藏注水水质指标技术要求及分析方法》（SY/T 5329-20</w:t>
                  </w:r>
                  <w:r>
                    <w:rPr>
                      <w:rFonts w:hAnsi="宋体"/>
                    </w:rPr>
                    <w:t>2</w:t>
                  </w:r>
                  <w:r>
                    <w:rPr>
                      <w:rFonts w:hint="eastAsia" w:hAnsi="宋体"/>
                    </w:rPr>
                    <w:t>2）</w:t>
                  </w:r>
                  <w:r>
                    <w:rPr>
                      <w:rFonts w:hAnsi="宋体"/>
                    </w:rPr>
                    <w:t>等相关标准要求后回注，同步采取切实可行措施防治污染。</w:t>
                  </w:r>
                </w:p>
              </w:tc>
              <w:tc>
                <w:tcPr>
                  <w:tcW w:w="2231" w:type="pct"/>
                  <w:vAlign w:val="center"/>
                </w:tcPr>
                <w:p w14:paraId="6AE4DDEF">
                  <w:pPr>
                    <w:pStyle w:val="87"/>
                    <w:rPr>
                      <w:rFonts w:hint="eastAsia" w:hAnsi="宋体"/>
                    </w:rPr>
                  </w:pPr>
                  <w:r>
                    <w:rPr>
                      <w:rFonts w:hint="eastAsia" w:hAnsi="宋体"/>
                    </w:rPr>
                    <w:t>本项目产生的井下作业废液、压裂返排液定期拉运至春风一号联合站采出水处理系统处理，经处理达到《碎屑岩油藏注水水质指标技术要求及分析方法》（SY/T 5329-2022）对应储层空气渗透率下的水质主要控制指标后回注含油层用于产能开发，不外排。</w:t>
                  </w:r>
                </w:p>
              </w:tc>
              <w:tc>
                <w:tcPr>
                  <w:tcW w:w="269" w:type="pct"/>
                  <w:vAlign w:val="center"/>
                </w:tcPr>
                <w:p w14:paraId="6922FDDA">
                  <w:pPr>
                    <w:pStyle w:val="87"/>
                    <w:rPr>
                      <w:rFonts w:hint="eastAsia" w:hAnsi="宋体"/>
                    </w:rPr>
                  </w:pPr>
                  <w:r>
                    <w:rPr>
                      <w:rFonts w:hint="eastAsia" w:hAnsi="宋体"/>
                    </w:rPr>
                    <w:t>符合</w:t>
                  </w:r>
                </w:p>
              </w:tc>
            </w:tr>
            <w:tr w14:paraId="178D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Align w:val="center"/>
                </w:tcPr>
                <w:p w14:paraId="636B8059">
                  <w:pPr>
                    <w:pStyle w:val="87"/>
                    <w:rPr>
                      <w:rFonts w:hint="eastAsia" w:hAnsi="宋体"/>
                    </w:rPr>
                  </w:pPr>
                  <w:r>
                    <w:rPr>
                      <w:rFonts w:hAnsi="宋体"/>
                    </w:rPr>
                    <w:t>4</w:t>
                  </w:r>
                </w:p>
              </w:tc>
              <w:tc>
                <w:tcPr>
                  <w:tcW w:w="2252" w:type="pct"/>
                  <w:vAlign w:val="center"/>
                </w:tcPr>
                <w:p w14:paraId="2E27D38A">
                  <w:pPr>
                    <w:pStyle w:val="87"/>
                    <w:rPr>
                      <w:rFonts w:hint="eastAsia" w:hAnsi="宋体"/>
                    </w:rPr>
                  </w:pPr>
                  <w:r>
                    <w:rPr>
                      <w:rFonts w:hAnsi="宋体"/>
                    </w:rPr>
                    <w:t>油气开采产生的废弃油基泥浆、含油钻屑及其他固体废物，应当遵循减量化、资源化、无害化原则，按照国家和地方有关固体废物的管理规定进行处置。</w:t>
                  </w:r>
                </w:p>
              </w:tc>
              <w:tc>
                <w:tcPr>
                  <w:tcW w:w="2231" w:type="pct"/>
                  <w:vAlign w:val="center"/>
                </w:tcPr>
                <w:p w14:paraId="48EB1C9D">
                  <w:pPr>
                    <w:pStyle w:val="87"/>
                    <w:rPr>
                      <w:rFonts w:hint="eastAsia" w:hAnsi="宋体"/>
                    </w:rPr>
                  </w:pPr>
                  <w:r>
                    <w:rPr>
                      <w:rFonts w:hint="eastAsia" w:hAnsi="宋体"/>
                    </w:rPr>
                    <w:t>钻井固废全部排至“泥浆不落地”设备，导管、一开和二开段</w:t>
                  </w:r>
                  <w:r>
                    <w:rPr>
                      <w:rFonts w:hint="eastAsia" w:hAnsi="宋体" w:cs="宋体"/>
                    </w:rPr>
                    <w:t>钻井固废属于一般固体废物，交由专业单位无害化处置；</w:t>
                  </w:r>
                  <w:r>
                    <w:rPr>
                      <w:rFonts w:hint="eastAsia" w:hAnsi="宋体"/>
                    </w:rPr>
                    <w:t>处理后的钻井固废按照《油气田钻井固体废物综合利用污染控制要求》（DB65/T 3997-2017）的规范标准要求，可用于修路、铺垫井场。</w:t>
                  </w:r>
                </w:p>
              </w:tc>
              <w:tc>
                <w:tcPr>
                  <w:tcW w:w="269" w:type="pct"/>
                  <w:vAlign w:val="center"/>
                </w:tcPr>
                <w:p w14:paraId="7EB597CF">
                  <w:pPr>
                    <w:pStyle w:val="87"/>
                    <w:rPr>
                      <w:rFonts w:hint="eastAsia" w:hAnsi="宋体"/>
                    </w:rPr>
                  </w:pPr>
                  <w:r>
                    <w:rPr>
                      <w:rFonts w:hint="eastAsia" w:hAnsi="宋体"/>
                    </w:rPr>
                    <w:t>符合</w:t>
                  </w:r>
                </w:p>
              </w:tc>
            </w:tr>
            <w:tr w14:paraId="7039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Align w:val="center"/>
                </w:tcPr>
                <w:p w14:paraId="3AA9ECC9">
                  <w:pPr>
                    <w:pStyle w:val="87"/>
                    <w:rPr>
                      <w:rFonts w:hint="eastAsia" w:hAnsi="宋体"/>
                    </w:rPr>
                  </w:pPr>
                  <w:r>
                    <w:rPr>
                      <w:rFonts w:hAnsi="宋体"/>
                    </w:rPr>
                    <w:t>5</w:t>
                  </w:r>
                </w:p>
              </w:tc>
              <w:tc>
                <w:tcPr>
                  <w:tcW w:w="2252" w:type="pct"/>
                  <w:vAlign w:val="center"/>
                </w:tcPr>
                <w:p w14:paraId="23EDB995">
                  <w:pPr>
                    <w:pStyle w:val="87"/>
                    <w:rPr>
                      <w:rFonts w:hint="eastAsia" w:hAnsi="宋体"/>
                    </w:rPr>
                  </w:pPr>
                  <w:r>
                    <w:rPr>
                      <w:rFonts w:hAnsi="宋体"/>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r>
                    <w:rPr>
                      <w:rFonts w:hint="eastAsia" w:hAnsi="宋体"/>
                    </w:rPr>
                    <w:t>。</w:t>
                  </w:r>
                </w:p>
              </w:tc>
              <w:tc>
                <w:tcPr>
                  <w:tcW w:w="2231" w:type="pct"/>
                  <w:vAlign w:val="center"/>
                </w:tcPr>
                <w:p w14:paraId="71F54572">
                  <w:pPr>
                    <w:pStyle w:val="87"/>
                    <w:rPr>
                      <w:rFonts w:hint="eastAsia" w:hAnsi="宋体"/>
                    </w:rPr>
                  </w:pPr>
                  <w:r>
                    <w:rPr>
                      <w:rFonts w:hAnsi="宋体"/>
                    </w:rPr>
                    <w:t>本</w:t>
                  </w:r>
                  <w:r>
                    <w:rPr>
                      <w:rFonts w:hint="eastAsia" w:hAnsi="宋体"/>
                    </w:rPr>
                    <w:t>次环评提出</w:t>
                  </w:r>
                  <w:r>
                    <w:rPr>
                      <w:rFonts w:hAnsi="宋体"/>
                    </w:rPr>
                    <w:t>施工期应当尽量减少施工占地、缩短施工时间、选择合理施工方式</w:t>
                  </w:r>
                  <w:r>
                    <w:rPr>
                      <w:rFonts w:hint="eastAsia" w:hAnsi="宋体"/>
                    </w:rPr>
                    <w:t>等</w:t>
                  </w:r>
                  <w:r>
                    <w:rPr>
                      <w:rFonts w:hAnsi="宋体"/>
                    </w:rPr>
                    <w:t>生态环境保护措施，降低生态环境影响</w:t>
                  </w:r>
                  <w:r>
                    <w:rPr>
                      <w:rFonts w:hint="eastAsia" w:hAnsi="宋体"/>
                    </w:rPr>
                    <w:t>；</w:t>
                  </w:r>
                  <w:r>
                    <w:rPr>
                      <w:rFonts w:hint="eastAsia" w:hAnsi="宋体"/>
                      <w:snapToGrid w:val="0"/>
                    </w:rPr>
                    <w:t>采取洒水、围挡措施；物料集中堆放采取遮盖；</w:t>
                  </w:r>
                  <w:r>
                    <w:rPr>
                      <w:rFonts w:hint="eastAsia" w:hAnsi="宋体"/>
                    </w:rPr>
                    <w:t>加强车辆管理和维护；使用品质合格的燃油等保护措施，</w:t>
                  </w:r>
                  <w:r>
                    <w:rPr>
                      <w:rFonts w:hAnsi="宋体"/>
                    </w:rPr>
                    <w:t>减少废气排放，避免噪声扰民</w:t>
                  </w:r>
                  <w:r>
                    <w:rPr>
                      <w:rFonts w:hint="eastAsia" w:hAnsi="宋体"/>
                    </w:rPr>
                    <w:t>。</w:t>
                  </w:r>
                </w:p>
              </w:tc>
              <w:tc>
                <w:tcPr>
                  <w:tcW w:w="269" w:type="pct"/>
                  <w:vAlign w:val="center"/>
                </w:tcPr>
                <w:p w14:paraId="697608B8">
                  <w:pPr>
                    <w:pStyle w:val="87"/>
                    <w:rPr>
                      <w:rFonts w:hint="eastAsia" w:hAnsi="宋体"/>
                    </w:rPr>
                  </w:pPr>
                  <w:r>
                    <w:rPr>
                      <w:rFonts w:hint="eastAsia" w:hAnsi="宋体"/>
                    </w:rPr>
                    <w:t>符合</w:t>
                  </w:r>
                </w:p>
              </w:tc>
            </w:tr>
            <w:tr w14:paraId="2114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Align w:val="center"/>
                </w:tcPr>
                <w:p w14:paraId="643E7A8D">
                  <w:pPr>
                    <w:pStyle w:val="87"/>
                    <w:rPr>
                      <w:rFonts w:hint="eastAsia" w:hAnsi="宋体"/>
                    </w:rPr>
                  </w:pPr>
                  <w:r>
                    <w:rPr>
                      <w:rFonts w:hAnsi="宋体"/>
                    </w:rPr>
                    <w:t>6</w:t>
                  </w:r>
                </w:p>
              </w:tc>
              <w:tc>
                <w:tcPr>
                  <w:tcW w:w="2252" w:type="pct"/>
                  <w:vAlign w:val="center"/>
                </w:tcPr>
                <w:p w14:paraId="4BF06BEF">
                  <w:pPr>
                    <w:pStyle w:val="87"/>
                    <w:rPr>
                      <w:rFonts w:hint="eastAsia" w:hAnsi="宋体"/>
                    </w:rPr>
                  </w:pPr>
                  <w:r>
                    <w:rPr>
                      <w:rFonts w:hAnsi="宋体"/>
                    </w:rPr>
                    <w:t>建设单位或生产经营单位按规定开展建设项目竣工环境保护验收，并录入全国建设项目竣工环境保护验收信息平台。分期建设、分期投入生产或者使用的建设项目，其相应的环境保护设施应当分期验收。</w:t>
                  </w:r>
                </w:p>
              </w:tc>
              <w:tc>
                <w:tcPr>
                  <w:tcW w:w="2231" w:type="pct"/>
                  <w:vAlign w:val="center"/>
                </w:tcPr>
                <w:p w14:paraId="61697B33">
                  <w:pPr>
                    <w:pStyle w:val="87"/>
                    <w:rPr>
                      <w:rFonts w:hint="eastAsia" w:hAnsi="宋体"/>
                    </w:rPr>
                  </w:pPr>
                  <w:r>
                    <w:rPr>
                      <w:rFonts w:hAnsi="宋体"/>
                    </w:rPr>
                    <w:t>本项目建成后</w:t>
                  </w:r>
                  <w:r>
                    <w:rPr>
                      <w:rFonts w:hint="eastAsia" w:hAnsi="宋体"/>
                    </w:rPr>
                    <w:t>将由建设单位</w:t>
                  </w:r>
                  <w:r>
                    <w:rPr>
                      <w:rFonts w:hAnsi="宋体"/>
                    </w:rPr>
                    <w:t>按规定开展建设项目竣工环境保护验收。</w:t>
                  </w:r>
                </w:p>
              </w:tc>
              <w:tc>
                <w:tcPr>
                  <w:tcW w:w="269" w:type="pct"/>
                  <w:vAlign w:val="center"/>
                </w:tcPr>
                <w:p w14:paraId="26A84964">
                  <w:pPr>
                    <w:pStyle w:val="87"/>
                    <w:rPr>
                      <w:rFonts w:hint="eastAsia" w:hAnsi="宋体"/>
                    </w:rPr>
                  </w:pPr>
                  <w:r>
                    <w:rPr>
                      <w:rFonts w:hint="eastAsia" w:hAnsi="宋体"/>
                    </w:rPr>
                    <w:t>符合</w:t>
                  </w:r>
                </w:p>
              </w:tc>
            </w:tr>
          </w:tbl>
          <w:p w14:paraId="235F44CA">
            <w:pPr>
              <w:pStyle w:val="89"/>
              <w:ind w:firstLine="420"/>
              <w:rPr>
                <w:rFonts w:hint="eastAsia" w:hAnsi="宋体"/>
              </w:rPr>
            </w:pPr>
          </w:p>
          <w:p w14:paraId="18DEBA46">
            <w:pPr>
              <w:pStyle w:val="89"/>
              <w:ind w:firstLine="420"/>
              <w:rPr>
                <w:rFonts w:hint="eastAsia" w:hAnsi="宋体"/>
              </w:rPr>
            </w:pPr>
            <w:r>
              <w:rPr>
                <w:rFonts w:hint="eastAsia" w:hAnsi="宋体"/>
              </w:rPr>
              <w:t>综上所述，本项目建设符合《关于进一步加强石油天然气行业环境影响评价管理的通知》（</w:t>
            </w:r>
            <w:r>
              <w:rPr>
                <w:rFonts w:hAnsi="宋体"/>
              </w:rPr>
              <w:t>环办环评函</w:t>
            </w:r>
            <w:r>
              <w:rPr>
                <w:rFonts w:hint="eastAsia" w:hAnsi="宋体"/>
              </w:rPr>
              <w:t>[</w:t>
            </w:r>
            <w:r>
              <w:rPr>
                <w:rFonts w:hAnsi="宋体"/>
              </w:rPr>
              <w:t>2019]910号</w:t>
            </w:r>
            <w:r>
              <w:rPr>
                <w:rFonts w:hint="eastAsia" w:hAnsi="宋体"/>
              </w:rPr>
              <w:t>）的相关规定。</w:t>
            </w:r>
          </w:p>
          <w:p w14:paraId="339CCE72">
            <w:pPr>
              <w:pStyle w:val="89"/>
              <w:ind w:firstLine="420"/>
              <w:rPr>
                <w:rFonts w:hint="eastAsia" w:hAnsi="宋体"/>
                <w:bCs/>
              </w:rPr>
            </w:pPr>
            <w:r>
              <w:rPr>
                <w:rFonts w:hAnsi="宋体"/>
              </w:rPr>
              <w:t>4</w:t>
            </w:r>
            <w:r>
              <w:rPr>
                <w:rFonts w:hint="eastAsia" w:hAnsi="宋体"/>
              </w:rPr>
              <w:t>、与《陆上石油天然气开采业绿色矿山建设规范》（DZ/T</w:t>
            </w:r>
            <w:r>
              <w:rPr>
                <w:rFonts w:hAnsi="宋体"/>
              </w:rPr>
              <w:t xml:space="preserve"> 0317-2018</w:t>
            </w:r>
            <w:r>
              <w:rPr>
                <w:rFonts w:hint="eastAsia" w:hAnsi="宋体"/>
              </w:rPr>
              <w:t>）相符性分析</w:t>
            </w:r>
          </w:p>
          <w:p w14:paraId="21A8BC0A">
            <w:pPr>
              <w:pStyle w:val="89"/>
              <w:ind w:firstLine="420"/>
              <w:rPr>
                <w:rFonts w:hint="eastAsia" w:hAnsi="宋体"/>
              </w:rPr>
            </w:pPr>
            <w:r>
              <w:rPr>
                <w:rFonts w:hint="eastAsia" w:hAnsi="宋体"/>
              </w:rPr>
              <w:t>本项目与《陆上石油天然气开采业绿色矿山建设规范》（DZ/T</w:t>
            </w:r>
            <w:r>
              <w:rPr>
                <w:rFonts w:hAnsi="宋体"/>
              </w:rPr>
              <w:t xml:space="preserve"> 0317-2018</w:t>
            </w:r>
            <w:r>
              <w:rPr>
                <w:rFonts w:hint="eastAsia" w:hAnsi="宋体"/>
              </w:rPr>
              <w:t>）中要求的相符性分析详见</w:t>
            </w:r>
            <w:r>
              <w:rPr>
                <w:rFonts w:hAnsi="宋体"/>
              </w:rPr>
              <w:fldChar w:fldCharType="begin"/>
            </w:r>
            <w:r>
              <w:rPr>
                <w:rFonts w:hAnsi="宋体"/>
              </w:rPr>
              <w:instrText xml:space="preserve"> </w:instrText>
            </w:r>
            <w:r>
              <w:rPr>
                <w:rFonts w:hint="eastAsia" w:hAnsi="宋体"/>
              </w:rPr>
              <w:instrText xml:space="preserve">REF _Ref138671977 \h</w:instrText>
            </w:r>
            <w:r>
              <w:rPr>
                <w:rFonts w:hAnsi="宋体"/>
              </w:rPr>
              <w:instrText xml:space="preserve">  \* MERGEFORMAT </w:instrText>
            </w:r>
            <w:r>
              <w:rPr>
                <w:rFonts w:hAnsi="宋体"/>
              </w:rPr>
              <w:fldChar w:fldCharType="separate"/>
            </w:r>
            <w:r>
              <w:rPr>
                <w:rFonts w:hint="eastAsia" w:hAnsi="宋体"/>
              </w:rPr>
              <w:t>表7</w:t>
            </w:r>
            <w:r>
              <w:rPr>
                <w:rFonts w:hAnsi="宋体"/>
              </w:rPr>
              <w:fldChar w:fldCharType="end"/>
            </w:r>
            <w:r>
              <w:rPr>
                <w:rFonts w:hint="eastAsia" w:hAnsi="宋体"/>
              </w:rPr>
              <w:t>。</w:t>
            </w:r>
          </w:p>
          <w:p w14:paraId="61429031">
            <w:pPr>
              <w:pStyle w:val="12"/>
              <w:spacing w:before="120"/>
              <w:rPr>
                <w:rFonts w:hint="eastAsia" w:hAnsi="宋体"/>
              </w:rPr>
            </w:pPr>
            <w:bookmarkStart w:id="11" w:name="_Ref138671977"/>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7</w:t>
            </w:r>
            <w:r>
              <w:rPr>
                <w:rFonts w:hAnsi="宋体"/>
              </w:rPr>
              <w:fldChar w:fldCharType="end"/>
            </w:r>
            <w:bookmarkEnd w:id="11"/>
            <w:r>
              <w:rPr>
                <w:rFonts w:hAnsi="宋体"/>
              </w:rPr>
              <w:t xml:space="preserve">  </w:t>
            </w:r>
            <w:r>
              <w:rPr>
                <w:rFonts w:hint="eastAsia" w:hAnsi="宋体"/>
                <w:snapToGrid w:val="0"/>
                <w:szCs w:val="21"/>
              </w:rPr>
              <w:t>与《</w:t>
            </w:r>
            <w:r>
              <w:rPr>
                <w:rFonts w:hint="eastAsia" w:hAnsi="宋体"/>
                <w:kern w:val="0"/>
                <w:szCs w:val="21"/>
              </w:rPr>
              <w:t>陆上石油天然气开采业绿色矿山建设规范</w:t>
            </w:r>
            <w:r>
              <w:rPr>
                <w:rFonts w:hint="eastAsia" w:hAnsi="宋体"/>
                <w:snapToGrid w:val="0"/>
                <w:szCs w:val="21"/>
              </w:rPr>
              <w:t>》</w:t>
            </w:r>
            <w:r>
              <w:rPr>
                <w:rFonts w:hint="eastAsia" w:hAnsi="宋体"/>
                <w:szCs w:val="21"/>
              </w:rPr>
              <w:t>（DZ/T</w:t>
            </w:r>
            <w:r>
              <w:rPr>
                <w:rFonts w:hAnsi="宋体"/>
                <w:szCs w:val="21"/>
              </w:rPr>
              <w:t xml:space="preserve"> 0317-2018</w:t>
            </w:r>
            <w:r>
              <w:rPr>
                <w:rFonts w:hint="eastAsia" w:hAnsi="宋体"/>
                <w:szCs w:val="21"/>
              </w:rPr>
              <w:t>）</w:t>
            </w:r>
            <w:r>
              <w:rPr>
                <w:rFonts w:hint="eastAsia" w:hAnsi="宋体"/>
                <w:snapToGrid w:val="0"/>
                <w:szCs w:val="21"/>
              </w:rPr>
              <w:t>的相符性分析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521"/>
              <w:gridCol w:w="2764"/>
              <w:gridCol w:w="4359"/>
              <w:gridCol w:w="502"/>
            </w:tblGrid>
            <w:tr w14:paraId="395F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51A2895B">
                  <w:pPr>
                    <w:pStyle w:val="87"/>
                    <w:rPr>
                      <w:rFonts w:hint="eastAsia" w:hAnsi="宋体"/>
                    </w:rPr>
                  </w:pPr>
                  <w:r>
                    <w:rPr>
                      <w:rFonts w:hint="eastAsia" w:hAnsi="宋体"/>
                    </w:rPr>
                    <w:t>序号</w:t>
                  </w:r>
                </w:p>
              </w:tc>
              <w:tc>
                <w:tcPr>
                  <w:tcW w:w="1911" w:type="pct"/>
                  <w:gridSpan w:val="2"/>
                  <w:vAlign w:val="center"/>
                </w:tcPr>
                <w:p w14:paraId="637C54ED">
                  <w:pPr>
                    <w:pStyle w:val="87"/>
                    <w:rPr>
                      <w:rFonts w:hint="eastAsia" w:hAnsi="宋体"/>
                    </w:rPr>
                  </w:pPr>
                  <w:r>
                    <w:rPr>
                      <w:rFonts w:hint="eastAsia" w:hAnsi="宋体"/>
                    </w:rPr>
                    <w:t>《陆上石油天然气开采业绿色矿山建设规范》（DZ/T</w:t>
                  </w:r>
                  <w:r>
                    <w:rPr>
                      <w:rFonts w:hAnsi="宋体"/>
                    </w:rPr>
                    <w:t xml:space="preserve"> 0317-2018</w:t>
                  </w:r>
                  <w:r>
                    <w:rPr>
                      <w:rFonts w:hint="eastAsia" w:hAnsi="宋体"/>
                    </w:rPr>
                    <w:t>）中相关规定</w:t>
                  </w:r>
                </w:p>
              </w:tc>
              <w:tc>
                <w:tcPr>
                  <w:tcW w:w="2536" w:type="pct"/>
                  <w:vAlign w:val="center"/>
                </w:tcPr>
                <w:p w14:paraId="33D30561">
                  <w:pPr>
                    <w:pStyle w:val="87"/>
                    <w:rPr>
                      <w:rFonts w:hint="eastAsia" w:hAnsi="宋体"/>
                    </w:rPr>
                  </w:pPr>
                  <w:r>
                    <w:rPr>
                      <w:rFonts w:hint="eastAsia" w:hAnsi="宋体"/>
                    </w:rPr>
                    <w:t>本项目实施过程中采取的措施</w:t>
                  </w:r>
                </w:p>
              </w:tc>
              <w:tc>
                <w:tcPr>
                  <w:tcW w:w="292" w:type="pct"/>
                  <w:vAlign w:val="center"/>
                </w:tcPr>
                <w:p w14:paraId="418228B0">
                  <w:pPr>
                    <w:pStyle w:val="87"/>
                    <w:rPr>
                      <w:rFonts w:hint="eastAsia" w:hAnsi="宋体"/>
                    </w:rPr>
                  </w:pPr>
                  <w:r>
                    <w:rPr>
                      <w:rFonts w:hint="eastAsia" w:hAnsi="宋体"/>
                    </w:rPr>
                    <w:t>相符性分析</w:t>
                  </w:r>
                </w:p>
              </w:tc>
            </w:tr>
            <w:tr w14:paraId="1467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2A9F5533">
                  <w:pPr>
                    <w:pStyle w:val="87"/>
                    <w:rPr>
                      <w:rFonts w:hint="eastAsia" w:hAnsi="宋体"/>
                    </w:rPr>
                  </w:pPr>
                  <w:r>
                    <w:rPr>
                      <w:rFonts w:hint="eastAsia" w:hAnsi="宋体"/>
                    </w:rPr>
                    <w:t>1</w:t>
                  </w:r>
                </w:p>
              </w:tc>
              <w:tc>
                <w:tcPr>
                  <w:tcW w:w="303" w:type="pct"/>
                  <w:vMerge w:val="restart"/>
                  <w:vAlign w:val="center"/>
                </w:tcPr>
                <w:p w14:paraId="3D94412C">
                  <w:pPr>
                    <w:pStyle w:val="87"/>
                    <w:rPr>
                      <w:rFonts w:hint="eastAsia" w:hAnsi="宋体"/>
                    </w:rPr>
                  </w:pPr>
                  <w:r>
                    <w:rPr>
                      <w:rFonts w:hAnsi="宋体"/>
                    </w:rPr>
                    <w:t>矿区环境</w:t>
                  </w:r>
                </w:p>
              </w:tc>
              <w:tc>
                <w:tcPr>
                  <w:tcW w:w="1607" w:type="pct"/>
                  <w:vAlign w:val="center"/>
                </w:tcPr>
                <w:p w14:paraId="7B94FEEF">
                  <w:pPr>
                    <w:pStyle w:val="87"/>
                    <w:rPr>
                      <w:rFonts w:hint="eastAsia" w:hAnsi="宋体"/>
                    </w:rPr>
                  </w:pPr>
                  <w:r>
                    <w:rPr>
                      <w:rFonts w:hAnsi="宋体"/>
                    </w:rPr>
                    <w:t>矿区按生产区、管理区、生活区等功能分区，各功能区符合GB50187的规定，建立管理机构，制订管理制度，运行有序、管理规范。</w:t>
                  </w:r>
                </w:p>
              </w:tc>
              <w:tc>
                <w:tcPr>
                  <w:tcW w:w="2536" w:type="pct"/>
                  <w:vAlign w:val="center"/>
                </w:tcPr>
                <w:p w14:paraId="1E0521BE">
                  <w:pPr>
                    <w:pStyle w:val="87"/>
                    <w:rPr>
                      <w:rFonts w:hint="eastAsia" w:hAnsi="宋体"/>
                    </w:rPr>
                  </w:pPr>
                  <w:r>
                    <w:rPr>
                      <w:rFonts w:hint="eastAsia" w:hAnsi="宋体"/>
                    </w:rPr>
                    <w:t>本项目按相关要求设置各</w:t>
                  </w:r>
                  <w:r>
                    <w:rPr>
                      <w:rFonts w:hAnsi="宋体"/>
                    </w:rPr>
                    <w:t>功能分区</w:t>
                  </w:r>
                  <w:r>
                    <w:rPr>
                      <w:rFonts w:hint="eastAsia" w:hAnsi="宋体"/>
                    </w:rPr>
                    <w:t>。</w:t>
                  </w:r>
                </w:p>
              </w:tc>
              <w:tc>
                <w:tcPr>
                  <w:tcW w:w="292" w:type="pct"/>
                  <w:vAlign w:val="center"/>
                </w:tcPr>
                <w:p w14:paraId="45EC46DF">
                  <w:pPr>
                    <w:pStyle w:val="87"/>
                    <w:rPr>
                      <w:rFonts w:hint="eastAsia" w:hAnsi="宋体"/>
                    </w:rPr>
                  </w:pPr>
                  <w:r>
                    <w:rPr>
                      <w:rFonts w:hint="eastAsia" w:hAnsi="宋体"/>
                    </w:rPr>
                    <w:t>符合</w:t>
                  </w:r>
                </w:p>
              </w:tc>
            </w:tr>
            <w:tr w14:paraId="1565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6936C783">
                  <w:pPr>
                    <w:pStyle w:val="87"/>
                    <w:rPr>
                      <w:rFonts w:hint="eastAsia" w:hAnsi="宋体"/>
                    </w:rPr>
                  </w:pPr>
                  <w:r>
                    <w:rPr>
                      <w:rFonts w:hint="eastAsia" w:hAnsi="宋体"/>
                    </w:rPr>
                    <w:t>2</w:t>
                  </w:r>
                </w:p>
              </w:tc>
              <w:tc>
                <w:tcPr>
                  <w:tcW w:w="303" w:type="pct"/>
                  <w:vMerge w:val="continue"/>
                  <w:vAlign w:val="center"/>
                </w:tcPr>
                <w:p w14:paraId="7590DA95">
                  <w:pPr>
                    <w:pStyle w:val="87"/>
                    <w:rPr>
                      <w:rFonts w:hint="eastAsia" w:hAnsi="宋体"/>
                    </w:rPr>
                  </w:pPr>
                </w:p>
              </w:tc>
              <w:tc>
                <w:tcPr>
                  <w:tcW w:w="1607" w:type="pct"/>
                  <w:vAlign w:val="center"/>
                </w:tcPr>
                <w:p w14:paraId="511E78D8">
                  <w:pPr>
                    <w:pStyle w:val="87"/>
                    <w:rPr>
                      <w:rFonts w:hint="eastAsia" w:hAnsi="宋体"/>
                    </w:rPr>
                  </w:pPr>
                  <w:r>
                    <w:rPr>
                      <w:rFonts w:hAnsi="宋体"/>
                    </w:rPr>
                    <w:t>矿区地面道路、供水、供电、卫生、环保等基础配套设施完善，道路平整规范，标识清晰、标牌统一。</w:t>
                  </w:r>
                </w:p>
              </w:tc>
              <w:tc>
                <w:tcPr>
                  <w:tcW w:w="2536" w:type="pct"/>
                  <w:vAlign w:val="center"/>
                </w:tcPr>
                <w:p w14:paraId="190ED3E8">
                  <w:pPr>
                    <w:pStyle w:val="87"/>
                    <w:rPr>
                      <w:rFonts w:hint="eastAsia" w:hAnsi="宋体"/>
                    </w:rPr>
                  </w:pPr>
                  <w:r>
                    <w:rPr>
                      <w:rFonts w:hint="eastAsia" w:hAnsi="宋体"/>
                    </w:rPr>
                    <w:t>本项目建设清洁井场，做到场地平整、清洁卫生；配套建设井场道路、供水、供电、环保等基础设施。</w:t>
                  </w:r>
                </w:p>
              </w:tc>
              <w:tc>
                <w:tcPr>
                  <w:tcW w:w="292" w:type="pct"/>
                  <w:vAlign w:val="center"/>
                </w:tcPr>
                <w:p w14:paraId="68E43229">
                  <w:pPr>
                    <w:pStyle w:val="87"/>
                    <w:rPr>
                      <w:rFonts w:hint="eastAsia" w:hAnsi="宋体"/>
                    </w:rPr>
                  </w:pPr>
                  <w:r>
                    <w:rPr>
                      <w:rFonts w:hint="eastAsia" w:hAnsi="宋体"/>
                    </w:rPr>
                    <w:t>符合</w:t>
                  </w:r>
                </w:p>
              </w:tc>
            </w:tr>
            <w:tr w14:paraId="34E4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69A10EE0">
                  <w:pPr>
                    <w:pStyle w:val="87"/>
                    <w:rPr>
                      <w:rFonts w:hint="eastAsia" w:hAnsi="宋体"/>
                    </w:rPr>
                  </w:pPr>
                  <w:r>
                    <w:rPr>
                      <w:rFonts w:hint="eastAsia" w:hAnsi="宋体"/>
                    </w:rPr>
                    <w:t>3</w:t>
                  </w:r>
                </w:p>
              </w:tc>
              <w:tc>
                <w:tcPr>
                  <w:tcW w:w="303" w:type="pct"/>
                  <w:vMerge w:val="continue"/>
                  <w:vAlign w:val="center"/>
                </w:tcPr>
                <w:p w14:paraId="62C489E7">
                  <w:pPr>
                    <w:pStyle w:val="87"/>
                    <w:rPr>
                      <w:rFonts w:hint="eastAsia" w:hAnsi="宋体"/>
                    </w:rPr>
                  </w:pPr>
                </w:p>
              </w:tc>
              <w:tc>
                <w:tcPr>
                  <w:tcW w:w="1607" w:type="pct"/>
                  <w:vAlign w:val="center"/>
                </w:tcPr>
                <w:p w14:paraId="28EB5DA7">
                  <w:pPr>
                    <w:pStyle w:val="87"/>
                    <w:rPr>
                      <w:rFonts w:hint="eastAsia" w:hAnsi="宋体"/>
                    </w:rPr>
                  </w:pPr>
                  <w:r>
                    <w:rPr>
                      <w:rFonts w:hAnsi="宋体"/>
                    </w:rPr>
                    <w:t>执行各类废弃物管理制度。固体废弃物按照GB18599的规定堆放、综合利用和处置；矿区废液污物按照GB8978的规定存储和处置。</w:t>
                  </w:r>
                </w:p>
              </w:tc>
              <w:tc>
                <w:tcPr>
                  <w:tcW w:w="2536" w:type="pct"/>
                  <w:vAlign w:val="center"/>
                </w:tcPr>
                <w:p w14:paraId="6874975F">
                  <w:pPr>
                    <w:pStyle w:val="87"/>
                    <w:rPr>
                      <w:rFonts w:hint="eastAsia" w:hAnsi="宋体"/>
                    </w:rPr>
                  </w:pPr>
                  <w:r>
                    <w:rPr>
                      <w:rFonts w:hint="eastAsia" w:hAnsi="宋体"/>
                    </w:rPr>
                    <w:t>钻井固废全部排至“泥浆不落地”设备，导管、一开和二开</w:t>
                  </w:r>
                  <w:r>
                    <w:rPr>
                      <w:rFonts w:hint="eastAsia"/>
                    </w:rPr>
                    <w:t>段</w:t>
                  </w:r>
                  <w:r>
                    <w:rPr>
                      <w:rFonts w:hint="eastAsia" w:hAnsi="宋体" w:cs="宋体"/>
                    </w:rPr>
                    <w:t>钻井固废属于一般固体废物，交由专业单位无害化处置；</w:t>
                  </w:r>
                  <w:r>
                    <w:rPr>
                      <w:rFonts w:hint="eastAsia" w:hAnsi="宋体"/>
                    </w:rPr>
                    <w:t>处理后的钻井固废按照《油气田钻井固体废物综合利用污染控制要求》（DB65/T 3997-2017）的规范标准要求，可用于修路、铺垫井场。</w:t>
                  </w:r>
                </w:p>
                <w:p w14:paraId="5BE01132">
                  <w:pPr>
                    <w:pStyle w:val="87"/>
                    <w:rPr>
                      <w:rFonts w:hint="eastAsia" w:hAnsi="宋体"/>
                    </w:rPr>
                  </w:pPr>
                  <w:r>
                    <w:rPr>
                      <w:rFonts w:hint="eastAsia" w:hAnsi="宋体"/>
                    </w:rPr>
                    <w:t>本项目产生的井下作业废液、压裂返排液拉运至油田春风一号联合站采出水处理系统处理；锅炉排污水、软水系统排水回用于脱硫塔。</w:t>
                  </w:r>
                </w:p>
              </w:tc>
              <w:tc>
                <w:tcPr>
                  <w:tcW w:w="292" w:type="pct"/>
                  <w:vAlign w:val="center"/>
                </w:tcPr>
                <w:p w14:paraId="3E008467">
                  <w:pPr>
                    <w:pStyle w:val="87"/>
                    <w:rPr>
                      <w:rFonts w:hint="eastAsia" w:hAnsi="宋体"/>
                    </w:rPr>
                  </w:pPr>
                  <w:r>
                    <w:rPr>
                      <w:rFonts w:hint="eastAsia" w:hAnsi="宋体"/>
                    </w:rPr>
                    <w:t>符合</w:t>
                  </w:r>
                </w:p>
              </w:tc>
            </w:tr>
            <w:tr w14:paraId="6A0E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34FA6889">
                  <w:pPr>
                    <w:pStyle w:val="87"/>
                    <w:rPr>
                      <w:rFonts w:hint="eastAsia" w:hAnsi="宋体"/>
                    </w:rPr>
                  </w:pPr>
                  <w:r>
                    <w:rPr>
                      <w:rFonts w:hint="eastAsia" w:hAnsi="宋体"/>
                    </w:rPr>
                    <w:t>4</w:t>
                  </w:r>
                </w:p>
              </w:tc>
              <w:tc>
                <w:tcPr>
                  <w:tcW w:w="303" w:type="pct"/>
                  <w:vMerge w:val="restart"/>
                  <w:vAlign w:val="center"/>
                </w:tcPr>
                <w:p w14:paraId="05891B00">
                  <w:pPr>
                    <w:pStyle w:val="87"/>
                    <w:rPr>
                      <w:rFonts w:hint="eastAsia" w:hAnsi="宋体"/>
                    </w:rPr>
                  </w:pPr>
                  <w:r>
                    <w:rPr>
                      <w:rFonts w:hAnsi="宋体"/>
                    </w:rPr>
                    <w:t>资源开发方式</w:t>
                  </w:r>
                </w:p>
              </w:tc>
              <w:tc>
                <w:tcPr>
                  <w:tcW w:w="1607" w:type="pct"/>
                  <w:vAlign w:val="center"/>
                </w:tcPr>
                <w:p w14:paraId="77DD908F">
                  <w:pPr>
                    <w:pStyle w:val="87"/>
                    <w:rPr>
                      <w:rFonts w:hint="eastAsia" w:hAnsi="宋体"/>
                    </w:rPr>
                  </w:pPr>
                  <w:r>
                    <w:rPr>
                      <w:rFonts w:hAnsi="宋体"/>
                    </w:rPr>
                    <w:t>应遵循矿区油气资源赋存状况、生态环境特征等条件，科学合理确定开发方案，选择与油气藏类型相适应的先进开采技术和工艺，推广使用成熟、先进的技术装备，严禁使用国家明文规定的限制和淘汰的技术工艺及装备。</w:t>
                  </w:r>
                </w:p>
              </w:tc>
              <w:tc>
                <w:tcPr>
                  <w:tcW w:w="2536" w:type="pct"/>
                  <w:vAlign w:val="center"/>
                </w:tcPr>
                <w:p w14:paraId="09FFBBAF">
                  <w:pPr>
                    <w:pStyle w:val="87"/>
                    <w:rPr>
                      <w:rFonts w:hint="eastAsia" w:hAnsi="宋体"/>
                    </w:rPr>
                  </w:pPr>
                  <w:r>
                    <w:rPr>
                      <w:rFonts w:hint="eastAsia" w:hAnsi="宋体"/>
                    </w:rPr>
                    <w:t>本项目采用先进技术、工艺设备，未使用国家和自治区明令淘汰的技术、工艺和设备。</w:t>
                  </w:r>
                </w:p>
              </w:tc>
              <w:tc>
                <w:tcPr>
                  <w:tcW w:w="292" w:type="pct"/>
                  <w:vAlign w:val="center"/>
                </w:tcPr>
                <w:p w14:paraId="32CFD442">
                  <w:pPr>
                    <w:pStyle w:val="87"/>
                    <w:rPr>
                      <w:rFonts w:hint="eastAsia" w:hAnsi="宋体"/>
                    </w:rPr>
                  </w:pPr>
                  <w:r>
                    <w:rPr>
                      <w:rFonts w:hint="eastAsia" w:hAnsi="宋体"/>
                    </w:rPr>
                    <w:t>符合</w:t>
                  </w:r>
                </w:p>
              </w:tc>
            </w:tr>
            <w:tr w14:paraId="4706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5295E773">
                  <w:pPr>
                    <w:pStyle w:val="87"/>
                    <w:rPr>
                      <w:rFonts w:hint="eastAsia" w:hAnsi="宋体"/>
                    </w:rPr>
                  </w:pPr>
                  <w:r>
                    <w:rPr>
                      <w:rFonts w:hint="eastAsia" w:hAnsi="宋体"/>
                    </w:rPr>
                    <w:t>5</w:t>
                  </w:r>
                </w:p>
              </w:tc>
              <w:tc>
                <w:tcPr>
                  <w:tcW w:w="303" w:type="pct"/>
                  <w:vMerge w:val="continue"/>
                  <w:vAlign w:val="center"/>
                </w:tcPr>
                <w:p w14:paraId="5BDD1AC4">
                  <w:pPr>
                    <w:pStyle w:val="87"/>
                    <w:rPr>
                      <w:rFonts w:hint="eastAsia" w:hAnsi="宋体"/>
                    </w:rPr>
                  </w:pPr>
                </w:p>
              </w:tc>
              <w:tc>
                <w:tcPr>
                  <w:tcW w:w="1607" w:type="pct"/>
                  <w:vAlign w:val="center"/>
                </w:tcPr>
                <w:p w14:paraId="4C58B1EF">
                  <w:pPr>
                    <w:pStyle w:val="87"/>
                    <w:rPr>
                      <w:rFonts w:hint="eastAsia" w:hAnsi="宋体"/>
                    </w:rPr>
                  </w:pPr>
                  <w:r>
                    <w:rPr>
                      <w:rFonts w:hAnsi="宋体"/>
                    </w:rPr>
                    <w:t>集约节约利用土地资源，土地利用符合用地指标政策。合理确定站址、场址、管网、路网建设占地规模。</w:t>
                  </w:r>
                </w:p>
              </w:tc>
              <w:tc>
                <w:tcPr>
                  <w:tcW w:w="2536" w:type="pct"/>
                  <w:vAlign w:val="center"/>
                </w:tcPr>
                <w:p w14:paraId="01AF0AC6">
                  <w:pPr>
                    <w:pStyle w:val="87"/>
                    <w:rPr>
                      <w:rFonts w:hint="eastAsia" w:hAnsi="宋体"/>
                    </w:rPr>
                  </w:pPr>
                  <w:r>
                    <w:rPr>
                      <w:rFonts w:hint="eastAsia" w:hAnsi="宋体"/>
                    </w:rPr>
                    <w:t>本项目合理规划井场占地。</w:t>
                  </w:r>
                </w:p>
              </w:tc>
              <w:tc>
                <w:tcPr>
                  <w:tcW w:w="292" w:type="pct"/>
                  <w:vAlign w:val="center"/>
                </w:tcPr>
                <w:p w14:paraId="333D0574">
                  <w:pPr>
                    <w:pStyle w:val="87"/>
                    <w:rPr>
                      <w:rFonts w:hint="eastAsia" w:hAnsi="宋体"/>
                    </w:rPr>
                  </w:pPr>
                  <w:r>
                    <w:rPr>
                      <w:rFonts w:hint="eastAsia" w:hAnsi="宋体"/>
                    </w:rPr>
                    <w:t>符合</w:t>
                  </w:r>
                </w:p>
              </w:tc>
            </w:tr>
            <w:tr w14:paraId="689D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7236DCA0">
                  <w:pPr>
                    <w:pStyle w:val="87"/>
                    <w:rPr>
                      <w:rFonts w:hint="eastAsia" w:hAnsi="宋体"/>
                    </w:rPr>
                  </w:pPr>
                  <w:r>
                    <w:rPr>
                      <w:rFonts w:hint="eastAsia" w:hAnsi="宋体"/>
                    </w:rPr>
                    <w:t>6</w:t>
                  </w:r>
                </w:p>
              </w:tc>
              <w:tc>
                <w:tcPr>
                  <w:tcW w:w="303" w:type="pct"/>
                  <w:vMerge w:val="continue"/>
                  <w:vAlign w:val="center"/>
                </w:tcPr>
                <w:p w14:paraId="3DBAE5E1">
                  <w:pPr>
                    <w:pStyle w:val="87"/>
                    <w:rPr>
                      <w:rFonts w:hint="eastAsia" w:hAnsi="宋体"/>
                    </w:rPr>
                  </w:pPr>
                </w:p>
              </w:tc>
              <w:tc>
                <w:tcPr>
                  <w:tcW w:w="1607" w:type="pct"/>
                  <w:vAlign w:val="center"/>
                </w:tcPr>
                <w:p w14:paraId="4611B70A">
                  <w:pPr>
                    <w:pStyle w:val="87"/>
                    <w:rPr>
                      <w:rFonts w:hint="eastAsia" w:hAnsi="宋体"/>
                    </w:rPr>
                  </w:pPr>
                  <w:r>
                    <w:rPr>
                      <w:rFonts w:hAnsi="宋体"/>
                    </w:rPr>
                    <w:t>应实施绿色钻井技术体系，科学选择钻井方式、环境友好型钻井液及井控措施，配备完善的固控系统，及时妥善处置钻井泥浆。</w:t>
                  </w:r>
                </w:p>
              </w:tc>
              <w:tc>
                <w:tcPr>
                  <w:tcW w:w="2536" w:type="pct"/>
                  <w:vAlign w:val="center"/>
                </w:tcPr>
                <w:p w14:paraId="30A7CD5B">
                  <w:pPr>
                    <w:pStyle w:val="87"/>
                    <w:rPr>
                      <w:rFonts w:hint="eastAsia" w:hAnsi="宋体"/>
                    </w:rPr>
                  </w:pPr>
                  <w:r>
                    <w:rPr>
                      <w:rFonts w:hint="eastAsia" w:hAnsi="宋体"/>
                    </w:rPr>
                    <w:t>钻井固废全部排至“泥浆不落地”设备，导管、一开和二开</w:t>
                  </w:r>
                  <w:r>
                    <w:rPr>
                      <w:rFonts w:hint="eastAsia"/>
                    </w:rPr>
                    <w:t>段</w:t>
                  </w:r>
                  <w:r>
                    <w:rPr>
                      <w:rFonts w:hint="eastAsia" w:hAnsi="宋体" w:cs="宋体"/>
                    </w:rPr>
                    <w:t>钻井固废属于一般固体废物，交由专业单位无害化处置；</w:t>
                  </w:r>
                  <w:r>
                    <w:rPr>
                      <w:rFonts w:hint="eastAsia" w:hAnsi="宋体"/>
                    </w:rPr>
                    <w:t>处理后的钻井固废按照《油气田钻井固体废物综合利用污染控制要求》（DB65/T 3997-2017）的规范标准要求，可用于修路、铺垫井场。</w:t>
                  </w:r>
                </w:p>
              </w:tc>
              <w:tc>
                <w:tcPr>
                  <w:tcW w:w="292" w:type="pct"/>
                  <w:vAlign w:val="center"/>
                </w:tcPr>
                <w:p w14:paraId="307DE3EB">
                  <w:pPr>
                    <w:pStyle w:val="87"/>
                    <w:rPr>
                      <w:rFonts w:hint="eastAsia" w:hAnsi="宋体"/>
                    </w:rPr>
                  </w:pPr>
                  <w:r>
                    <w:rPr>
                      <w:rFonts w:hint="eastAsia" w:hAnsi="宋体"/>
                    </w:rPr>
                    <w:t>符合</w:t>
                  </w:r>
                </w:p>
              </w:tc>
            </w:tr>
            <w:tr w14:paraId="1D7A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79DC26B3">
                  <w:pPr>
                    <w:pStyle w:val="87"/>
                    <w:rPr>
                      <w:rFonts w:hint="eastAsia" w:hAnsi="宋体"/>
                    </w:rPr>
                  </w:pPr>
                  <w:r>
                    <w:rPr>
                      <w:rFonts w:hint="eastAsia" w:hAnsi="宋体"/>
                    </w:rPr>
                    <w:t>7</w:t>
                  </w:r>
                </w:p>
              </w:tc>
              <w:tc>
                <w:tcPr>
                  <w:tcW w:w="303" w:type="pct"/>
                  <w:vMerge w:val="restart"/>
                  <w:vAlign w:val="center"/>
                </w:tcPr>
                <w:p w14:paraId="0DC5886F">
                  <w:pPr>
                    <w:pStyle w:val="87"/>
                    <w:rPr>
                      <w:rFonts w:hint="eastAsia" w:hAnsi="宋体"/>
                    </w:rPr>
                  </w:pPr>
                  <w:r>
                    <w:rPr>
                      <w:rFonts w:hAnsi="宋体"/>
                    </w:rPr>
                    <w:t>资源综合利用</w:t>
                  </w:r>
                </w:p>
              </w:tc>
              <w:tc>
                <w:tcPr>
                  <w:tcW w:w="1607" w:type="pct"/>
                  <w:vAlign w:val="center"/>
                </w:tcPr>
                <w:p w14:paraId="6E0FB0E9">
                  <w:pPr>
                    <w:pStyle w:val="87"/>
                    <w:rPr>
                      <w:rFonts w:hint="eastAsia" w:hAnsi="宋体"/>
                    </w:rPr>
                  </w:pPr>
                  <w:r>
                    <w:rPr>
                      <w:rFonts w:hAnsi="宋体"/>
                    </w:rPr>
                    <w:t>油气生产过程中产生的废液、废气、固体废物应建档分类管理，并清洁化、无害化处置，处置率应达到100%。</w:t>
                  </w:r>
                </w:p>
              </w:tc>
              <w:tc>
                <w:tcPr>
                  <w:tcW w:w="2536" w:type="pct"/>
                  <w:vAlign w:val="center"/>
                </w:tcPr>
                <w:p w14:paraId="6B02C963">
                  <w:pPr>
                    <w:pStyle w:val="87"/>
                    <w:rPr>
                      <w:rFonts w:hint="eastAsia" w:hAnsi="宋体"/>
                    </w:rPr>
                  </w:pPr>
                  <w:r>
                    <w:rPr>
                      <w:rFonts w:hint="eastAsia" w:hAnsi="宋体"/>
                    </w:rPr>
                    <w:t>本项目施工期、试油期产生的各类污染物均能得到妥善处置，不外排。</w:t>
                  </w:r>
                </w:p>
              </w:tc>
              <w:tc>
                <w:tcPr>
                  <w:tcW w:w="292" w:type="pct"/>
                  <w:vAlign w:val="center"/>
                </w:tcPr>
                <w:p w14:paraId="64F4C6C9">
                  <w:pPr>
                    <w:pStyle w:val="87"/>
                    <w:rPr>
                      <w:rFonts w:hint="eastAsia" w:hAnsi="宋体"/>
                    </w:rPr>
                  </w:pPr>
                  <w:r>
                    <w:rPr>
                      <w:rFonts w:hint="eastAsia" w:hAnsi="宋体"/>
                    </w:rPr>
                    <w:t>符合</w:t>
                  </w:r>
                </w:p>
              </w:tc>
            </w:tr>
            <w:tr w14:paraId="6495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112ABE40">
                  <w:pPr>
                    <w:pStyle w:val="87"/>
                    <w:rPr>
                      <w:rFonts w:hint="eastAsia" w:hAnsi="宋体"/>
                    </w:rPr>
                  </w:pPr>
                  <w:r>
                    <w:rPr>
                      <w:rFonts w:hAnsi="宋体"/>
                    </w:rPr>
                    <w:t>8</w:t>
                  </w:r>
                </w:p>
              </w:tc>
              <w:tc>
                <w:tcPr>
                  <w:tcW w:w="303" w:type="pct"/>
                  <w:vMerge w:val="continue"/>
                  <w:vAlign w:val="center"/>
                </w:tcPr>
                <w:p w14:paraId="2FD14E2E">
                  <w:pPr>
                    <w:pStyle w:val="87"/>
                    <w:rPr>
                      <w:rFonts w:hint="eastAsia" w:hAnsi="宋体"/>
                    </w:rPr>
                  </w:pPr>
                </w:p>
              </w:tc>
              <w:tc>
                <w:tcPr>
                  <w:tcW w:w="1607" w:type="pct"/>
                  <w:vAlign w:val="center"/>
                </w:tcPr>
                <w:p w14:paraId="0BB105A5">
                  <w:pPr>
                    <w:pStyle w:val="87"/>
                    <w:rPr>
                      <w:rFonts w:hint="eastAsia" w:hAnsi="宋体"/>
                    </w:rPr>
                  </w:pPr>
                  <w:r>
                    <w:rPr>
                      <w:rFonts w:hAnsi="宋体"/>
                    </w:rPr>
                    <w:t>油气开采过程中产生的落地原油，应及时完全回收。</w:t>
                  </w:r>
                </w:p>
              </w:tc>
              <w:tc>
                <w:tcPr>
                  <w:tcW w:w="2536" w:type="pct"/>
                  <w:vAlign w:val="center"/>
                </w:tcPr>
                <w:p w14:paraId="213230A2">
                  <w:pPr>
                    <w:pStyle w:val="87"/>
                    <w:rPr>
                      <w:rFonts w:hint="eastAsia" w:hAnsi="宋体"/>
                    </w:rPr>
                  </w:pPr>
                  <w:r>
                    <w:rPr>
                      <w:rFonts w:hint="eastAsia" w:hAnsi="宋体"/>
                    </w:rPr>
                    <w:t>本项目试油过程中在施工现场设置钢制船型围堰，实现原油不落地</w:t>
                  </w:r>
                </w:p>
              </w:tc>
              <w:tc>
                <w:tcPr>
                  <w:tcW w:w="292" w:type="pct"/>
                  <w:vAlign w:val="center"/>
                </w:tcPr>
                <w:p w14:paraId="1D807857">
                  <w:pPr>
                    <w:pStyle w:val="87"/>
                    <w:rPr>
                      <w:rFonts w:hint="eastAsia" w:hAnsi="宋体"/>
                    </w:rPr>
                  </w:pPr>
                  <w:r>
                    <w:rPr>
                      <w:rFonts w:hint="eastAsia" w:hAnsi="宋体"/>
                    </w:rPr>
                    <w:t>符合</w:t>
                  </w:r>
                </w:p>
              </w:tc>
            </w:tr>
          </w:tbl>
          <w:p w14:paraId="54436661">
            <w:pPr>
              <w:pStyle w:val="103"/>
              <w:ind w:firstLine="420"/>
              <w:rPr>
                <w:rFonts w:hint="eastAsia"/>
                <w:sz w:val="21"/>
                <w:szCs w:val="21"/>
              </w:rPr>
            </w:pPr>
          </w:p>
          <w:p w14:paraId="38BB8529">
            <w:pPr>
              <w:pStyle w:val="113"/>
              <w:rPr>
                <w:rFonts w:hint="eastAsia"/>
                <w:szCs w:val="21"/>
              </w:rPr>
            </w:pPr>
            <w:r>
              <w:rPr>
                <w:rFonts w:hint="eastAsia"/>
                <w:szCs w:val="21"/>
              </w:rPr>
              <w:t>综上所述，本项目建设符合《陆上石油天然气开采业绿色矿山建设规范》（DZ/T 0317-2018）的相关规定。</w:t>
            </w:r>
          </w:p>
          <w:p w14:paraId="0CF03B48">
            <w:pPr>
              <w:pStyle w:val="113"/>
              <w:rPr>
                <w:rFonts w:hint="eastAsia"/>
                <w:kern w:val="0"/>
                <w:szCs w:val="21"/>
              </w:rPr>
            </w:pPr>
            <w:r>
              <w:rPr>
                <w:kern w:val="0"/>
                <w:szCs w:val="21"/>
              </w:rPr>
              <w:t>5</w:t>
            </w:r>
            <w:r>
              <w:rPr>
                <w:rFonts w:hint="eastAsia"/>
                <w:kern w:val="0"/>
                <w:szCs w:val="21"/>
              </w:rPr>
              <w:t>、与《石油天然气开采业污染防治技术政策》（2012年3月7日）的</w:t>
            </w:r>
            <w:r>
              <w:rPr>
                <w:rFonts w:hint="eastAsia"/>
                <w:szCs w:val="21"/>
              </w:rPr>
              <w:t>相符性分析</w:t>
            </w:r>
          </w:p>
          <w:p w14:paraId="771EF446">
            <w:pPr>
              <w:pStyle w:val="113"/>
              <w:rPr>
                <w:rFonts w:hint="eastAsia"/>
                <w:kern w:val="0"/>
                <w:szCs w:val="21"/>
              </w:rPr>
            </w:pPr>
            <w:r>
              <w:rPr>
                <w:rFonts w:hint="eastAsia"/>
                <w:kern w:val="0"/>
                <w:szCs w:val="21"/>
              </w:rPr>
              <w:t>本项目与《石油天然气开采业污染防治技术政策》（2012年3月7日）的</w:t>
            </w:r>
            <w:r>
              <w:rPr>
                <w:rFonts w:hint="eastAsia"/>
                <w:szCs w:val="21"/>
              </w:rPr>
              <w:t>相符性分析</w:t>
            </w:r>
            <w:r>
              <w:rPr>
                <w:rFonts w:hint="eastAsia"/>
                <w:kern w:val="0"/>
                <w:szCs w:val="21"/>
              </w:rPr>
              <w:t>见</w:t>
            </w:r>
            <w:r>
              <w:rPr>
                <w:kern w:val="0"/>
                <w:szCs w:val="21"/>
              </w:rPr>
              <w:fldChar w:fldCharType="begin"/>
            </w:r>
            <w:r>
              <w:rPr>
                <w:kern w:val="0"/>
                <w:szCs w:val="21"/>
              </w:rPr>
              <w:instrText xml:space="preserve"> </w:instrText>
            </w:r>
            <w:r>
              <w:rPr>
                <w:rFonts w:hint="eastAsia"/>
                <w:kern w:val="0"/>
                <w:szCs w:val="21"/>
              </w:rPr>
              <w:instrText xml:space="preserve">REF _Ref138671997 \h</w:instrText>
            </w:r>
            <w:r>
              <w:rPr>
                <w:kern w:val="0"/>
                <w:szCs w:val="21"/>
              </w:rPr>
              <w:instrText xml:space="preserve">  \* MERGEFORMAT </w:instrText>
            </w:r>
            <w:r>
              <w:rPr>
                <w:kern w:val="0"/>
                <w:szCs w:val="21"/>
              </w:rPr>
              <w:fldChar w:fldCharType="separate"/>
            </w:r>
            <w:r>
              <w:rPr>
                <w:rFonts w:hint="eastAsia"/>
              </w:rPr>
              <w:t>表8</w:t>
            </w:r>
            <w:r>
              <w:rPr>
                <w:kern w:val="0"/>
                <w:szCs w:val="21"/>
              </w:rPr>
              <w:fldChar w:fldCharType="end"/>
            </w:r>
            <w:r>
              <w:rPr>
                <w:rFonts w:hint="eastAsia"/>
                <w:kern w:val="0"/>
                <w:szCs w:val="21"/>
              </w:rPr>
              <w:t>。</w:t>
            </w:r>
          </w:p>
          <w:p w14:paraId="798E0754">
            <w:pPr>
              <w:pStyle w:val="12"/>
              <w:keepLines/>
              <w:spacing w:before="120"/>
              <w:rPr>
                <w:rFonts w:hint="eastAsia" w:hAnsi="宋体"/>
              </w:rPr>
            </w:pPr>
            <w:bookmarkStart w:id="12" w:name="_Ref138671997"/>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8</w:t>
            </w:r>
            <w:r>
              <w:rPr>
                <w:rFonts w:hAnsi="宋体"/>
              </w:rPr>
              <w:fldChar w:fldCharType="end"/>
            </w:r>
            <w:bookmarkEnd w:id="12"/>
            <w:r>
              <w:rPr>
                <w:rFonts w:hAnsi="宋体"/>
              </w:rPr>
              <w:t xml:space="preserve">  </w:t>
            </w:r>
            <w:r>
              <w:rPr>
                <w:rFonts w:hint="eastAsia" w:hAnsi="宋体"/>
                <w:szCs w:val="21"/>
              </w:rPr>
              <w:t>与《石油天然气开采业污染防治技术政策》的相符性分析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0"/>
              <w:gridCol w:w="3409"/>
              <w:gridCol w:w="523"/>
            </w:tblGrid>
            <w:tr w14:paraId="19E5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712" w:type="pct"/>
                  <w:tcBorders>
                    <w:top w:val="single" w:color="auto" w:sz="4" w:space="0"/>
                    <w:left w:val="single" w:color="auto" w:sz="4" w:space="0"/>
                    <w:bottom w:val="single" w:color="auto" w:sz="4" w:space="0"/>
                    <w:right w:val="single" w:color="auto" w:sz="4" w:space="0"/>
                  </w:tcBorders>
                  <w:vAlign w:val="center"/>
                </w:tcPr>
                <w:p w14:paraId="58BC22EA">
                  <w:pPr>
                    <w:pStyle w:val="87"/>
                    <w:rPr>
                      <w:rFonts w:hint="eastAsia" w:hAnsi="宋体"/>
                    </w:rPr>
                  </w:pPr>
                  <w:r>
                    <w:rPr>
                      <w:rFonts w:hint="eastAsia" w:hAnsi="宋体"/>
                    </w:rPr>
                    <w:t>文件要求</w:t>
                  </w:r>
                </w:p>
              </w:tc>
              <w:tc>
                <w:tcPr>
                  <w:tcW w:w="1984" w:type="pct"/>
                  <w:tcBorders>
                    <w:top w:val="single" w:color="auto" w:sz="4" w:space="0"/>
                    <w:left w:val="single" w:color="auto" w:sz="4" w:space="0"/>
                    <w:bottom w:val="single" w:color="auto" w:sz="4" w:space="0"/>
                    <w:right w:val="single" w:color="auto" w:sz="4" w:space="0"/>
                  </w:tcBorders>
                  <w:vAlign w:val="center"/>
                </w:tcPr>
                <w:p w14:paraId="44945F85">
                  <w:pPr>
                    <w:pStyle w:val="87"/>
                    <w:rPr>
                      <w:rFonts w:hint="eastAsia" w:hAnsi="宋体"/>
                    </w:rPr>
                  </w:pPr>
                  <w:r>
                    <w:rPr>
                      <w:rFonts w:hint="eastAsia" w:hAnsi="宋体"/>
                      <w:bCs/>
                    </w:rPr>
                    <w:t>项目情况</w:t>
                  </w:r>
                </w:p>
              </w:tc>
              <w:tc>
                <w:tcPr>
                  <w:tcW w:w="304" w:type="pct"/>
                  <w:tcBorders>
                    <w:top w:val="single" w:color="auto" w:sz="4" w:space="0"/>
                    <w:left w:val="single" w:color="auto" w:sz="4" w:space="0"/>
                    <w:bottom w:val="single" w:color="auto" w:sz="4" w:space="0"/>
                    <w:right w:val="single" w:color="auto" w:sz="4" w:space="0"/>
                  </w:tcBorders>
                  <w:vAlign w:val="center"/>
                </w:tcPr>
                <w:p w14:paraId="0B215C78">
                  <w:pPr>
                    <w:pStyle w:val="87"/>
                    <w:rPr>
                      <w:rFonts w:hint="eastAsia" w:hAnsi="宋体"/>
                    </w:rPr>
                  </w:pPr>
                  <w:r>
                    <w:rPr>
                      <w:rFonts w:hint="eastAsia" w:hAnsi="宋体"/>
                    </w:rPr>
                    <w:t>符合情况</w:t>
                  </w:r>
                </w:p>
              </w:tc>
            </w:tr>
            <w:tr w14:paraId="2FD6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03D6A407">
                  <w:pPr>
                    <w:pStyle w:val="87"/>
                    <w:rPr>
                      <w:rFonts w:hint="eastAsia" w:hAnsi="宋体"/>
                    </w:rPr>
                  </w:pPr>
                  <w:r>
                    <w:rPr>
                      <w:rFonts w:hint="eastAsia" w:hAnsi="宋体"/>
                    </w:rPr>
                    <w:t>一、总则</w:t>
                  </w:r>
                </w:p>
              </w:tc>
              <w:tc>
                <w:tcPr>
                  <w:tcW w:w="1984" w:type="pct"/>
                  <w:tcBorders>
                    <w:top w:val="single" w:color="auto" w:sz="4" w:space="0"/>
                    <w:left w:val="single" w:color="auto" w:sz="4" w:space="0"/>
                    <w:bottom w:val="single" w:color="auto" w:sz="4" w:space="0"/>
                    <w:right w:val="single" w:color="auto" w:sz="4" w:space="0"/>
                  </w:tcBorders>
                  <w:vAlign w:val="center"/>
                </w:tcPr>
                <w:p w14:paraId="5C5F5238">
                  <w:pPr>
                    <w:pStyle w:val="87"/>
                    <w:rPr>
                      <w:rFonts w:hint="eastAsia" w:hAnsi="宋体"/>
                      <w:bCs/>
                    </w:rPr>
                  </w:pPr>
                </w:p>
              </w:tc>
              <w:tc>
                <w:tcPr>
                  <w:tcW w:w="304" w:type="pct"/>
                  <w:tcBorders>
                    <w:top w:val="single" w:color="auto" w:sz="4" w:space="0"/>
                    <w:left w:val="single" w:color="auto" w:sz="4" w:space="0"/>
                    <w:bottom w:val="single" w:color="auto" w:sz="4" w:space="0"/>
                    <w:right w:val="single" w:color="auto" w:sz="4" w:space="0"/>
                  </w:tcBorders>
                  <w:vAlign w:val="center"/>
                </w:tcPr>
                <w:p w14:paraId="4FE21897">
                  <w:pPr>
                    <w:pStyle w:val="87"/>
                    <w:rPr>
                      <w:rFonts w:hint="eastAsia" w:hAnsi="宋体"/>
                    </w:rPr>
                  </w:pPr>
                </w:p>
              </w:tc>
            </w:tr>
            <w:tr w14:paraId="3E0D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4AA542D5">
                  <w:pPr>
                    <w:pStyle w:val="87"/>
                    <w:rPr>
                      <w:rFonts w:hint="eastAsia" w:hAnsi="宋体"/>
                    </w:rPr>
                  </w:pPr>
                  <w:r>
                    <w:rPr>
                      <w:rFonts w:hint="eastAsia" w:hAnsi="宋体"/>
                    </w:rPr>
                    <w:t>（三）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1984" w:type="pct"/>
                  <w:tcBorders>
                    <w:top w:val="single" w:color="auto" w:sz="4" w:space="0"/>
                    <w:left w:val="single" w:color="auto" w:sz="4" w:space="0"/>
                    <w:bottom w:val="single" w:color="auto" w:sz="4" w:space="0"/>
                    <w:right w:val="single" w:color="auto" w:sz="4" w:space="0"/>
                  </w:tcBorders>
                  <w:vAlign w:val="center"/>
                </w:tcPr>
                <w:p w14:paraId="4101B8ED">
                  <w:pPr>
                    <w:pStyle w:val="87"/>
                    <w:rPr>
                      <w:rFonts w:hint="eastAsia" w:hAnsi="宋体"/>
                    </w:rPr>
                  </w:pPr>
                  <w:r>
                    <w:rPr>
                      <w:rFonts w:hint="eastAsia" w:hAnsi="宋体"/>
                    </w:rPr>
                    <w:t>项目采用清洁生产工艺和技术，生产废水回用率达到100%，固体废物资源化及无害化处理处置率达到100%。</w:t>
                  </w:r>
                </w:p>
              </w:tc>
              <w:tc>
                <w:tcPr>
                  <w:tcW w:w="304" w:type="pct"/>
                  <w:tcBorders>
                    <w:top w:val="single" w:color="auto" w:sz="4" w:space="0"/>
                    <w:left w:val="single" w:color="auto" w:sz="4" w:space="0"/>
                    <w:bottom w:val="single" w:color="auto" w:sz="4" w:space="0"/>
                    <w:right w:val="single" w:color="auto" w:sz="4" w:space="0"/>
                  </w:tcBorders>
                  <w:vAlign w:val="center"/>
                </w:tcPr>
                <w:p w14:paraId="7A2023E0">
                  <w:pPr>
                    <w:pStyle w:val="87"/>
                    <w:rPr>
                      <w:rFonts w:hint="eastAsia" w:hAnsi="宋体"/>
                    </w:rPr>
                  </w:pPr>
                  <w:r>
                    <w:rPr>
                      <w:rFonts w:hint="eastAsia" w:hAnsi="宋体"/>
                    </w:rPr>
                    <w:t>符合</w:t>
                  </w:r>
                </w:p>
              </w:tc>
            </w:tr>
            <w:tr w14:paraId="08F1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EB766BD">
                  <w:pPr>
                    <w:pStyle w:val="87"/>
                    <w:rPr>
                      <w:rFonts w:hint="eastAsia" w:hAnsi="宋体"/>
                    </w:rPr>
                  </w:pPr>
                  <w:r>
                    <w:rPr>
                      <w:rFonts w:hint="eastAsia" w:hAnsi="宋体"/>
                    </w:rPr>
                    <w:t>（四）石油天然气开采要坚持油气开发与环境保护并举，油气田整体开发与优化布局相结合，污染防治与生态保护并重。大力推行清洁生产，发展循环经济，强化末端治理，注重环境风险防范，因地制宜进行生态恢复与建设，实现绿色发展。</w:t>
                  </w:r>
                </w:p>
              </w:tc>
              <w:tc>
                <w:tcPr>
                  <w:tcW w:w="1984" w:type="pct"/>
                  <w:tcBorders>
                    <w:top w:val="single" w:color="auto" w:sz="4" w:space="0"/>
                    <w:left w:val="single" w:color="auto" w:sz="4" w:space="0"/>
                    <w:bottom w:val="single" w:color="auto" w:sz="4" w:space="0"/>
                    <w:right w:val="single" w:color="auto" w:sz="4" w:space="0"/>
                  </w:tcBorders>
                  <w:vAlign w:val="center"/>
                </w:tcPr>
                <w:p w14:paraId="7CED284A">
                  <w:pPr>
                    <w:pStyle w:val="87"/>
                    <w:rPr>
                      <w:rFonts w:hint="eastAsia" w:hAnsi="宋体"/>
                    </w:rPr>
                  </w:pPr>
                  <w:r>
                    <w:rPr>
                      <w:rFonts w:hint="eastAsia" w:hAnsi="宋体"/>
                    </w:rPr>
                    <w:t>拟实施污染防治与生态保护措施。拟推行清洁生产，发展循环经济，强化末端治理，注重环境风险防范，因地制宜进行生态恢复与建设。</w:t>
                  </w:r>
                </w:p>
              </w:tc>
              <w:tc>
                <w:tcPr>
                  <w:tcW w:w="304" w:type="pct"/>
                  <w:tcBorders>
                    <w:top w:val="single" w:color="auto" w:sz="4" w:space="0"/>
                    <w:left w:val="single" w:color="auto" w:sz="4" w:space="0"/>
                    <w:bottom w:val="single" w:color="auto" w:sz="4" w:space="0"/>
                    <w:right w:val="single" w:color="auto" w:sz="4" w:space="0"/>
                  </w:tcBorders>
                  <w:vAlign w:val="center"/>
                </w:tcPr>
                <w:p w14:paraId="312F9199">
                  <w:pPr>
                    <w:pStyle w:val="87"/>
                    <w:rPr>
                      <w:rFonts w:hint="eastAsia" w:hAnsi="宋体"/>
                    </w:rPr>
                  </w:pPr>
                  <w:r>
                    <w:rPr>
                      <w:rFonts w:hint="eastAsia" w:hAnsi="宋体"/>
                    </w:rPr>
                    <w:t>符合</w:t>
                  </w:r>
                </w:p>
              </w:tc>
            </w:tr>
            <w:tr w14:paraId="34F4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32961EB3">
                  <w:pPr>
                    <w:pStyle w:val="87"/>
                    <w:rPr>
                      <w:rFonts w:hint="eastAsia" w:hAnsi="宋体"/>
                    </w:rPr>
                  </w:pPr>
                  <w:r>
                    <w:rPr>
                      <w:rFonts w:hint="eastAsia" w:hAnsi="宋体"/>
                    </w:rPr>
                    <w:t>（五）在环境敏感区进行石油天然气勘探、开采的，要在开发前对生态、环境影响进行充分论证，并严格执行环境影响评价文件的要求，积极采取缓解生态、环境破坏的措施。</w:t>
                  </w:r>
                </w:p>
              </w:tc>
              <w:tc>
                <w:tcPr>
                  <w:tcW w:w="1984" w:type="pct"/>
                  <w:tcBorders>
                    <w:top w:val="single" w:color="auto" w:sz="4" w:space="0"/>
                    <w:left w:val="single" w:color="auto" w:sz="4" w:space="0"/>
                    <w:bottom w:val="single" w:color="auto" w:sz="4" w:space="0"/>
                    <w:right w:val="single" w:color="auto" w:sz="4" w:space="0"/>
                  </w:tcBorders>
                  <w:vAlign w:val="center"/>
                </w:tcPr>
                <w:p w14:paraId="44248C6C">
                  <w:pPr>
                    <w:pStyle w:val="87"/>
                    <w:rPr>
                      <w:rFonts w:hint="eastAsia" w:hAnsi="宋体"/>
                    </w:rPr>
                  </w:pPr>
                  <w:r>
                    <w:rPr>
                      <w:rFonts w:hint="eastAsia" w:hAnsi="宋体"/>
                    </w:rPr>
                    <w:t>本项目对生态、环境影响进行了充分论证，并拟严格执行环境影响评价文件的要求，积极采取缓解生态、环境破坏的措施。</w:t>
                  </w:r>
                </w:p>
              </w:tc>
              <w:tc>
                <w:tcPr>
                  <w:tcW w:w="304" w:type="pct"/>
                  <w:tcBorders>
                    <w:top w:val="single" w:color="auto" w:sz="4" w:space="0"/>
                    <w:left w:val="single" w:color="auto" w:sz="4" w:space="0"/>
                    <w:bottom w:val="single" w:color="auto" w:sz="4" w:space="0"/>
                    <w:right w:val="single" w:color="auto" w:sz="4" w:space="0"/>
                  </w:tcBorders>
                  <w:vAlign w:val="center"/>
                </w:tcPr>
                <w:p w14:paraId="492BEB71">
                  <w:pPr>
                    <w:pStyle w:val="87"/>
                    <w:rPr>
                      <w:rFonts w:hint="eastAsia" w:hAnsi="宋体"/>
                    </w:rPr>
                  </w:pPr>
                  <w:r>
                    <w:rPr>
                      <w:rFonts w:hint="eastAsia" w:hAnsi="宋体"/>
                    </w:rPr>
                    <w:t>符合</w:t>
                  </w:r>
                </w:p>
              </w:tc>
            </w:tr>
            <w:tr w14:paraId="6717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6F89880">
                  <w:pPr>
                    <w:pStyle w:val="87"/>
                    <w:rPr>
                      <w:rFonts w:hint="eastAsia" w:hAnsi="宋体"/>
                    </w:rPr>
                  </w:pPr>
                  <w:r>
                    <w:rPr>
                      <w:rFonts w:hint="eastAsia" w:hAnsi="宋体"/>
                    </w:rPr>
                    <w:t>二、清洁生产</w:t>
                  </w:r>
                </w:p>
              </w:tc>
              <w:tc>
                <w:tcPr>
                  <w:tcW w:w="1984" w:type="pct"/>
                  <w:tcBorders>
                    <w:top w:val="single" w:color="auto" w:sz="4" w:space="0"/>
                    <w:left w:val="single" w:color="auto" w:sz="4" w:space="0"/>
                    <w:bottom w:val="single" w:color="auto" w:sz="4" w:space="0"/>
                    <w:right w:val="single" w:color="auto" w:sz="4" w:space="0"/>
                  </w:tcBorders>
                  <w:vAlign w:val="center"/>
                </w:tcPr>
                <w:p w14:paraId="59FF2E35">
                  <w:pPr>
                    <w:pStyle w:val="87"/>
                    <w:rPr>
                      <w:rFonts w:hint="eastAsia" w:hAnsi="宋体"/>
                    </w:rPr>
                  </w:pPr>
                </w:p>
              </w:tc>
              <w:tc>
                <w:tcPr>
                  <w:tcW w:w="304" w:type="pct"/>
                  <w:tcBorders>
                    <w:top w:val="single" w:color="auto" w:sz="4" w:space="0"/>
                    <w:left w:val="single" w:color="auto" w:sz="4" w:space="0"/>
                    <w:bottom w:val="single" w:color="auto" w:sz="4" w:space="0"/>
                    <w:right w:val="single" w:color="auto" w:sz="4" w:space="0"/>
                  </w:tcBorders>
                  <w:vAlign w:val="center"/>
                </w:tcPr>
                <w:p w14:paraId="2D9C7A93">
                  <w:pPr>
                    <w:pStyle w:val="87"/>
                    <w:rPr>
                      <w:rFonts w:hint="eastAsia" w:hAnsi="宋体"/>
                    </w:rPr>
                  </w:pPr>
                </w:p>
              </w:tc>
            </w:tr>
            <w:tr w14:paraId="419F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7FFEA43A">
                  <w:pPr>
                    <w:pStyle w:val="87"/>
                    <w:rPr>
                      <w:rFonts w:hint="eastAsia" w:hAnsi="宋体"/>
                    </w:rPr>
                  </w:pPr>
                  <w:r>
                    <w:rPr>
                      <w:rFonts w:hint="eastAsia" w:hAnsi="宋体"/>
                    </w:rPr>
                    <w:t>（一）油气田建设应总体规划，优化布局，整体开发，减少占地和油气损失，实现油气和废物的集中收集、处理处置。</w:t>
                  </w:r>
                </w:p>
              </w:tc>
              <w:tc>
                <w:tcPr>
                  <w:tcW w:w="1984" w:type="pct"/>
                  <w:tcBorders>
                    <w:top w:val="single" w:color="auto" w:sz="4" w:space="0"/>
                    <w:left w:val="single" w:color="auto" w:sz="4" w:space="0"/>
                    <w:bottom w:val="single" w:color="auto" w:sz="4" w:space="0"/>
                    <w:right w:val="single" w:color="auto" w:sz="4" w:space="0"/>
                  </w:tcBorders>
                  <w:vAlign w:val="center"/>
                </w:tcPr>
                <w:p w14:paraId="66EF3F6D">
                  <w:pPr>
                    <w:pStyle w:val="87"/>
                    <w:rPr>
                      <w:rFonts w:hint="eastAsia" w:hAnsi="宋体"/>
                    </w:rPr>
                  </w:pPr>
                  <w:r>
                    <w:rPr>
                      <w:rFonts w:hint="eastAsia" w:hAnsi="宋体"/>
                    </w:rPr>
                    <w:t>本项目为勘探井，不属于开发井。</w:t>
                  </w:r>
                </w:p>
              </w:tc>
              <w:tc>
                <w:tcPr>
                  <w:tcW w:w="304" w:type="pct"/>
                  <w:tcBorders>
                    <w:top w:val="single" w:color="auto" w:sz="4" w:space="0"/>
                    <w:left w:val="single" w:color="auto" w:sz="4" w:space="0"/>
                    <w:bottom w:val="single" w:color="auto" w:sz="4" w:space="0"/>
                    <w:right w:val="single" w:color="auto" w:sz="4" w:space="0"/>
                  </w:tcBorders>
                  <w:vAlign w:val="center"/>
                </w:tcPr>
                <w:p w14:paraId="03612A45">
                  <w:pPr>
                    <w:pStyle w:val="87"/>
                    <w:rPr>
                      <w:rFonts w:hint="eastAsia" w:hAnsi="宋体"/>
                    </w:rPr>
                  </w:pPr>
                  <w:r>
                    <w:rPr>
                      <w:rFonts w:hint="eastAsia" w:hAnsi="宋体"/>
                    </w:rPr>
                    <w:t>符合</w:t>
                  </w:r>
                </w:p>
              </w:tc>
            </w:tr>
            <w:tr w14:paraId="2EEB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4B0400C">
                  <w:pPr>
                    <w:pStyle w:val="87"/>
                    <w:rPr>
                      <w:rFonts w:hint="eastAsia" w:hAnsi="宋体"/>
                    </w:rPr>
                  </w:pPr>
                  <w:r>
                    <w:rPr>
                      <w:rFonts w:hint="eastAsia" w:hAnsi="宋体"/>
                    </w:rPr>
                    <w:t>（二）油气田开发不得使用含有国际公约禁用化学物质的油气田化学剂，逐步淘汰微毒及以上油气田化学剂，鼓励使用无毒油气田化学剂。</w:t>
                  </w:r>
                </w:p>
              </w:tc>
              <w:tc>
                <w:tcPr>
                  <w:tcW w:w="1984" w:type="pct"/>
                  <w:tcBorders>
                    <w:top w:val="single" w:color="auto" w:sz="4" w:space="0"/>
                    <w:left w:val="single" w:color="auto" w:sz="4" w:space="0"/>
                    <w:bottom w:val="single" w:color="auto" w:sz="4" w:space="0"/>
                    <w:right w:val="single" w:color="auto" w:sz="4" w:space="0"/>
                  </w:tcBorders>
                  <w:vAlign w:val="center"/>
                </w:tcPr>
                <w:p w14:paraId="4895B844">
                  <w:pPr>
                    <w:pStyle w:val="87"/>
                    <w:rPr>
                      <w:rFonts w:hint="eastAsia" w:hAnsi="宋体"/>
                    </w:rPr>
                  </w:pPr>
                  <w:r>
                    <w:rPr>
                      <w:rFonts w:hint="eastAsia" w:hAnsi="宋体"/>
                    </w:rPr>
                    <w:t>本项目不使用含有国际公约禁用化学物质的油气田化学剂。</w:t>
                  </w:r>
                </w:p>
              </w:tc>
              <w:tc>
                <w:tcPr>
                  <w:tcW w:w="304" w:type="pct"/>
                  <w:tcBorders>
                    <w:top w:val="single" w:color="auto" w:sz="4" w:space="0"/>
                    <w:left w:val="single" w:color="auto" w:sz="4" w:space="0"/>
                    <w:bottom w:val="single" w:color="auto" w:sz="4" w:space="0"/>
                    <w:right w:val="single" w:color="auto" w:sz="4" w:space="0"/>
                  </w:tcBorders>
                  <w:vAlign w:val="center"/>
                </w:tcPr>
                <w:p w14:paraId="32CAF37A">
                  <w:pPr>
                    <w:pStyle w:val="87"/>
                    <w:rPr>
                      <w:rFonts w:hint="eastAsia" w:hAnsi="宋体"/>
                    </w:rPr>
                  </w:pPr>
                  <w:r>
                    <w:rPr>
                      <w:rFonts w:hint="eastAsia" w:hAnsi="宋体"/>
                    </w:rPr>
                    <w:t>符合</w:t>
                  </w:r>
                </w:p>
              </w:tc>
            </w:tr>
            <w:tr w14:paraId="114E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73F864E">
                  <w:pPr>
                    <w:pStyle w:val="87"/>
                    <w:rPr>
                      <w:rFonts w:hint="eastAsia" w:hAnsi="宋体"/>
                    </w:rPr>
                  </w:pPr>
                  <w:r>
                    <w:rPr>
                      <w:rFonts w:hint="eastAsia" w:hAnsi="宋体"/>
                    </w:rPr>
                    <w:t>（三）在勘探开发过程中，应防止产生落地原油。其中井下作业过程中应配备泄油器、刮油器等。落地原油应及时回收，落地原油回收率应达到100%。</w:t>
                  </w:r>
                </w:p>
              </w:tc>
              <w:tc>
                <w:tcPr>
                  <w:tcW w:w="1984" w:type="pct"/>
                  <w:tcBorders>
                    <w:top w:val="single" w:color="auto" w:sz="4" w:space="0"/>
                    <w:left w:val="single" w:color="auto" w:sz="4" w:space="0"/>
                    <w:bottom w:val="single" w:color="auto" w:sz="4" w:space="0"/>
                    <w:right w:val="single" w:color="auto" w:sz="4" w:space="0"/>
                  </w:tcBorders>
                  <w:vAlign w:val="center"/>
                </w:tcPr>
                <w:p w14:paraId="7B100E23">
                  <w:pPr>
                    <w:pStyle w:val="87"/>
                    <w:rPr>
                      <w:rFonts w:hint="eastAsia" w:hAnsi="宋体"/>
                    </w:rPr>
                  </w:pPr>
                  <w:r>
                    <w:rPr>
                      <w:rFonts w:hint="eastAsia" w:hAnsi="宋体"/>
                    </w:rPr>
                    <w:t>本项目试油期间采用船型围堰，防止产生落地原油。试油作业过程中拟配备泄油器、刮油器等。</w:t>
                  </w:r>
                </w:p>
              </w:tc>
              <w:tc>
                <w:tcPr>
                  <w:tcW w:w="304" w:type="pct"/>
                  <w:tcBorders>
                    <w:top w:val="single" w:color="auto" w:sz="4" w:space="0"/>
                    <w:left w:val="single" w:color="auto" w:sz="4" w:space="0"/>
                    <w:bottom w:val="single" w:color="auto" w:sz="4" w:space="0"/>
                    <w:right w:val="single" w:color="auto" w:sz="4" w:space="0"/>
                  </w:tcBorders>
                  <w:vAlign w:val="center"/>
                </w:tcPr>
                <w:p w14:paraId="31FB5093">
                  <w:pPr>
                    <w:pStyle w:val="87"/>
                    <w:rPr>
                      <w:rFonts w:hint="eastAsia" w:hAnsi="宋体"/>
                    </w:rPr>
                  </w:pPr>
                  <w:r>
                    <w:rPr>
                      <w:rFonts w:hint="eastAsia" w:hAnsi="宋体"/>
                    </w:rPr>
                    <w:t>符合</w:t>
                  </w:r>
                </w:p>
              </w:tc>
            </w:tr>
            <w:tr w14:paraId="3795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83F9A9A">
                  <w:pPr>
                    <w:pStyle w:val="87"/>
                    <w:rPr>
                      <w:rFonts w:hint="eastAsia" w:hAnsi="宋体"/>
                    </w:rPr>
                  </w:pPr>
                  <w:r>
                    <w:rPr>
                      <w:rFonts w:hint="eastAsia" w:hAnsi="宋体"/>
                    </w:rPr>
                    <w:t>（四）在油气勘探过程中，宜使用环保型炸药和可控震源，应采取防渗等措施预防燃料泄漏对环境的污染。</w:t>
                  </w:r>
                </w:p>
              </w:tc>
              <w:tc>
                <w:tcPr>
                  <w:tcW w:w="1984" w:type="pct"/>
                  <w:tcBorders>
                    <w:top w:val="single" w:color="auto" w:sz="4" w:space="0"/>
                    <w:left w:val="single" w:color="auto" w:sz="4" w:space="0"/>
                    <w:bottom w:val="single" w:color="auto" w:sz="4" w:space="0"/>
                    <w:right w:val="single" w:color="auto" w:sz="4" w:space="0"/>
                  </w:tcBorders>
                  <w:vAlign w:val="center"/>
                </w:tcPr>
                <w:p w14:paraId="5B1ABA52">
                  <w:pPr>
                    <w:pStyle w:val="87"/>
                    <w:rPr>
                      <w:rFonts w:hint="eastAsia" w:hAnsi="宋体"/>
                    </w:rPr>
                  </w:pPr>
                  <w:r>
                    <w:rPr>
                      <w:rFonts w:hint="eastAsia" w:hAnsi="宋体"/>
                    </w:rPr>
                    <w:t>本项目不涉及使用炸药等。</w:t>
                  </w:r>
                </w:p>
              </w:tc>
              <w:tc>
                <w:tcPr>
                  <w:tcW w:w="304" w:type="pct"/>
                  <w:tcBorders>
                    <w:top w:val="single" w:color="auto" w:sz="4" w:space="0"/>
                    <w:left w:val="single" w:color="auto" w:sz="4" w:space="0"/>
                    <w:bottom w:val="single" w:color="auto" w:sz="4" w:space="0"/>
                    <w:right w:val="single" w:color="auto" w:sz="4" w:space="0"/>
                  </w:tcBorders>
                  <w:vAlign w:val="center"/>
                </w:tcPr>
                <w:p w14:paraId="2B6AB45B">
                  <w:pPr>
                    <w:pStyle w:val="87"/>
                    <w:rPr>
                      <w:rFonts w:hint="eastAsia" w:hAnsi="宋体"/>
                    </w:rPr>
                  </w:pPr>
                  <w:r>
                    <w:rPr>
                      <w:rFonts w:hint="eastAsia" w:hAnsi="宋体"/>
                    </w:rPr>
                    <w:t>符合</w:t>
                  </w:r>
                </w:p>
              </w:tc>
            </w:tr>
            <w:tr w14:paraId="722B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0A26FD25">
                  <w:pPr>
                    <w:pStyle w:val="87"/>
                    <w:rPr>
                      <w:rFonts w:hint="eastAsia" w:hAnsi="宋体"/>
                    </w:rPr>
                  </w:pPr>
                  <w:r>
                    <w:rPr>
                      <w:rFonts w:hint="eastAsia" w:hAnsi="宋体"/>
                    </w:rPr>
                    <w:t>（五）在钻井过程中，鼓励采用环境友好的钻井液体系；配备完善的固控设备，钻井液循环率达到95%以上；钻井过程产生的废水应回用。</w:t>
                  </w:r>
                </w:p>
              </w:tc>
              <w:tc>
                <w:tcPr>
                  <w:tcW w:w="1984" w:type="pct"/>
                  <w:tcBorders>
                    <w:top w:val="single" w:color="auto" w:sz="4" w:space="0"/>
                    <w:left w:val="single" w:color="auto" w:sz="4" w:space="0"/>
                    <w:bottom w:val="single" w:color="auto" w:sz="4" w:space="0"/>
                    <w:right w:val="single" w:color="auto" w:sz="4" w:space="0"/>
                  </w:tcBorders>
                  <w:vAlign w:val="center"/>
                </w:tcPr>
                <w:p w14:paraId="14CA3C4D">
                  <w:pPr>
                    <w:pStyle w:val="87"/>
                    <w:rPr>
                      <w:rFonts w:hint="eastAsia" w:hAnsi="宋体"/>
                    </w:rPr>
                  </w:pPr>
                  <w:r>
                    <w:rPr>
                      <w:rFonts w:hint="eastAsia" w:hAnsi="宋体"/>
                    </w:rPr>
                    <w:t>本项目导管、一开和二开段采用环保型钻井液，配备完善的固控设备；钻井液循环率达到95%以上；钻井过程产生的废水处理后全部回用。</w:t>
                  </w:r>
                </w:p>
              </w:tc>
              <w:tc>
                <w:tcPr>
                  <w:tcW w:w="304" w:type="pct"/>
                  <w:tcBorders>
                    <w:top w:val="single" w:color="auto" w:sz="4" w:space="0"/>
                    <w:left w:val="single" w:color="auto" w:sz="4" w:space="0"/>
                    <w:bottom w:val="single" w:color="auto" w:sz="4" w:space="0"/>
                    <w:right w:val="single" w:color="auto" w:sz="4" w:space="0"/>
                  </w:tcBorders>
                  <w:vAlign w:val="center"/>
                </w:tcPr>
                <w:p w14:paraId="2D7810DE">
                  <w:pPr>
                    <w:pStyle w:val="87"/>
                    <w:rPr>
                      <w:rFonts w:hint="eastAsia" w:hAnsi="宋体"/>
                    </w:rPr>
                  </w:pPr>
                  <w:r>
                    <w:rPr>
                      <w:rFonts w:hint="eastAsia" w:hAnsi="宋体"/>
                    </w:rPr>
                    <w:t>符合</w:t>
                  </w:r>
                </w:p>
              </w:tc>
            </w:tr>
            <w:tr w14:paraId="3B23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915D258">
                  <w:pPr>
                    <w:pStyle w:val="87"/>
                    <w:rPr>
                      <w:rFonts w:hint="eastAsia" w:hAnsi="宋体"/>
                    </w:rPr>
                  </w:pPr>
                  <w:r>
                    <w:rPr>
                      <w:rFonts w:hint="eastAsia" w:hAnsi="宋体"/>
                    </w:rPr>
                    <w:t>（六）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1984" w:type="pct"/>
                  <w:tcBorders>
                    <w:top w:val="single" w:color="auto" w:sz="4" w:space="0"/>
                    <w:left w:val="single" w:color="auto" w:sz="4" w:space="0"/>
                    <w:bottom w:val="single" w:color="auto" w:sz="4" w:space="0"/>
                    <w:right w:val="single" w:color="auto" w:sz="4" w:space="0"/>
                  </w:tcBorders>
                  <w:vAlign w:val="center"/>
                </w:tcPr>
                <w:p w14:paraId="753346EB">
                  <w:pPr>
                    <w:pStyle w:val="87"/>
                    <w:rPr>
                      <w:rFonts w:hint="eastAsia" w:hAnsi="宋体"/>
                    </w:rPr>
                  </w:pPr>
                  <w:r>
                    <w:rPr>
                      <w:rFonts w:hint="eastAsia" w:hAnsi="宋体"/>
                    </w:rPr>
                    <w:t>本项目不涉及酸化，压裂返排液</w:t>
                  </w:r>
                  <w:r>
                    <w:rPr>
                      <w:rFonts w:hint="eastAsia"/>
                    </w:rPr>
                    <w:t>拉运至</w:t>
                  </w:r>
                  <w:r>
                    <w:rPr>
                      <w:rFonts w:hint="eastAsia" w:hAnsi="宋体"/>
                    </w:rPr>
                    <w:t>春风一号联合站采出水处理系统处理，经处理达到《碎屑岩油藏注水水质指标技术要求及分析方法》（SY/T 5329-2022）中水质主要控制指标后回注含油层用于产能开发，不外排</w:t>
                  </w:r>
                  <w:r>
                    <w:rPr>
                      <w:rFonts w:hAnsi="宋体"/>
                    </w:rPr>
                    <w:t>。压裂作业过程采取防喷、地面管线防刺、防漏、防溢等措施</w:t>
                  </w:r>
                  <w:r>
                    <w:rPr>
                      <w:rFonts w:hint="eastAsia" w:hAnsi="宋体"/>
                    </w:rPr>
                    <w:t>。</w:t>
                  </w:r>
                </w:p>
              </w:tc>
              <w:tc>
                <w:tcPr>
                  <w:tcW w:w="304" w:type="pct"/>
                  <w:tcBorders>
                    <w:top w:val="single" w:color="auto" w:sz="4" w:space="0"/>
                    <w:left w:val="single" w:color="auto" w:sz="4" w:space="0"/>
                    <w:bottom w:val="single" w:color="auto" w:sz="4" w:space="0"/>
                    <w:right w:val="single" w:color="auto" w:sz="4" w:space="0"/>
                  </w:tcBorders>
                  <w:vAlign w:val="center"/>
                </w:tcPr>
                <w:p w14:paraId="4B34941D">
                  <w:pPr>
                    <w:pStyle w:val="87"/>
                    <w:rPr>
                      <w:rFonts w:hint="eastAsia" w:hAnsi="宋体"/>
                    </w:rPr>
                  </w:pPr>
                  <w:r>
                    <w:rPr>
                      <w:rFonts w:hint="eastAsia" w:hAnsi="宋体"/>
                    </w:rPr>
                    <w:t>符合</w:t>
                  </w:r>
                </w:p>
              </w:tc>
            </w:tr>
            <w:tr w14:paraId="2BC9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4A047382">
                  <w:pPr>
                    <w:pStyle w:val="87"/>
                    <w:rPr>
                      <w:rFonts w:hint="eastAsia" w:hAnsi="宋体"/>
                    </w:rPr>
                  </w:pPr>
                  <w:r>
                    <w:rPr>
                      <w:rFonts w:hint="eastAsia" w:hAnsi="宋体"/>
                    </w:rPr>
                    <w:t>三、生态保护</w:t>
                  </w:r>
                </w:p>
              </w:tc>
              <w:tc>
                <w:tcPr>
                  <w:tcW w:w="1984" w:type="pct"/>
                  <w:tcBorders>
                    <w:top w:val="single" w:color="auto" w:sz="4" w:space="0"/>
                    <w:left w:val="single" w:color="auto" w:sz="4" w:space="0"/>
                    <w:bottom w:val="single" w:color="auto" w:sz="4" w:space="0"/>
                    <w:right w:val="single" w:color="auto" w:sz="4" w:space="0"/>
                  </w:tcBorders>
                  <w:vAlign w:val="center"/>
                </w:tcPr>
                <w:p w14:paraId="27D02403">
                  <w:pPr>
                    <w:pStyle w:val="87"/>
                    <w:rPr>
                      <w:rFonts w:hint="eastAsia" w:hAnsi="宋体"/>
                      <w:highlight w:val="yellow"/>
                    </w:rPr>
                  </w:pPr>
                </w:p>
              </w:tc>
              <w:tc>
                <w:tcPr>
                  <w:tcW w:w="304" w:type="pct"/>
                  <w:tcBorders>
                    <w:top w:val="single" w:color="auto" w:sz="4" w:space="0"/>
                    <w:left w:val="single" w:color="auto" w:sz="4" w:space="0"/>
                    <w:bottom w:val="single" w:color="auto" w:sz="4" w:space="0"/>
                    <w:right w:val="single" w:color="auto" w:sz="4" w:space="0"/>
                  </w:tcBorders>
                  <w:vAlign w:val="center"/>
                </w:tcPr>
                <w:p w14:paraId="77023C23">
                  <w:pPr>
                    <w:pStyle w:val="87"/>
                    <w:rPr>
                      <w:rFonts w:hint="eastAsia" w:hAnsi="宋体"/>
                    </w:rPr>
                  </w:pPr>
                </w:p>
              </w:tc>
            </w:tr>
            <w:tr w14:paraId="40B2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14:paraId="7EC7457F">
                  <w:pPr>
                    <w:pStyle w:val="87"/>
                    <w:rPr>
                      <w:rFonts w:hint="eastAsia" w:hAnsi="宋体"/>
                    </w:rPr>
                  </w:pPr>
                  <w:r>
                    <w:rPr>
                      <w:rFonts w:hint="eastAsia" w:hAnsi="宋体"/>
                      <w:kern w:val="0"/>
                    </w:rPr>
                    <w:t>（一）油气田建设宜布置丛式井组，采用多分支井、水平井、小孔钻井、空气钻井等钻井技术，以减少废物产生和占地。</w:t>
                  </w:r>
                </w:p>
              </w:tc>
              <w:tc>
                <w:tcPr>
                  <w:tcW w:w="3409" w:type="dxa"/>
                  <w:tcBorders>
                    <w:top w:val="single" w:color="auto" w:sz="4" w:space="0"/>
                    <w:left w:val="single" w:color="auto" w:sz="4" w:space="0"/>
                    <w:bottom w:val="single" w:color="auto" w:sz="4" w:space="0"/>
                    <w:right w:val="single" w:color="auto" w:sz="4" w:space="0"/>
                  </w:tcBorders>
                  <w:vAlign w:val="center"/>
                </w:tcPr>
                <w:p w14:paraId="3DC21C90">
                  <w:pPr>
                    <w:pStyle w:val="87"/>
                    <w:rPr>
                      <w:rFonts w:hint="eastAsia" w:hAnsi="宋体"/>
                      <w:highlight w:val="yellow"/>
                    </w:rPr>
                  </w:pPr>
                  <w:r>
                    <w:rPr>
                      <w:rFonts w:hint="eastAsia" w:hAnsi="宋体"/>
                      <w:kern w:val="0"/>
                    </w:rPr>
                    <w:t>本项目为评价井，不属于开发井。</w:t>
                  </w:r>
                </w:p>
              </w:tc>
              <w:tc>
                <w:tcPr>
                  <w:tcW w:w="523" w:type="dxa"/>
                  <w:tcBorders>
                    <w:top w:val="single" w:color="auto" w:sz="4" w:space="0"/>
                    <w:left w:val="single" w:color="auto" w:sz="4" w:space="0"/>
                    <w:bottom w:val="single" w:color="auto" w:sz="4" w:space="0"/>
                    <w:right w:val="single" w:color="auto" w:sz="4" w:space="0"/>
                  </w:tcBorders>
                  <w:vAlign w:val="center"/>
                </w:tcPr>
                <w:p w14:paraId="5ACE8ADD">
                  <w:pPr>
                    <w:pStyle w:val="87"/>
                    <w:rPr>
                      <w:rFonts w:hint="eastAsia" w:hAnsi="宋体"/>
                    </w:rPr>
                  </w:pPr>
                  <w:r>
                    <w:rPr>
                      <w:rFonts w:hint="eastAsia" w:hAnsi="宋体"/>
                      <w:kern w:val="0"/>
                    </w:rPr>
                    <w:t>符合</w:t>
                  </w:r>
                </w:p>
              </w:tc>
            </w:tr>
            <w:tr w14:paraId="23D9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14:paraId="0FD6FECE">
                  <w:pPr>
                    <w:pStyle w:val="87"/>
                    <w:rPr>
                      <w:rFonts w:hint="eastAsia" w:hAnsi="宋体"/>
                    </w:rPr>
                  </w:pPr>
                  <w:r>
                    <w:rPr>
                      <w:rFonts w:hint="eastAsia" w:hAnsi="宋体"/>
                      <w:kern w:val="0"/>
                    </w:rPr>
                    <w:t>（二）在油气勘探过程中，应根据工区测线布设，合理规划行车线路和爆炸点，避让环境敏感区和环境敏感时间。对爆点地表应立即进行恢复。</w:t>
                  </w:r>
                </w:p>
              </w:tc>
              <w:tc>
                <w:tcPr>
                  <w:tcW w:w="3409" w:type="dxa"/>
                  <w:tcBorders>
                    <w:top w:val="single" w:color="auto" w:sz="4" w:space="0"/>
                    <w:left w:val="single" w:color="auto" w:sz="4" w:space="0"/>
                    <w:bottom w:val="single" w:color="auto" w:sz="4" w:space="0"/>
                    <w:right w:val="single" w:color="auto" w:sz="4" w:space="0"/>
                  </w:tcBorders>
                  <w:vAlign w:val="center"/>
                </w:tcPr>
                <w:p w14:paraId="45F9CCFF">
                  <w:pPr>
                    <w:pStyle w:val="87"/>
                    <w:rPr>
                      <w:rFonts w:hint="eastAsia" w:hAnsi="宋体"/>
                      <w:highlight w:val="yellow"/>
                    </w:rPr>
                  </w:pPr>
                  <w:r>
                    <w:rPr>
                      <w:rFonts w:hint="eastAsia" w:hAnsi="宋体"/>
                      <w:kern w:val="0"/>
                    </w:rPr>
                    <w:t>本项目不涉及爆炸。</w:t>
                  </w:r>
                </w:p>
              </w:tc>
              <w:tc>
                <w:tcPr>
                  <w:tcW w:w="523" w:type="dxa"/>
                  <w:tcBorders>
                    <w:top w:val="single" w:color="auto" w:sz="4" w:space="0"/>
                    <w:left w:val="single" w:color="auto" w:sz="4" w:space="0"/>
                    <w:bottom w:val="single" w:color="auto" w:sz="4" w:space="0"/>
                    <w:right w:val="single" w:color="auto" w:sz="4" w:space="0"/>
                  </w:tcBorders>
                  <w:vAlign w:val="center"/>
                </w:tcPr>
                <w:p w14:paraId="1B3A3A44">
                  <w:pPr>
                    <w:pStyle w:val="87"/>
                    <w:rPr>
                      <w:rFonts w:hint="eastAsia" w:hAnsi="宋体"/>
                    </w:rPr>
                  </w:pPr>
                  <w:r>
                    <w:rPr>
                      <w:rFonts w:hint="eastAsia" w:hAnsi="宋体"/>
                      <w:kern w:val="0"/>
                    </w:rPr>
                    <w:t>符合</w:t>
                  </w:r>
                </w:p>
              </w:tc>
            </w:tr>
            <w:tr w14:paraId="094C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14:paraId="7CF9A68B">
                  <w:pPr>
                    <w:pStyle w:val="87"/>
                    <w:rPr>
                      <w:rFonts w:hint="eastAsia" w:hAnsi="宋体"/>
                    </w:rPr>
                  </w:pPr>
                  <w:r>
                    <w:rPr>
                      <w:rFonts w:hint="eastAsia" w:hAnsi="宋体"/>
                      <w:kern w:val="0"/>
                    </w:rPr>
                    <w:t>（三）在测井过程中，鼓励应用核磁共振测井技术，减少生态破坏；运输测井放射源车辆应加装定位系统。</w:t>
                  </w:r>
                </w:p>
              </w:tc>
              <w:tc>
                <w:tcPr>
                  <w:tcW w:w="3409" w:type="dxa"/>
                  <w:tcBorders>
                    <w:top w:val="single" w:color="auto" w:sz="4" w:space="0"/>
                    <w:left w:val="single" w:color="auto" w:sz="4" w:space="0"/>
                    <w:bottom w:val="single" w:color="auto" w:sz="4" w:space="0"/>
                    <w:right w:val="single" w:color="auto" w:sz="4" w:space="0"/>
                  </w:tcBorders>
                  <w:vAlign w:val="center"/>
                </w:tcPr>
                <w:p w14:paraId="10770F4C">
                  <w:pPr>
                    <w:pStyle w:val="87"/>
                    <w:rPr>
                      <w:rFonts w:hint="eastAsia" w:hAnsi="宋体"/>
                      <w:highlight w:val="yellow"/>
                    </w:rPr>
                  </w:pPr>
                  <w:r>
                    <w:rPr>
                      <w:rFonts w:hint="eastAsia"/>
                    </w:rPr>
                    <w:t>本项目测井过程中，优先选用对生态破坏少的测井技术；运输测井车辆加装定位系统。</w:t>
                  </w:r>
                </w:p>
              </w:tc>
              <w:tc>
                <w:tcPr>
                  <w:tcW w:w="523" w:type="dxa"/>
                  <w:tcBorders>
                    <w:top w:val="single" w:color="auto" w:sz="4" w:space="0"/>
                    <w:left w:val="single" w:color="auto" w:sz="4" w:space="0"/>
                    <w:bottom w:val="single" w:color="auto" w:sz="4" w:space="0"/>
                    <w:right w:val="single" w:color="auto" w:sz="4" w:space="0"/>
                  </w:tcBorders>
                  <w:vAlign w:val="center"/>
                </w:tcPr>
                <w:p w14:paraId="42928032">
                  <w:pPr>
                    <w:pStyle w:val="87"/>
                    <w:rPr>
                      <w:rFonts w:hint="eastAsia" w:hAnsi="宋体"/>
                    </w:rPr>
                  </w:pPr>
                  <w:r>
                    <w:rPr>
                      <w:rFonts w:hint="eastAsia" w:hAnsi="宋体"/>
                      <w:kern w:val="0"/>
                    </w:rPr>
                    <w:t>符合</w:t>
                  </w:r>
                </w:p>
              </w:tc>
            </w:tr>
            <w:tr w14:paraId="38A7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14:paraId="62F09C94">
                  <w:pPr>
                    <w:pStyle w:val="87"/>
                    <w:rPr>
                      <w:rFonts w:hint="eastAsia" w:hAnsi="宋体"/>
                    </w:rPr>
                  </w:pPr>
                  <w:r>
                    <w:rPr>
                      <w:rFonts w:hint="eastAsia" w:hAnsi="宋体"/>
                      <w:kern w:val="0"/>
                    </w:rPr>
                    <w:t>（四）在开发过程中，伴生气应回收利用，减少温室气体排放，不具备回收利用条件的，应充分燃烧，伴生气回收利用率应达到80%以上；站场放空天然气应充分燃烧。燃烧放空设施应避开鸟类迁徙通道。</w:t>
                  </w:r>
                </w:p>
              </w:tc>
              <w:tc>
                <w:tcPr>
                  <w:tcW w:w="3409" w:type="dxa"/>
                  <w:tcBorders>
                    <w:top w:val="single" w:color="auto" w:sz="4" w:space="0"/>
                    <w:left w:val="single" w:color="auto" w:sz="4" w:space="0"/>
                    <w:bottom w:val="single" w:color="auto" w:sz="4" w:space="0"/>
                    <w:right w:val="single" w:color="auto" w:sz="4" w:space="0"/>
                  </w:tcBorders>
                  <w:vAlign w:val="center"/>
                </w:tcPr>
                <w:p w14:paraId="43B3C344">
                  <w:pPr>
                    <w:pStyle w:val="87"/>
                    <w:rPr>
                      <w:rFonts w:hint="eastAsia" w:hAnsi="宋体"/>
                      <w:highlight w:val="yellow"/>
                    </w:rPr>
                  </w:pPr>
                  <w:r>
                    <w:rPr>
                      <w:rFonts w:hint="eastAsia" w:hAnsi="宋体"/>
                      <w:kern w:val="0"/>
                    </w:rPr>
                    <w:t>本项目不涉及开发。</w:t>
                  </w:r>
                </w:p>
              </w:tc>
              <w:tc>
                <w:tcPr>
                  <w:tcW w:w="523" w:type="dxa"/>
                  <w:tcBorders>
                    <w:top w:val="single" w:color="auto" w:sz="4" w:space="0"/>
                    <w:left w:val="single" w:color="auto" w:sz="4" w:space="0"/>
                    <w:bottom w:val="single" w:color="auto" w:sz="4" w:space="0"/>
                    <w:right w:val="single" w:color="auto" w:sz="4" w:space="0"/>
                  </w:tcBorders>
                  <w:vAlign w:val="center"/>
                </w:tcPr>
                <w:p w14:paraId="6256D7F3">
                  <w:pPr>
                    <w:pStyle w:val="87"/>
                    <w:rPr>
                      <w:rFonts w:hint="eastAsia" w:hAnsi="宋体"/>
                    </w:rPr>
                  </w:pPr>
                  <w:r>
                    <w:rPr>
                      <w:rFonts w:hint="eastAsia" w:hAnsi="宋体"/>
                      <w:kern w:val="0"/>
                    </w:rPr>
                    <w:t>符合</w:t>
                  </w:r>
                </w:p>
              </w:tc>
            </w:tr>
            <w:tr w14:paraId="19C5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14:paraId="0B0F5002">
                  <w:pPr>
                    <w:pStyle w:val="87"/>
                    <w:rPr>
                      <w:rFonts w:hint="eastAsia" w:hAnsi="宋体"/>
                    </w:rPr>
                  </w:pPr>
                  <w:r>
                    <w:rPr>
                      <w:rFonts w:hint="eastAsia" w:hAnsi="宋体"/>
                      <w:kern w:val="0"/>
                    </w:rPr>
                    <w:t>（五）在油气开发过程中，应采取措施减轻生态影响并及时用适地植物进行植被恢复。井场周围应设置围堤或井界沟。应设立地下水水质监测井，加强对油气田地下水水质的监控，防止回注过程对地下水造成污染。</w:t>
                  </w:r>
                </w:p>
              </w:tc>
              <w:tc>
                <w:tcPr>
                  <w:tcW w:w="3409" w:type="dxa"/>
                  <w:tcBorders>
                    <w:top w:val="single" w:color="auto" w:sz="4" w:space="0"/>
                    <w:left w:val="single" w:color="auto" w:sz="4" w:space="0"/>
                    <w:bottom w:val="single" w:color="auto" w:sz="4" w:space="0"/>
                    <w:right w:val="single" w:color="auto" w:sz="4" w:space="0"/>
                  </w:tcBorders>
                  <w:vAlign w:val="center"/>
                </w:tcPr>
                <w:p w14:paraId="657D215C">
                  <w:pPr>
                    <w:pStyle w:val="87"/>
                    <w:rPr>
                      <w:rFonts w:hint="eastAsia" w:hAnsi="宋体"/>
                      <w:highlight w:val="yellow"/>
                    </w:rPr>
                  </w:pPr>
                  <w:r>
                    <w:rPr>
                      <w:rFonts w:hint="eastAsia" w:hAnsi="宋体"/>
                      <w:kern w:val="0"/>
                    </w:rPr>
                    <w:t>本项目不涉及开发。</w:t>
                  </w:r>
                </w:p>
              </w:tc>
              <w:tc>
                <w:tcPr>
                  <w:tcW w:w="523" w:type="dxa"/>
                  <w:tcBorders>
                    <w:top w:val="single" w:color="auto" w:sz="4" w:space="0"/>
                    <w:left w:val="single" w:color="auto" w:sz="4" w:space="0"/>
                    <w:bottom w:val="single" w:color="auto" w:sz="4" w:space="0"/>
                    <w:right w:val="single" w:color="auto" w:sz="4" w:space="0"/>
                  </w:tcBorders>
                  <w:vAlign w:val="center"/>
                </w:tcPr>
                <w:p w14:paraId="0C75AEF3">
                  <w:pPr>
                    <w:pStyle w:val="87"/>
                    <w:rPr>
                      <w:rFonts w:hint="eastAsia" w:hAnsi="宋体"/>
                    </w:rPr>
                  </w:pPr>
                  <w:r>
                    <w:rPr>
                      <w:rFonts w:hint="eastAsia" w:hAnsi="宋体"/>
                      <w:kern w:val="0"/>
                    </w:rPr>
                    <w:t>符合</w:t>
                  </w:r>
                </w:p>
              </w:tc>
            </w:tr>
            <w:tr w14:paraId="26C7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4466EB0D">
                  <w:pPr>
                    <w:pStyle w:val="87"/>
                    <w:rPr>
                      <w:rFonts w:hint="eastAsia" w:hAnsi="宋体"/>
                    </w:rPr>
                  </w:pPr>
                  <w:r>
                    <w:rPr>
                      <w:rFonts w:hint="eastAsia" w:hAnsi="宋体"/>
                    </w:rPr>
                    <w:t>（六）位于湿地自然保护区和鸟类迁徙通道上的油田、油井，若有较大的生态影响，应将电线、采油管线地下敷设。在油田作业区，应采取措施，保护零散自然湿地。</w:t>
                  </w:r>
                </w:p>
              </w:tc>
              <w:tc>
                <w:tcPr>
                  <w:tcW w:w="1984" w:type="pct"/>
                  <w:tcBorders>
                    <w:top w:val="single" w:color="auto" w:sz="4" w:space="0"/>
                    <w:left w:val="single" w:color="auto" w:sz="4" w:space="0"/>
                    <w:bottom w:val="single" w:color="auto" w:sz="4" w:space="0"/>
                    <w:right w:val="single" w:color="auto" w:sz="4" w:space="0"/>
                  </w:tcBorders>
                  <w:vAlign w:val="center"/>
                </w:tcPr>
                <w:p w14:paraId="3B541CA7">
                  <w:pPr>
                    <w:pStyle w:val="87"/>
                    <w:rPr>
                      <w:rFonts w:hint="eastAsia" w:hAnsi="宋体"/>
                    </w:rPr>
                  </w:pPr>
                  <w:r>
                    <w:rPr>
                      <w:rFonts w:hint="eastAsia" w:hAnsi="宋体"/>
                    </w:rPr>
                    <w:t>本项目不在湿地自然保护区和鸟类迁徙通道上，对生态影响较小。</w:t>
                  </w:r>
                </w:p>
              </w:tc>
              <w:tc>
                <w:tcPr>
                  <w:tcW w:w="304" w:type="pct"/>
                  <w:tcBorders>
                    <w:top w:val="single" w:color="auto" w:sz="4" w:space="0"/>
                    <w:left w:val="single" w:color="auto" w:sz="4" w:space="0"/>
                    <w:bottom w:val="single" w:color="auto" w:sz="4" w:space="0"/>
                    <w:right w:val="single" w:color="auto" w:sz="4" w:space="0"/>
                  </w:tcBorders>
                  <w:vAlign w:val="center"/>
                </w:tcPr>
                <w:p w14:paraId="24DBFEB9">
                  <w:pPr>
                    <w:pStyle w:val="87"/>
                    <w:rPr>
                      <w:rFonts w:hint="eastAsia" w:hAnsi="宋体"/>
                    </w:rPr>
                  </w:pPr>
                  <w:r>
                    <w:rPr>
                      <w:rFonts w:hint="eastAsia" w:hAnsi="宋体"/>
                    </w:rPr>
                    <w:t>符合</w:t>
                  </w:r>
                </w:p>
              </w:tc>
            </w:tr>
            <w:tr w14:paraId="0F1E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58383D10">
                  <w:pPr>
                    <w:pStyle w:val="87"/>
                    <w:rPr>
                      <w:rFonts w:hint="eastAsia" w:hAnsi="宋体"/>
                    </w:rPr>
                  </w:pPr>
                  <w:r>
                    <w:rPr>
                      <w:rFonts w:hint="eastAsia" w:hAnsi="宋体"/>
                    </w:rPr>
                    <w:t>（七）油气田退役前应进行环境影响后评价，油气田企业应按照后评价要求进行生态恢复。</w:t>
                  </w:r>
                </w:p>
              </w:tc>
              <w:tc>
                <w:tcPr>
                  <w:tcW w:w="1984" w:type="pct"/>
                  <w:tcBorders>
                    <w:top w:val="single" w:color="auto" w:sz="4" w:space="0"/>
                    <w:left w:val="single" w:color="auto" w:sz="4" w:space="0"/>
                    <w:bottom w:val="single" w:color="auto" w:sz="4" w:space="0"/>
                    <w:right w:val="single" w:color="auto" w:sz="4" w:space="0"/>
                  </w:tcBorders>
                  <w:vAlign w:val="center"/>
                </w:tcPr>
                <w:p w14:paraId="008B64D6">
                  <w:pPr>
                    <w:pStyle w:val="87"/>
                    <w:rPr>
                      <w:rFonts w:hint="eastAsia" w:hAnsi="宋体"/>
                    </w:rPr>
                  </w:pPr>
                  <w:r>
                    <w:rPr>
                      <w:rFonts w:hint="eastAsia" w:hAnsi="宋体"/>
                    </w:rPr>
                    <w:t>油气田退役前拟进行环境影响后评价，建设单位将按照后评价要求进行生态恢复。</w:t>
                  </w:r>
                </w:p>
              </w:tc>
              <w:tc>
                <w:tcPr>
                  <w:tcW w:w="304" w:type="pct"/>
                  <w:tcBorders>
                    <w:top w:val="single" w:color="auto" w:sz="4" w:space="0"/>
                    <w:left w:val="single" w:color="auto" w:sz="4" w:space="0"/>
                    <w:bottom w:val="single" w:color="auto" w:sz="4" w:space="0"/>
                    <w:right w:val="single" w:color="auto" w:sz="4" w:space="0"/>
                  </w:tcBorders>
                  <w:vAlign w:val="center"/>
                </w:tcPr>
                <w:p w14:paraId="7EA806EF">
                  <w:pPr>
                    <w:pStyle w:val="87"/>
                    <w:rPr>
                      <w:rFonts w:hint="eastAsia" w:hAnsi="宋体"/>
                    </w:rPr>
                  </w:pPr>
                  <w:r>
                    <w:rPr>
                      <w:rFonts w:hint="eastAsia" w:hAnsi="宋体"/>
                    </w:rPr>
                    <w:t>符合</w:t>
                  </w:r>
                </w:p>
              </w:tc>
            </w:tr>
            <w:tr w14:paraId="6800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3019D010">
                  <w:pPr>
                    <w:pStyle w:val="87"/>
                    <w:rPr>
                      <w:rFonts w:hint="eastAsia" w:hAnsi="宋体"/>
                    </w:rPr>
                  </w:pPr>
                  <w:r>
                    <w:rPr>
                      <w:rFonts w:hint="eastAsia" w:hAnsi="宋体"/>
                    </w:rPr>
                    <w:t>四、污染治理</w:t>
                  </w:r>
                </w:p>
              </w:tc>
              <w:tc>
                <w:tcPr>
                  <w:tcW w:w="1984" w:type="pct"/>
                  <w:tcBorders>
                    <w:top w:val="single" w:color="auto" w:sz="4" w:space="0"/>
                    <w:left w:val="single" w:color="auto" w:sz="4" w:space="0"/>
                    <w:bottom w:val="single" w:color="auto" w:sz="4" w:space="0"/>
                    <w:right w:val="single" w:color="auto" w:sz="4" w:space="0"/>
                  </w:tcBorders>
                  <w:vAlign w:val="center"/>
                </w:tcPr>
                <w:p w14:paraId="694FB44D">
                  <w:pPr>
                    <w:pStyle w:val="87"/>
                    <w:rPr>
                      <w:rFonts w:hint="eastAsia" w:hAnsi="宋体"/>
                    </w:rPr>
                  </w:pPr>
                </w:p>
              </w:tc>
              <w:tc>
                <w:tcPr>
                  <w:tcW w:w="304" w:type="pct"/>
                  <w:tcBorders>
                    <w:top w:val="single" w:color="auto" w:sz="4" w:space="0"/>
                    <w:left w:val="single" w:color="auto" w:sz="4" w:space="0"/>
                    <w:bottom w:val="single" w:color="auto" w:sz="4" w:space="0"/>
                    <w:right w:val="single" w:color="auto" w:sz="4" w:space="0"/>
                  </w:tcBorders>
                  <w:vAlign w:val="center"/>
                </w:tcPr>
                <w:p w14:paraId="31C4DA8C">
                  <w:pPr>
                    <w:pStyle w:val="87"/>
                    <w:rPr>
                      <w:rFonts w:hint="eastAsia" w:hAnsi="宋体"/>
                    </w:rPr>
                  </w:pPr>
                </w:p>
              </w:tc>
            </w:tr>
            <w:tr w14:paraId="4683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05CD67DB">
                  <w:pPr>
                    <w:pStyle w:val="87"/>
                    <w:rPr>
                      <w:rFonts w:hint="eastAsia" w:hAnsi="宋体"/>
                    </w:rPr>
                  </w:pPr>
                  <w:r>
                    <w:rPr>
                      <w:rFonts w:hint="eastAsia" w:hAnsi="宋体"/>
                    </w:rPr>
                    <w:t>（一）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1984" w:type="pct"/>
                  <w:tcBorders>
                    <w:top w:val="single" w:color="auto" w:sz="4" w:space="0"/>
                    <w:left w:val="single" w:color="auto" w:sz="4" w:space="0"/>
                    <w:bottom w:val="single" w:color="auto" w:sz="4" w:space="0"/>
                    <w:right w:val="single" w:color="auto" w:sz="4" w:space="0"/>
                  </w:tcBorders>
                  <w:vAlign w:val="center"/>
                </w:tcPr>
                <w:p w14:paraId="3415F55B">
                  <w:pPr>
                    <w:pStyle w:val="87"/>
                    <w:rPr>
                      <w:rFonts w:hint="eastAsia" w:hAnsi="宋体"/>
                    </w:rPr>
                  </w:pPr>
                  <w:r>
                    <w:rPr>
                      <w:rFonts w:hint="eastAsia" w:hAnsi="宋体"/>
                    </w:rPr>
                    <w:t>本项目井下作业废液、压裂返排液定期由罐车运至春风一号联合站进行处理，经处理达到《碎屑岩油藏注水水质指标技术要求及分析方法》（SY/T 5329-2022）对应储层空气渗透率下的水质主要控制指标后回注含油层用于产能开发，不外排。</w:t>
                  </w:r>
                </w:p>
              </w:tc>
              <w:tc>
                <w:tcPr>
                  <w:tcW w:w="304" w:type="pct"/>
                  <w:tcBorders>
                    <w:top w:val="single" w:color="auto" w:sz="4" w:space="0"/>
                    <w:left w:val="single" w:color="auto" w:sz="4" w:space="0"/>
                    <w:bottom w:val="single" w:color="auto" w:sz="4" w:space="0"/>
                    <w:right w:val="single" w:color="auto" w:sz="4" w:space="0"/>
                  </w:tcBorders>
                  <w:vAlign w:val="center"/>
                </w:tcPr>
                <w:p w14:paraId="497271C2">
                  <w:pPr>
                    <w:pStyle w:val="87"/>
                    <w:rPr>
                      <w:rFonts w:hint="eastAsia" w:hAnsi="宋体"/>
                    </w:rPr>
                  </w:pPr>
                  <w:r>
                    <w:rPr>
                      <w:rFonts w:hint="eastAsia" w:hAnsi="宋体"/>
                    </w:rPr>
                    <w:t>符合</w:t>
                  </w:r>
                </w:p>
              </w:tc>
            </w:tr>
            <w:tr w14:paraId="186D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2BB7322D">
                  <w:pPr>
                    <w:pStyle w:val="87"/>
                    <w:rPr>
                      <w:rFonts w:hint="eastAsia" w:hAnsi="宋体"/>
                    </w:rPr>
                  </w:pPr>
                  <w:r>
                    <w:rPr>
                      <w:rFonts w:hint="eastAsia" w:hAnsi="宋体"/>
                    </w:rPr>
                    <w:t>（二）在天然气净化过程中，鼓励采用二氧化硫尾气处理技术，提高去除效率。</w:t>
                  </w:r>
                </w:p>
              </w:tc>
              <w:tc>
                <w:tcPr>
                  <w:tcW w:w="1984" w:type="pct"/>
                  <w:tcBorders>
                    <w:top w:val="single" w:color="auto" w:sz="4" w:space="0"/>
                    <w:left w:val="single" w:color="auto" w:sz="4" w:space="0"/>
                    <w:bottom w:val="single" w:color="auto" w:sz="4" w:space="0"/>
                    <w:right w:val="single" w:color="auto" w:sz="4" w:space="0"/>
                  </w:tcBorders>
                  <w:vAlign w:val="center"/>
                </w:tcPr>
                <w:p w14:paraId="2E0CA03F">
                  <w:pPr>
                    <w:pStyle w:val="87"/>
                    <w:rPr>
                      <w:rFonts w:hint="eastAsia" w:hAnsi="宋体"/>
                    </w:rPr>
                  </w:pPr>
                  <w:r>
                    <w:rPr>
                      <w:rFonts w:hint="eastAsia" w:hAnsi="宋体"/>
                    </w:rPr>
                    <w:t>本项目不涉及天然气净化。</w:t>
                  </w:r>
                </w:p>
              </w:tc>
              <w:tc>
                <w:tcPr>
                  <w:tcW w:w="304" w:type="pct"/>
                  <w:tcBorders>
                    <w:top w:val="single" w:color="auto" w:sz="4" w:space="0"/>
                    <w:left w:val="single" w:color="auto" w:sz="4" w:space="0"/>
                    <w:bottom w:val="single" w:color="auto" w:sz="4" w:space="0"/>
                    <w:right w:val="single" w:color="auto" w:sz="4" w:space="0"/>
                  </w:tcBorders>
                  <w:vAlign w:val="center"/>
                </w:tcPr>
                <w:p w14:paraId="356C57B2">
                  <w:pPr>
                    <w:pStyle w:val="87"/>
                    <w:rPr>
                      <w:rFonts w:hint="eastAsia" w:hAnsi="宋体"/>
                    </w:rPr>
                  </w:pPr>
                  <w:r>
                    <w:rPr>
                      <w:rFonts w:hint="eastAsia" w:hAnsi="宋体"/>
                    </w:rPr>
                    <w:t>符合</w:t>
                  </w:r>
                </w:p>
              </w:tc>
            </w:tr>
            <w:tr w14:paraId="6010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2BA89AB0">
                  <w:pPr>
                    <w:pStyle w:val="87"/>
                    <w:rPr>
                      <w:rFonts w:hint="eastAsia" w:hAnsi="宋体"/>
                    </w:rPr>
                  </w:pPr>
                  <w:r>
                    <w:rPr>
                      <w:rFonts w:hint="eastAsia" w:hAnsi="宋体"/>
                    </w:rPr>
                    <w:t>（三）固体废物收集、贮存、处理处置设施应按照标准要求采取防渗措施。试油（气）后应立即封闭废弃钻井液贮池。</w:t>
                  </w:r>
                </w:p>
              </w:tc>
              <w:tc>
                <w:tcPr>
                  <w:tcW w:w="1984" w:type="pct"/>
                  <w:tcBorders>
                    <w:top w:val="single" w:color="auto" w:sz="4" w:space="0"/>
                    <w:left w:val="single" w:color="auto" w:sz="4" w:space="0"/>
                    <w:bottom w:val="single" w:color="auto" w:sz="4" w:space="0"/>
                    <w:right w:val="single" w:color="auto" w:sz="4" w:space="0"/>
                  </w:tcBorders>
                  <w:vAlign w:val="center"/>
                </w:tcPr>
                <w:p w14:paraId="7E430DBA">
                  <w:pPr>
                    <w:pStyle w:val="87"/>
                    <w:rPr>
                      <w:rFonts w:hint="eastAsia" w:hAnsi="宋体"/>
                    </w:rPr>
                  </w:pPr>
                  <w:r>
                    <w:rPr>
                      <w:rFonts w:hint="eastAsia" w:hAnsi="宋体"/>
                    </w:rPr>
                    <w:t>钻井固废使用“泥浆不落地”工艺处置，不采用泥浆池，符合防渗要求。</w:t>
                  </w:r>
                </w:p>
              </w:tc>
              <w:tc>
                <w:tcPr>
                  <w:tcW w:w="304" w:type="pct"/>
                  <w:tcBorders>
                    <w:top w:val="single" w:color="auto" w:sz="4" w:space="0"/>
                    <w:left w:val="single" w:color="auto" w:sz="4" w:space="0"/>
                    <w:bottom w:val="single" w:color="auto" w:sz="4" w:space="0"/>
                    <w:right w:val="single" w:color="auto" w:sz="4" w:space="0"/>
                  </w:tcBorders>
                  <w:vAlign w:val="center"/>
                </w:tcPr>
                <w:p w14:paraId="6D7296D2">
                  <w:pPr>
                    <w:pStyle w:val="87"/>
                    <w:rPr>
                      <w:rFonts w:hint="eastAsia" w:hAnsi="宋体"/>
                    </w:rPr>
                  </w:pPr>
                  <w:r>
                    <w:rPr>
                      <w:rFonts w:hint="eastAsia" w:hAnsi="宋体"/>
                    </w:rPr>
                    <w:t>符合</w:t>
                  </w:r>
                </w:p>
              </w:tc>
            </w:tr>
            <w:tr w14:paraId="24C3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062ECD21">
                  <w:pPr>
                    <w:pStyle w:val="87"/>
                    <w:rPr>
                      <w:rFonts w:hint="eastAsia" w:hAnsi="宋体"/>
                    </w:rPr>
                  </w:pPr>
                  <w:r>
                    <w:rPr>
                      <w:rFonts w:hint="eastAsia" w:hAnsi="宋体"/>
                    </w:rPr>
                    <w:t>（四）应回收落地原油，以及原油处理、废水处理产生的油泥（砂）等中的油类物质，含油污泥资源化利用率应达到90%以上，残余固体废物应按照《国家危险废物名录（2021年版）》（2021年1月1日）和危险废物鉴别标准识别，根据识别结果资源化利用或无害化处置。</w:t>
                  </w:r>
                </w:p>
              </w:tc>
              <w:tc>
                <w:tcPr>
                  <w:tcW w:w="1984" w:type="pct"/>
                  <w:tcBorders>
                    <w:top w:val="single" w:color="auto" w:sz="4" w:space="0"/>
                    <w:left w:val="single" w:color="auto" w:sz="4" w:space="0"/>
                    <w:bottom w:val="single" w:color="auto" w:sz="4" w:space="0"/>
                    <w:right w:val="single" w:color="auto" w:sz="4" w:space="0"/>
                  </w:tcBorders>
                  <w:vAlign w:val="center"/>
                </w:tcPr>
                <w:p w14:paraId="4C800BF5">
                  <w:pPr>
                    <w:pStyle w:val="87"/>
                    <w:rPr>
                      <w:rFonts w:hint="eastAsia" w:hAnsi="宋体"/>
                    </w:rPr>
                  </w:pPr>
                  <w:r>
                    <w:rPr>
                      <w:rFonts w:hint="eastAsia" w:hAnsi="宋体"/>
                    </w:rPr>
                    <w:t>本项目试油过程中在施工现场</w:t>
                  </w:r>
                  <w:r>
                    <w:rPr>
                      <w:rFonts w:hAnsi="宋体"/>
                    </w:rPr>
                    <w:t>采取钢制船型围堰作业，实现原油不落地</w:t>
                  </w:r>
                  <w:r>
                    <w:rPr>
                      <w:rFonts w:hint="eastAsia" w:hAnsi="宋体"/>
                    </w:rPr>
                    <w:t>。</w:t>
                  </w:r>
                </w:p>
              </w:tc>
              <w:tc>
                <w:tcPr>
                  <w:tcW w:w="304" w:type="pct"/>
                  <w:tcBorders>
                    <w:top w:val="single" w:color="auto" w:sz="4" w:space="0"/>
                    <w:left w:val="single" w:color="auto" w:sz="4" w:space="0"/>
                    <w:bottom w:val="single" w:color="auto" w:sz="4" w:space="0"/>
                    <w:right w:val="single" w:color="auto" w:sz="4" w:space="0"/>
                  </w:tcBorders>
                  <w:vAlign w:val="center"/>
                </w:tcPr>
                <w:p w14:paraId="67578CD8">
                  <w:pPr>
                    <w:pStyle w:val="87"/>
                    <w:rPr>
                      <w:rFonts w:hint="eastAsia" w:hAnsi="宋体"/>
                    </w:rPr>
                  </w:pPr>
                  <w:r>
                    <w:rPr>
                      <w:rFonts w:hint="eastAsia" w:hAnsi="宋体"/>
                    </w:rPr>
                    <w:t>符合</w:t>
                  </w:r>
                </w:p>
              </w:tc>
            </w:tr>
            <w:tr w14:paraId="23E4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6DEE69D7">
                  <w:pPr>
                    <w:pStyle w:val="87"/>
                    <w:rPr>
                      <w:rFonts w:hint="eastAsia" w:hAnsi="宋体"/>
                    </w:rPr>
                  </w:pPr>
                  <w:r>
                    <w:rPr>
                      <w:rFonts w:hint="eastAsia" w:hAnsi="宋体"/>
                    </w:rPr>
                    <w:t>（五）对受到油污染的土壤宜采取生物或物化方法进行修复。</w:t>
                  </w:r>
                </w:p>
              </w:tc>
              <w:tc>
                <w:tcPr>
                  <w:tcW w:w="1984" w:type="pct"/>
                  <w:tcBorders>
                    <w:top w:val="single" w:color="auto" w:sz="4" w:space="0"/>
                    <w:left w:val="single" w:color="auto" w:sz="4" w:space="0"/>
                    <w:bottom w:val="single" w:color="auto" w:sz="4" w:space="0"/>
                    <w:right w:val="single" w:color="auto" w:sz="4" w:space="0"/>
                  </w:tcBorders>
                  <w:vAlign w:val="center"/>
                </w:tcPr>
                <w:p w14:paraId="6E5F42B5">
                  <w:pPr>
                    <w:pStyle w:val="87"/>
                    <w:rPr>
                      <w:rFonts w:hint="eastAsia" w:hAnsi="宋体"/>
                    </w:rPr>
                  </w:pPr>
                  <w:r>
                    <w:rPr>
                      <w:rFonts w:hint="eastAsia" w:hAnsi="宋体"/>
                    </w:rPr>
                    <w:t>正常工况下土壤不会受到油污染，事故状态下，建设单位启动应急预案处理受污染土壤。</w:t>
                  </w:r>
                </w:p>
              </w:tc>
              <w:tc>
                <w:tcPr>
                  <w:tcW w:w="304" w:type="pct"/>
                  <w:tcBorders>
                    <w:top w:val="single" w:color="auto" w:sz="4" w:space="0"/>
                    <w:left w:val="single" w:color="auto" w:sz="4" w:space="0"/>
                    <w:bottom w:val="single" w:color="auto" w:sz="4" w:space="0"/>
                    <w:right w:val="single" w:color="auto" w:sz="4" w:space="0"/>
                  </w:tcBorders>
                  <w:vAlign w:val="center"/>
                </w:tcPr>
                <w:p w14:paraId="578EFF48">
                  <w:pPr>
                    <w:pStyle w:val="87"/>
                    <w:rPr>
                      <w:rFonts w:hint="eastAsia" w:hAnsi="宋体"/>
                    </w:rPr>
                  </w:pPr>
                  <w:r>
                    <w:rPr>
                      <w:rFonts w:hint="eastAsia" w:hAnsi="宋体"/>
                    </w:rPr>
                    <w:t>符合</w:t>
                  </w:r>
                </w:p>
              </w:tc>
            </w:tr>
            <w:tr w14:paraId="35D8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083C6E09">
                  <w:pPr>
                    <w:pStyle w:val="87"/>
                    <w:rPr>
                      <w:rFonts w:hint="eastAsia" w:hAnsi="宋体"/>
                    </w:rPr>
                  </w:pPr>
                  <w:r>
                    <w:rPr>
                      <w:rFonts w:hint="eastAsia" w:hAnsi="宋体"/>
                    </w:rPr>
                    <w:t>五、鼓励研发的新技术</w:t>
                  </w:r>
                </w:p>
              </w:tc>
              <w:tc>
                <w:tcPr>
                  <w:tcW w:w="1984" w:type="pct"/>
                  <w:tcBorders>
                    <w:top w:val="single" w:color="auto" w:sz="4" w:space="0"/>
                    <w:left w:val="single" w:color="auto" w:sz="4" w:space="0"/>
                    <w:bottom w:val="single" w:color="auto" w:sz="4" w:space="0"/>
                    <w:right w:val="single" w:color="auto" w:sz="4" w:space="0"/>
                  </w:tcBorders>
                  <w:vAlign w:val="center"/>
                </w:tcPr>
                <w:p w14:paraId="11560718">
                  <w:pPr>
                    <w:pStyle w:val="87"/>
                    <w:rPr>
                      <w:rFonts w:hint="eastAsia" w:hAnsi="宋体"/>
                    </w:rPr>
                  </w:pPr>
                </w:p>
              </w:tc>
              <w:tc>
                <w:tcPr>
                  <w:tcW w:w="304" w:type="pct"/>
                  <w:tcBorders>
                    <w:top w:val="single" w:color="auto" w:sz="4" w:space="0"/>
                    <w:left w:val="single" w:color="auto" w:sz="4" w:space="0"/>
                    <w:bottom w:val="single" w:color="auto" w:sz="4" w:space="0"/>
                    <w:right w:val="single" w:color="auto" w:sz="4" w:space="0"/>
                  </w:tcBorders>
                  <w:vAlign w:val="center"/>
                </w:tcPr>
                <w:p w14:paraId="2C5AE38F">
                  <w:pPr>
                    <w:pStyle w:val="87"/>
                    <w:rPr>
                      <w:rFonts w:hint="eastAsia" w:hAnsi="宋体"/>
                    </w:rPr>
                  </w:pPr>
                </w:p>
              </w:tc>
            </w:tr>
            <w:tr w14:paraId="4363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55B7AD17">
                  <w:pPr>
                    <w:pStyle w:val="87"/>
                    <w:rPr>
                      <w:rFonts w:hint="eastAsia" w:hAnsi="宋体"/>
                    </w:rPr>
                  </w:pPr>
                  <w:r>
                    <w:rPr>
                      <w:rFonts w:hint="eastAsia" w:hAnsi="宋体"/>
                    </w:rPr>
                    <w:t>（一）环境友好的油田化学剂、酸化液、压裂液、钻井液，酸化、压裂替代技术，钻井废物的随钻处理技术，提高天然气净化厂硫回收率技术。</w:t>
                  </w:r>
                </w:p>
              </w:tc>
              <w:tc>
                <w:tcPr>
                  <w:tcW w:w="1984" w:type="pct"/>
                  <w:tcBorders>
                    <w:top w:val="single" w:color="auto" w:sz="4" w:space="0"/>
                    <w:left w:val="single" w:color="auto" w:sz="4" w:space="0"/>
                    <w:bottom w:val="single" w:color="auto" w:sz="4" w:space="0"/>
                    <w:right w:val="single" w:color="auto" w:sz="4" w:space="0"/>
                  </w:tcBorders>
                  <w:vAlign w:val="center"/>
                </w:tcPr>
                <w:p w14:paraId="0278310A">
                  <w:pPr>
                    <w:pStyle w:val="87"/>
                    <w:rPr>
                      <w:rFonts w:hint="eastAsia" w:hAnsi="宋体"/>
                    </w:rPr>
                  </w:pPr>
                  <w:r>
                    <w:rPr>
                      <w:rFonts w:hint="eastAsia" w:hAnsi="宋体"/>
                    </w:rPr>
                    <w:t>本项目采用环保型钻井液</w:t>
                  </w:r>
                  <w:r>
                    <w:rPr>
                      <w:rFonts w:hint="eastAsia" w:hAnsi="宋体"/>
                      <w:kern w:val="0"/>
                    </w:rPr>
                    <w:t>，钻井废物采用泥浆不落地工艺处理，即“随钻随治处理”。</w:t>
                  </w:r>
                </w:p>
              </w:tc>
              <w:tc>
                <w:tcPr>
                  <w:tcW w:w="304" w:type="pct"/>
                  <w:tcBorders>
                    <w:top w:val="single" w:color="auto" w:sz="4" w:space="0"/>
                    <w:left w:val="single" w:color="auto" w:sz="4" w:space="0"/>
                    <w:bottom w:val="single" w:color="auto" w:sz="4" w:space="0"/>
                    <w:right w:val="single" w:color="auto" w:sz="4" w:space="0"/>
                  </w:tcBorders>
                  <w:vAlign w:val="center"/>
                </w:tcPr>
                <w:p w14:paraId="57FDEC67">
                  <w:pPr>
                    <w:pStyle w:val="87"/>
                    <w:rPr>
                      <w:rFonts w:hint="eastAsia" w:hAnsi="宋体"/>
                    </w:rPr>
                  </w:pPr>
                  <w:r>
                    <w:rPr>
                      <w:rFonts w:hint="eastAsia" w:hAnsi="宋体"/>
                    </w:rPr>
                    <w:t>符合</w:t>
                  </w:r>
                </w:p>
              </w:tc>
            </w:tr>
            <w:tr w14:paraId="1E14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48E49C9E">
                  <w:pPr>
                    <w:pStyle w:val="87"/>
                    <w:rPr>
                      <w:rFonts w:hint="eastAsia" w:hAnsi="宋体"/>
                    </w:rPr>
                  </w:pPr>
                  <w:r>
                    <w:rPr>
                      <w:rFonts w:hint="eastAsia" w:hAnsi="宋体"/>
                    </w:rPr>
                    <w:t>（二）二氧化碳驱采油技术，低渗透地层的注水处理技术。</w:t>
                  </w:r>
                </w:p>
              </w:tc>
              <w:tc>
                <w:tcPr>
                  <w:tcW w:w="1984" w:type="pct"/>
                  <w:tcBorders>
                    <w:top w:val="single" w:color="auto" w:sz="4" w:space="0"/>
                    <w:left w:val="single" w:color="auto" w:sz="4" w:space="0"/>
                    <w:bottom w:val="single" w:color="auto" w:sz="4" w:space="0"/>
                    <w:right w:val="single" w:color="auto" w:sz="4" w:space="0"/>
                  </w:tcBorders>
                  <w:vAlign w:val="center"/>
                </w:tcPr>
                <w:p w14:paraId="05592F1F">
                  <w:pPr>
                    <w:pStyle w:val="87"/>
                    <w:rPr>
                      <w:rFonts w:hint="eastAsia" w:hAnsi="宋体"/>
                    </w:rPr>
                  </w:pPr>
                  <w:r>
                    <w:rPr>
                      <w:rFonts w:hint="eastAsia" w:hAnsi="宋体"/>
                    </w:rPr>
                    <w:t>本项目不涉及二氧化碳驱采油。</w:t>
                  </w:r>
                </w:p>
              </w:tc>
              <w:tc>
                <w:tcPr>
                  <w:tcW w:w="304" w:type="pct"/>
                  <w:tcBorders>
                    <w:top w:val="single" w:color="auto" w:sz="4" w:space="0"/>
                    <w:left w:val="single" w:color="auto" w:sz="4" w:space="0"/>
                    <w:bottom w:val="single" w:color="auto" w:sz="4" w:space="0"/>
                    <w:right w:val="single" w:color="auto" w:sz="4" w:space="0"/>
                  </w:tcBorders>
                  <w:vAlign w:val="center"/>
                </w:tcPr>
                <w:p w14:paraId="497163F2">
                  <w:pPr>
                    <w:pStyle w:val="87"/>
                    <w:rPr>
                      <w:rFonts w:hint="eastAsia" w:hAnsi="宋体"/>
                    </w:rPr>
                  </w:pPr>
                  <w:r>
                    <w:rPr>
                      <w:rFonts w:hint="eastAsia" w:hAnsi="宋体"/>
                    </w:rPr>
                    <w:t>符合</w:t>
                  </w:r>
                </w:p>
              </w:tc>
            </w:tr>
            <w:tr w14:paraId="7466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02D4A8A5">
                  <w:pPr>
                    <w:pStyle w:val="87"/>
                    <w:rPr>
                      <w:rFonts w:hint="eastAsia" w:hAnsi="宋体"/>
                    </w:rPr>
                  </w:pPr>
                  <w:r>
                    <w:rPr>
                      <w:rFonts w:hint="eastAsia" w:hAnsi="宋体"/>
                    </w:rPr>
                    <w:t>（三）废弃钻井液、井下作业废液及含油污泥资源化利用和无害化处置技术，石油污染物的快速降解技术，受污染土壤、地下水的修复技术。</w:t>
                  </w:r>
                </w:p>
              </w:tc>
              <w:tc>
                <w:tcPr>
                  <w:tcW w:w="1984" w:type="pct"/>
                  <w:tcBorders>
                    <w:top w:val="single" w:color="auto" w:sz="4" w:space="0"/>
                    <w:left w:val="single" w:color="auto" w:sz="4" w:space="0"/>
                    <w:bottom w:val="single" w:color="auto" w:sz="4" w:space="0"/>
                    <w:right w:val="single" w:color="auto" w:sz="4" w:space="0"/>
                  </w:tcBorders>
                  <w:vAlign w:val="center"/>
                </w:tcPr>
                <w:p w14:paraId="33566934">
                  <w:pPr>
                    <w:pStyle w:val="87"/>
                    <w:rPr>
                      <w:rFonts w:hint="eastAsia" w:hAnsi="宋体"/>
                    </w:rPr>
                  </w:pPr>
                  <w:r>
                    <w:rPr>
                      <w:rFonts w:hint="eastAsia" w:hAnsi="宋体"/>
                    </w:rPr>
                    <w:t>废弃钻井液采用资源化利用和无害化处置技术。</w:t>
                  </w:r>
                </w:p>
              </w:tc>
              <w:tc>
                <w:tcPr>
                  <w:tcW w:w="304" w:type="pct"/>
                  <w:tcBorders>
                    <w:top w:val="single" w:color="auto" w:sz="4" w:space="0"/>
                    <w:left w:val="single" w:color="auto" w:sz="4" w:space="0"/>
                    <w:bottom w:val="single" w:color="auto" w:sz="4" w:space="0"/>
                    <w:right w:val="single" w:color="auto" w:sz="4" w:space="0"/>
                  </w:tcBorders>
                  <w:vAlign w:val="center"/>
                </w:tcPr>
                <w:p w14:paraId="150ED0A1">
                  <w:pPr>
                    <w:pStyle w:val="87"/>
                    <w:rPr>
                      <w:rFonts w:hint="eastAsia" w:hAnsi="宋体"/>
                    </w:rPr>
                  </w:pPr>
                  <w:r>
                    <w:rPr>
                      <w:rFonts w:hint="eastAsia" w:hAnsi="宋体"/>
                    </w:rPr>
                    <w:t>符合</w:t>
                  </w:r>
                </w:p>
              </w:tc>
            </w:tr>
            <w:tr w14:paraId="47EE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7A585F0">
                  <w:pPr>
                    <w:pStyle w:val="87"/>
                    <w:rPr>
                      <w:rFonts w:hint="eastAsia" w:hAnsi="宋体"/>
                    </w:rPr>
                  </w:pPr>
                  <w:r>
                    <w:rPr>
                      <w:rFonts w:hint="eastAsia" w:hAnsi="宋体"/>
                    </w:rPr>
                    <w:t>六、运行管理与风险防范</w:t>
                  </w:r>
                </w:p>
              </w:tc>
              <w:tc>
                <w:tcPr>
                  <w:tcW w:w="1984" w:type="pct"/>
                  <w:tcBorders>
                    <w:top w:val="single" w:color="auto" w:sz="4" w:space="0"/>
                    <w:left w:val="single" w:color="auto" w:sz="4" w:space="0"/>
                    <w:bottom w:val="single" w:color="auto" w:sz="4" w:space="0"/>
                    <w:right w:val="single" w:color="auto" w:sz="4" w:space="0"/>
                  </w:tcBorders>
                  <w:vAlign w:val="center"/>
                </w:tcPr>
                <w:p w14:paraId="44101357">
                  <w:pPr>
                    <w:pStyle w:val="87"/>
                    <w:rPr>
                      <w:rFonts w:hint="eastAsia" w:hAnsi="宋体"/>
                    </w:rPr>
                  </w:pPr>
                </w:p>
              </w:tc>
              <w:tc>
                <w:tcPr>
                  <w:tcW w:w="304" w:type="pct"/>
                  <w:tcBorders>
                    <w:top w:val="single" w:color="auto" w:sz="4" w:space="0"/>
                    <w:left w:val="single" w:color="auto" w:sz="4" w:space="0"/>
                    <w:bottom w:val="single" w:color="auto" w:sz="4" w:space="0"/>
                    <w:right w:val="single" w:color="auto" w:sz="4" w:space="0"/>
                  </w:tcBorders>
                  <w:vAlign w:val="center"/>
                </w:tcPr>
                <w:p w14:paraId="37C2D190">
                  <w:pPr>
                    <w:pStyle w:val="87"/>
                    <w:rPr>
                      <w:rFonts w:hint="eastAsia" w:hAnsi="宋体"/>
                    </w:rPr>
                  </w:pPr>
                </w:p>
              </w:tc>
            </w:tr>
            <w:tr w14:paraId="72CB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E6AF5FF">
                  <w:pPr>
                    <w:pStyle w:val="87"/>
                    <w:rPr>
                      <w:rFonts w:hint="eastAsia" w:hAnsi="宋体"/>
                    </w:rPr>
                  </w:pPr>
                  <w:r>
                    <w:rPr>
                      <w:rFonts w:hint="eastAsia" w:hAnsi="宋体"/>
                    </w:rPr>
                    <w:t>（一）油气田企业应制定环境保护管理规定，建立并运行健康、安全与环境管理体系。</w:t>
                  </w:r>
                </w:p>
              </w:tc>
              <w:tc>
                <w:tcPr>
                  <w:tcW w:w="1984" w:type="pct"/>
                  <w:tcBorders>
                    <w:top w:val="single" w:color="auto" w:sz="4" w:space="0"/>
                    <w:left w:val="single" w:color="auto" w:sz="4" w:space="0"/>
                    <w:bottom w:val="single" w:color="auto" w:sz="4" w:space="0"/>
                    <w:right w:val="single" w:color="auto" w:sz="4" w:space="0"/>
                  </w:tcBorders>
                  <w:vAlign w:val="center"/>
                </w:tcPr>
                <w:p w14:paraId="086C0318">
                  <w:pPr>
                    <w:pStyle w:val="87"/>
                    <w:rPr>
                      <w:rFonts w:hint="eastAsia" w:hAnsi="宋体"/>
                    </w:rPr>
                  </w:pPr>
                  <w:r>
                    <w:rPr>
                      <w:rFonts w:hint="eastAsia" w:hAnsi="宋体"/>
                    </w:rPr>
                    <w:t>制定了环境保护管理规定，建立并运行了健康、安全与环境管理体系。</w:t>
                  </w:r>
                </w:p>
              </w:tc>
              <w:tc>
                <w:tcPr>
                  <w:tcW w:w="304" w:type="pct"/>
                  <w:tcBorders>
                    <w:top w:val="single" w:color="auto" w:sz="4" w:space="0"/>
                    <w:left w:val="single" w:color="auto" w:sz="4" w:space="0"/>
                    <w:bottom w:val="single" w:color="auto" w:sz="4" w:space="0"/>
                    <w:right w:val="single" w:color="auto" w:sz="4" w:space="0"/>
                  </w:tcBorders>
                  <w:vAlign w:val="center"/>
                </w:tcPr>
                <w:p w14:paraId="32BF5FD3">
                  <w:pPr>
                    <w:pStyle w:val="87"/>
                    <w:rPr>
                      <w:rFonts w:hint="eastAsia" w:hAnsi="宋体"/>
                    </w:rPr>
                  </w:pPr>
                  <w:r>
                    <w:rPr>
                      <w:rFonts w:hint="eastAsia" w:hAnsi="宋体"/>
                    </w:rPr>
                    <w:t>符合</w:t>
                  </w:r>
                </w:p>
              </w:tc>
            </w:tr>
            <w:tr w14:paraId="4965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442BC0E">
                  <w:pPr>
                    <w:pStyle w:val="87"/>
                    <w:rPr>
                      <w:rFonts w:hint="eastAsia" w:hAnsi="宋体"/>
                    </w:rPr>
                  </w:pPr>
                  <w:r>
                    <w:rPr>
                      <w:rFonts w:hint="eastAsia" w:hAnsi="宋体"/>
                    </w:rPr>
                    <w:t>（二）加强油气田建设、勘探开发过程的环境监督管理。油气田建设过程应开展工程环境监理。</w:t>
                  </w:r>
                </w:p>
              </w:tc>
              <w:tc>
                <w:tcPr>
                  <w:tcW w:w="1984" w:type="pct"/>
                  <w:tcBorders>
                    <w:top w:val="single" w:color="auto" w:sz="4" w:space="0"/>
                    <w:left w:val="single" w:color="auto" w:sz="4" w:space="0"/>
                    <w:bottom w:val="single" w:color="auto" w:sz="4" w:space="0"/>
                    <w:right w:val="single" w:color="auto" w:sz="4" w:space="0"/>
                  </w:tcBorders>
                  <w:vAlign w:val="center"/>
                </w:tcPr>
                <w:p w14:paraId="5F352273">
                  <w:pPr>
                    <w:pStyle w:val="87"/>
                    <w:rPr>
                      <w:rFonts w:hint="eastAsia" w:hAnsi="宋体"/>
                    </w:rPr>
                  </w:pPr>
                  <w:r>
                    <w:rPr>
                      <w:rFonts w:hint="eastAsia" w:hAnsi="宋体"/>
                    </w:rPr>
                    <w:t>建设单位拟加强勘探开发过程的环境监督管理。</w:t>
                  </w:r>
                </w:p>
              </w:tc>
              <w:tc>
                <w:tcPr>
                  <w:tcW w:w="304" w:type="pct"/>
                  <w:tcBorders>
                    <w:top w:val="single" w:color="auto" w:sz="4" w:space="0"/>
                    <w:left w:val="single" w:color="auto" w:sz="4" w:space="0"/>
                    <w:bottom w:val="single" w:color="auto" w:sz="4" w:space="0"/>
                    <w:right w:val="single" w:color="auto" w:sz="4" w:space="0"/>
                  </w:tcBorders>
                  <w:vAlign w:val="center"/>
                </w:tcPr>
                <w:p w14:paraId="14778CEB">
                  <w:pPr>
                    <w:pStyle w:val="87"/>
                    <w:rPr>
                      <w:rFonts w:hint="eastAsia" w:hAnsi="宋体"/>
                    </w:rPr>
                  </w:pPr>
                  <w:r>
                    <w:rPr>
                      <w:rFonts w:hint="eastAsia" w:hAnsi="宋体"/>
                    </w:rPr>
                    <w:t>符合</w:t>
                  </w:r>
                </w:p>
              </w:tc>
            </w:tr>
            <w:tr w14:paraId="157A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5F70912D">
                  <w:pPr>
                    <w:pStyle w:val="87"/>
                    <w:rPr>
                      <w:rFonts w:hint="eastAsia" w:hAnsi="宋体"/>
                    </w:rPr>
                  </w:pPr>
                  <w:r>
                    <w:rPr>
                      <w:rFonts w:hint="eastAsia" w:hAnsi="宋体"/>
                    </w:rPr>
                    <w:t>（三）在开发过程中，企业应加强油气井套管的检测和维护，防止油气泄漏污染地下水。</w:t>
                  </w:r>
                </w:p>
              </w:tc>
              <w:tc>
                <w:tcPr>
                  <w:tcW w:w="1984" w:type="pct"/>
                  <w:tcBorders>
                    <w:top w:val="single" w:color="auto" w:sz="4" w:space="0"/>
                    <w:left w:val="single" w:color="auto" w:sz="4" w:space="0"/>
                    <w:bottom w:val="single" w:color="auto" w:sz="4" w:space="0"/>
                    <w:right w:val="single" w:color="auto" w:sz="4" w:space="0"/>
                  </w:tcBorders>
                  <w:vAlign w:val="center"/>
                </w:tcPr>
                <w:p w14:paraId="7C7E58F7">
                  <w:pPr>
                    <w:pStyle w:val="87"/>
                    <w:rPr>
                      <w:rFonts w:hint="eastAsia" w:hAnsi="宋体"/>
                    </w:rPr>
                  </w:pPr>
                  <w:r>
                    <w:rPr>
                      <w:rFonts w:hint="eastAsia" w:hAnsi="宋体"/>
                    </w:rPr>
                    <w:t>本项目不属于开发井。</w:t>
                  </w:r>
                </w:p>
              </w:tc>
              <w:tc>
                <w:tcPr>
                  <w:tcW w:w="304" w:type="pct"/>
                  <w:tcBorders>
                    <w:top w:val="single" w:color="auto" w:sz="4" w:space="0"/>
                    <w:left w:val="single" w:color="auto" w:sz="4" w:space="0"/>
                    <w:bottom w:val="single" w:color="auto" w:sz="4" w:space="0"/>
                    <w:right w:val="single" w:color="auto" w:sz="4" w:space="0"/>
                  </w:tcBorders>
                  <w:vAlign w:val="center"/>
                </w:tcPr>
                <w:p w14:paraId="1627F1F8">
                  <w:pPr>
                    <w:pStyle w:val="87"/>
                    <w:rPr>
                      <w:rFonts w:hint="eastAsia" w:hAnsi="宋体"/>
                    </w:rPr>
                  </w:pPr>
                  <w:r>
                    <w:rPr>
                      <w:rFonts w:hint="eastAsia" w:hAnsi="宋体"/>
                    </w:rPr>
                    <w:t>符合</w:t>
                  </w:r>
                </w:p>
              </w:tc>
            </w:tr>
            <w:tr w14:paraId="18F6A174">
              <w:tblPrEx>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17FA8AD0">
                  <w:pPr>
                    <w:pStyle w:val="87"/>
                    <w:rPr>
                      <w:rFonts w:hint="eastAsia" w:hAnsi="宋体"/>
                    </w:rPr>
                  </w:pPr>
                  <w:r>
                    <w:rPr>
                      <w:rFonts w:hint="eastAsia" w:hAnsi="宋体"/>
                    </w:rPr>
                    <w:t>（四）油气田企业应建立环境保护人员培训制度，环境监测人员、统计人员、污染治理设施操作人员应经培训合格后上岗。</w:t>
                  </w:r>
                </w:p>
              </w:tc>
              <w:tc>
                <w:tcPr>
                  <w:tcW w:w="1984" w:type="pct"/>
                  <w:tcBorders>
                    <w:top w:val="single" w:color="auto" w:sz="4" w:space="0"/>
                    <w:left w:val="single" w:color="auto" w:sz="4" w:space="0"/>
                    <w:bottom w:val="single" w:color="auto" w:sz="4" w:space="0"/>
                    <w:right w:val="single" w:color="auto" w:sz="4" w:space="0"/>
                  </w:tcBorders>
                  <w:vAlign w:val="center"/>
                </w:tcPr>
                <w:p w14:paraId="01AC0816">
                  <w:pPr>
                    <w:pStyle w:val="87"/>
                    <w:rPr>
                      <w:rFonts w:hint="eastAsia" w:hAnsi="宋体"/>
                    </w:rPr>
                  </w:pPr>
                  <w:r>
                    <w:rPr>
                      <w:rFonts w:hint="eastAsia" w:hAnsi="宋体"/>
                    </w:rPr>
                    <w:t>建立了环境保护人员培训制度，环境监测人员、统计人员、污染治理设施操作人员应经培训合格后上岗。</w:t>
                  </w:r>
                </w:p>
              </w:tc>
              <w:tc>
                <w:tcPr>
                  <w:tcW w:w="304" w:type="pct"/>
                  <w:tcBorders>
                    <w:top w:val="single" w:color="auto" w:sz="4" w:space="0"/>
                    <w:left w:val="single" w:color="auto" w:sz="4" w:space="0"/>
                    <w:bottom w:val="single" w:color="auto" w:sz="4" w:space="0"/>
                    <w:right w:val="single" w:color="auto" w:sz="4" w:space="0"/>
                  </w:tcBorders>
                  <w:vAlign w:val="center"/>
                </w:tcPr>
                <w:p w14:paraId="3FBEE226">
                  <w:pPr>
                    <w:pStyle w:val="87"/>
                    <w:rPr>
                      <w:rFonts w:hint="eastAsia" w:hAnsi="宋体"/>
                    </w:rPr>
                  </w:pPr>
                  <w:r>
                    <w:rPr>
                      <w:rFonts w:hint="eastAsia" w:hAnsi="宋体"/>
                    </w:rPr>
                    <w:t>符合</w:t>
                  </w:r>
                </w:p>
              </w:tc>
            </w:tr>
            <w:tr w14:paraId="3ECB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pct"/>
                  <w:tcBorders>
                    <w:top w:val="single" w:color="auto" w:sz="4" w:space="0"/>
                    <w:left w:val="single" w:color="auto" w:sz="4" w:space="0"/>
                    <w:bottom w:val="single" w:color="auto" w:sz="4" w:space="0"/>
                    <w:right w:val="single" w:color="auto" w:sz="4" w:space="0"/>
                  </w:tcBorders>
                  <w:vAlign w:val="center"/>
                </w:tcPr>
                <w:p w14:paraId="489C9ADC">
                  <w:pPr>
                    <w:pStyle w:val="87"/>
                    <w:rPr>
                      <w:rFonts w:hint="eastAsia" w:hAnsi="宋体"/>
                    </w:rPr>
                  </w:pPr>
                  <w:r>
                    <w:rPr>
                      <w:rFonts w:hint="eastAsia" w:hAnsi="宋体"/>
                    </w:rPr>
                    <w:t>（五）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984" w:type="pct"/>
                  <w:tcBorders>
                    <w:top w:val="single" w:color="auto" w:sz="4" w:space="0"/>
                    <w:left w:val="single" w:color="auto" w:sz="4" w:space="0"/>
                    <w:bottom w:val="single" w:color="auto" w:sz="4" w:space="0"/>
                    <w:right w:val="single" w:color="auto" w:sz="4" w:space="0"/>
                  </w:tcBorders>
                  <w:vAlign w:val="center"/>
                </w:tcPr>
                <w:p w14:paraId="3AEDBAD8">
                  <w:pPr>
                    <w:pStyle w:val="87"/>
                    <w:rPr>
                      <w:rFonts w:hint="eastAsia" w:hAnsi="宋体"/>
                    </w:rPr>
                  </w:pPr>
                  <w:r>
                    <w:rPr>
                      <w:rFonts w:hint="eastAsia" w:hAnsi="宋体"/>
                    </w:rPr>
                    <w:t>对勘探开发过程进行了环境风险因素识别，制定突发环境事件应急预案并定期进行演练。采取环境风险防范和应急措施，防止发生由突发性油气泄漏产生的环境事故。</w:t>
                  </w:r>
                </w:p>
              </w:tc>
              <w:tc>
                <w:tcPr>
                  <w:tcW w:w="304" w:type="pct"/>
                  <w:tcBorders>
                    <w:top w:val="single" w:color="auto" w:sz="4" w:space="0"/>
                    <w:left w:val="single" w:color="auto" w:sz="4" w:space="0"/>
                    <w:bottom w:val="single" w:color="auto" w:sz="4" w:space="0"/>
                    <w:right w:val="single" w:color="auto" w:sz="4" w:space="0"/>
                  </w:tcBorders>
                  <w:vAlign w:val="center"/>
                </w:tcPr>
                <w:p w14:paraId="4D25D0E7">
                  <w:pPr>
                    <w:pStyle w:val="87"/>
                    <w:rPr>
                      <w:rFonts w:hint="eastAsia" w:hAnsi="宋体"/>
                    </w:rPr>
                  </w:pPr>
                  <w:r>
                    <w:rPr>
                      <w:rFonts w:hint="eastAsia" w:hAnsi="宋体"/>
                    </w:rPr>
                    <w:t>符合</w:t>
                  </w:r>
                </w:p>
              </w:tc>
            </w:tr>
          </w:tbl>
          <w:p w14:paraId="33021E48">
            <w:pPr>
              <w:rPr>
                <w:rFonts w:hint="eastAsia" w:ascii="宋体" w:hAnsi="宋体"/>
                <w:szCs w:val="21"/>
              </w:rPr>
            </w:pPr>
          </w:p>
          <w:p w14:paraId="735078FC">
            <w:pPr>
              <w:pStyle w:val="89"/>
              <w:ind w:firstLine="420"/>
              <w:rPr>
                <w:rFonts w:hint="eastAsia" w:hAnsi="宋体"/>
              </w:rPr>
            </w:pPr>
            <w:r>
              <w:rPr>
                <w:rFonts w:hint="eastAsia" w:hAnsi="宋体"/>
              </w:rPr>
              <w:t>综上所述，本项目建设符合《石油天然气开采业污染防治技术政策》（2012年3月7日）的相关规定。</w:t>
            </w:r>
          </w:p>
          <w:p w14:paraId="713E4AAA">
            <w:pPr>
              <w:pStyle w:val="113"/>
              <w:rPr>
                <w:rFonts w:hint="eastAsia"/>
                <w:kern w:val="0"/>
                <w:szCs w:val="21"/>
              </w:rPr>
            </w:pPr>
            <w:r>
              <w:rPr>
                <w:kern w:val="0"/>
                <w:szCs w:val="21"/>
              </w:rPr>
              <w:t>6</w:t>
            </w:r>
            <w:r>
              <w:rPr>
                <w:rFonts w:hint="eastAsia"/>
                <w:kern w:val="0"/>
                <w:szCs w:val="21"/>
              </w:rPr>
              <w:t>、与《新疆生态环境保护“十四五”规划》（2021年12月24日）的相符性分析</w:t>
            </w:r>
          </w:p>
          <w:p w14:paraId="7DC343FB">
            <w:pPr>
              <w:pStyle w:val="113"/>
              <w:spacing w:line="332" w:lineRule="auto"/>
              <w:rPr>
                <w:rFonts w:hint="eastAsia"/>
                <w:kern w:val="0"/>
              </w:rPr>
            </w:pPr>
            <w:r>
              <w:rPr>
                <w:rFonts w:hint="eastAsia"/>
                <w:kern w:val="0"/>
              </w:rPr>
              <w:t>本项目与</w:t>
            </w:r>
            <w:r>
              <w:rPr>
                <w:rFonts w:hint="eastAsia" w:cs="Times New Roman"/>
                <w:snapToGrid w:val="0"/>
                <w:szCs w:val="21"/>
              </w:rPr>
              <w:t>《新疆生态环境保护“十四五”规划》（2021年12月24日）中要求的相符性分析详见</w:t>
            </w:r>
            <w:r>
              <w:rPr>
                <w:rFonts w:hint="eastAsia" w:cs="Times New Roman"/>
                <w:snapToGrid w:val="0"/>
                <w:szCs w:val="21"/>
              </w:rPr>
              <w:fldChar w:fldCharType="begin"/>
            </w:r>
            <w:r>
              <w:rPr>
                <w:rFonts w:hint="eastAsia" w:cs="Times New Roman"/>
                <w:snapToGrid w:val="0"/>
                <w:szCs w:val="21"/>
              </w:rPr>
              <w:instrText xml:space="preserve"> REF _Ref23517 </w:instrText>
            </w:r>
            <w:r>
              <w:rPr>
                <w:rFonts w:hint="eastAsia" w:cs="Times New Roman"/>
                <w:snapToGrid w:val="0"/>
                <w:szCs w:val="21"/>
              </w:rPr>
              <w:fldChar w:fldCharType="separate"/>
            </w:r>
            <w:r>
              <w:rPr>
                <w:rFonts w:hint="eastAsia" w:cs="Times New Roman"/>
                <w:snapToGrid w:val="0"/>
                <w:szCs w:val="21"/>
              </w:rPr>
              <w:t>表9</w:t>
            </w:r>
            <w:r>
              <w:rPr>
                <w:rFonts w:hint="eastAsia" w:cs="Times New Roman"/>
                <w:snapToGrid w:val="0"/>
                <w:szCs w:val="21"/>
              </w:rPr>
              <w:fldChar w:fldCharType="end"/>
            </w:r>
            <w:r>
              <w:rPr>
                <w:rFonts w:hint="eastAsia" w:cs="Times New Roman"/>
                <w:snapToGrid w:val="0"/>
                <w:szCs w:val="21"/>
              </w:rPr>
              <w:t>。</w:t>
            </w:r>
          </w:p>
          <w:p w14:paraId="4713E780">
            <w:pPr>
              <w:pStyle w:val="113"/>
              <w:spacing w:line="332" w:lineRule="auto"/>
              <w:ind w:firstLine="0" w:firstLineChars="0"/>
              <w:jc w:val="center"/>
              <w:rPr>
                <w:rFonts w:hint="eastAsia" w:cs="Times New Roman"/>
                <w:snapToGrid w:val="0"/>
                <w:szCs w:val="21"/>
              </w:rPr>
            </w:pPr>
            <w:bookmarkStart w:id="13" w:name="_Ref23517"/>
            <w:r>
              <w:rPr>
                <w:rFonts w:hint="eastAsia" w:cs="Times New Roman"/>
                <w:snapToGrid w:val="0"/>
                <w:szCs w:val="21"/>
              </w:rPr>
              <w:t>表</w:t>
            </w:r>
            <w:r>
              <w:rPr>
                <w:rFonts w:hint="eastAsia" w:cs="Times New Roman"/>
                <w:snapToGrid w:val="0"/>
                <w:szCs w:val="21"/>
              </w:rPr>
              <w:fldChar w:fldCharType="begin"/>
            </w:r>
            <w:r>
              <w:rPr>
                <w:rFonts w:hint="eastAsia" w:cs="Times New Roman"/>
                <w:snapToGrid w:val="0"/>
                <w:szCs w:val="21"/>
              </w:rPr>
              <w:instrText xml:space="preserve"> SEQ 表 \*ARABIC </w:instrText>
            </w:r>
            <w:r>
              <w:rPr>
                <w:rFonts w:hint="eastAsia" w:cs="Times New Roman"/>
                <w:snapToGrid w:val="0"/>
                <w:szCs w:val="21"/>
              </w:rPr>
              <w:fldChar w:fldCharType="separate"/>
            </w:r>
            <w:r>
              <w:rPr>
                <w:rFonts w:hint="eastAsia" w:cs="Times New Roman"/>
                <w:snapToGrid w:val="0"/>
                <w:szCs w:val="21"/>
              </w:rPr>
              <w:t>9</w:t>
            </w:r>
            <w:r>
              <w:rPr>
                <w:rFonts w:hint="eastAsia" w:cs="Times New Roman"/>
                <w:snapToGrid w:val="0"/>
                <w:szCs w:val="21"/>
              </w:rPr>
              <w:fldChar w:fldCharType="end"/>
            </w:r>
            <w:bookmarkEnd w:id="13"/>
            <w:r>
              <w:rPr>
                <w:rFonts w:hint="eastAsia" w:cs="Times New Roman"/>
                <w:snapToGrid w:val="0"/>
                <w:szCs w:val="21"/>
              </w:rPr>
              <w:t xml:space="preserve">  与《新疆生态环境保护“十四五”规划》（2021年12月24日）相符性分析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6"/>
              <w:gridCol w:w="3952"/>
              <w:gridCol w:w="881"/>
            </w:tblGrid>
            <w:tr w14:paraId="440E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1A4E1F4">
                  <w:pPr>
                    <w:pStyle w:val="87"/>
                    <w:rPr>
                      <w:rFonts w:hint="eastAsia" w:hAnsi="宋体" w:cs="宋体"/>
                      <w:kern w:val="0"/>
                    </w:rPr>
                  </w:pPr>
                  <w:r>
                    <w:rPr>
                      <w:rFonts w:hint="eastAsia" w:hAnsi="宋体" w:cs="宋体"/>
                      <w:kern w:val="0"/>
                    </w:rPr>
                    <w:t>文件要求节选</w:t>
                  </w:r>
                </w:p>
              </w:tc>
              <w:tc>
                <w:tcPr>
                  <w:tcW w:w="2300"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D7D4049">
                  <w:pPr>
                    <w:pStyle w:val="87"/>
                    <w:rPr>
                      <w:rFonts w:hint="eastAsia" w:hAnsi="宋体" w:cs="宋体"/>
                      <w:kern w:val="0"/>
                    </w:rPr>
                  </w:pPr>
                  <w:r>
                    <w:rPr>
                      <w:rFonts w:hint="eastAsia" w:hAnsi="宋体" w:cs="宋体"/>
                      <w:kern w:val="0"/>
                    </w:rPr>
                    <w:t>项目情况</w:t>
                  </w:r>
                </w:p>
              </w:tc>
              <w:tc>
                <w:tcPr>
                  <w:tcW w:w="513"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917E08D">
                  <w:pPr>
                    <w:pStyle w:val="87"/>
                    <w:rPr>
                      <w:rFonts w:hint="eastAsia" w:hAnsi="宋体" w:cs="宋体"/>
                      <w:kern w:val="0"/>
                    </w:rPr>
                  </w:pPr>
                  <w:r>
                    <w:rPr>
                      <w:rFonts w:hint="eastAsia" w:hAnsi="宋体" w:cs="宋体"/>
                      <w:kern w:val="0"/>
                    </w:rPr>
                    <w:t>相符性</w:t>
                  </w:r>
                </w:p>
              </w:tc>
            </w:tr>
            <w:tr w14:paraId="57E1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283CC1E">
                  <w:pPr>
                    <w:pStyle w:val="87"/>
                    <w:rPr>
                      <w:rFonts w:hint="eastAsia" w:hAnsi="宋体" w:cs="宋体"/>
                      <w:kern w:val="0"/>
                    </w:rPr>
                  </w:pPr>
                  <w:r>
                    <w:rPr>
                      <w:rFonts w:hint="eastAsia" w:hAnsi="宋体" w:cs="宋体"/>
                      <w:kern w:val="0"/>
                    </w:rPr>
                    <w:t>“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2300"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53A7E41">
                  <w:pPr>
                    <w:pStyle w:val="87"/>
                    <w:rPr>
                      <w:rFonts w:hint="eastAsia" w:hAnsi="宋体" w:cs="宋体"/>
                      <w:kern w:val="0"/>
                    </w:rPr>
                  </w:pPr>
                  <w:r>
                    <w:rPr>
                      <w:rFonts w:hint="eastAsia" w:hAnsi="宋体" w:cs="宋体"/>
                      <w:kern w:val="0"/>
                    </w:rPr>
                    <w:t>本项目位于新疆维吾尔自治区昌吉回族自治州玛纳斯县境内，本项目不属于“两高”项目以及不符合产业准入标准和政策的落后项目，符合昌吉回族自治州生态环境分区管控要求。因此，本项目符合《新疆生态环境保护“十四五”规划》（2021年12月24日）的要求。</w:t>
                  </w:r>
                </w:p>
              </w:tc>
              <w:tc>
                <w:tcPr>
                  <w:tcW w:w="513"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00A580E">
                  <w:pPr>
                    <w:pStyle w:val="87"/>
                    <w:rPr>
                      <w:rFonts w:hint="eastAsia" w:hAnsi="宋体" w:cs="宋体"/>
                      <w:kern w:val="0"/>
                    </w:rPr>
                  </w:pPr>
                  <w:r>
                    <w:rPr>
                      <w:rFonts w:hint="eastAsia" w:hAnsi="宋体" w:cs="宋体"/>
                      <w:kern w:val="0"/>
                    </w:rPr>
                    <w:t>符合</w:t>
                  </w:r>
                </w:p>
              </w:tc>
            </w:tr>
          </w:tbl>
          <w:p w14:paraId="6EB4C8F9">
            <w:pPr>
              <w:pStyle w:val="89"/>
              <w:ind w:firstLine="420"/>
              <w:rPr>
                <w:rFonts w:hint="eastAsia" w:hAnsi="宋体"/>
              </w:rPr>
            </w:pPr>
          </w:p>
          <w:p w14:paraId="288EE002">
            <w:pPr>
              <w:pStyle w:val="89"/>
              <w:ind w:firstLine="420"/>
              <w:rPr>
                <w:rFonts w:hint="eastAsia" w:hAnsi="宋体"/>
              </w:rPr>
            </w:pPr>
            <w:r>
              <w:rPr>
                <w:rFonts w:hint="eastAsia" w:hAnsi="宋体"/>
              </w:rPr>
              <w:t xml:space="preserve">7、与《昌吉回族自治州生态环境保护与建设“十四五”规划》相符性分析 </w:t>
            </w:r>
          </w:p>
          <w:p w14:paraId="0C3487C5">
            <w:pPr>
              <w:pStyle w:val="113"/>
              <w:spacing w:line="332" w:lineRule="auto"/>
              <w:rPr>
                <w:rFonts w:hint="eastAsia"/>
                <w:kern w:val="0"/>
              </w:rPr>
            </w:pPr>
            <w:r>
              <w:rPr>
                <w:rFonts w:hint="eastAsia"/>
                <w:kern w:val="0"/>
              </w:rPr>
              <w:t>本项目与</w:t>
            </w:r>
            <w:r>
              <w:rPr>
                <w:rFonts w:hint="eastAsia" w:cs="Times New Roman"/>
                <w:snapToGrid w:val="0"/>
                <w:szCs w:val="21"/>
              </w:rPr>
              <w:t>《</w:t>
            </w:r>
            <w:r>
              <w:rPr>
                <w:rFonts w:hint="eastAsia"/>
              </w:rPr>
              <w:t>昌吉回族自治州生态环境保护与建设“十四五”规划</w:t>
            </w:r>
            <w:r>
              <w:rPr>
                <w:rFonts w:hint="eastAsia" w:cs="Times New Roman"/>
                <w:snapToGrid w:val="0"/>
                <w:szCs w:val="21"/>
              </w:rPr>
              <w:t>》中要求的相符性分析详见</w:t>
            </w:r>
            <w:r>
              <w:rPr>
                <w:rFonts w:hint="eastAsia" w:cs="Times New Roman"/>
                <w:snapToGrid w:val="0"/>
                <w:szCs w:val="21"/>
              </w:rPr>
              <w:fldChar w:fldCharType="begin"/>
            </w:r>
            <w:r>
              <w:rPr>
                <w:rFonts w:hint="eastAsia" w:cs="Times New Roman"/>
                <w:snapToGrid w:val="0"/>
                <w:szCs w:val="21"/>
              </w:rPr>
              <w:instrText xml:space="preserve"> REF _Ref216085934 \h </w:instrText>
            </w:r>
            <w:r>
              <w:rPr>
                <w:rFonts w:hint="eastAsia" w:cs="Times New Roman"/>
                <w:snapToGrid w:val="0"/>
                <w:szCs w:val="21"/>
              </w:rPr>
              <w:fldChar w:fldCharType="separate"/>
            </w:r>
            <w:r>
              <w:rPr>
                <w:rFonts w:hint="eastAsia" w:cs="Times New Roman"/>
                <w:snapToGrid w:val="0"/>
                <w:szCs w:val="21"/>
              </w:rPr>
              <w:t>表10</w:t>
            </w:r>
            <w:r>
              <w:rPr>
                <w:rFonts w:hint="eastAsia" w:cs="Times New Roman"/>
                <w:snapToGrid w:val="0"/>
                <w:szCs w:val="21"/>
              </w:rPr>
              <w:fldChar w:fldCharType="end"/>
            </w:r>
            <w:r>
              <w:rPr>
                <w:rFonts w:hint="eastAsia" w:cs="Times New Roman"/>
                <w:snapToGrid w:val="0"/>
                <w:szCs w:val="21"/>
              </w:rPr>
              <w:t>。</w:t>
            </w:r>
          </w:p>
          <w:p w14:paraId="56493847">
            <w:pPr>
              <w:pStyle w:val="113"/>
              <w:spacing w:line="332" w:lineRule="auto"/>
              <w:ind w:firstLine="0" w:firstLineChars="0"/>
              <w:jc w:val="center"/>
              <w:rPr>
                <w:rFonts w:hint="eastAsia" w:cs="Times New Roman"/>
                <w:snapToGrid w:val="0"/>
                <w:szCs w:val="21"/>
              </w:rPr>
            </w:pPr>
            <w:bookmarkStart w:id="14" w:name="_Ref216085934"/>
            <w:r>
              <w:rPr>
                <w:rFonts w:hint="eastAsia" w:cs="Times New Roman"/>
                <w:snapToGrid w:val="0"/>
                <w:szCs w:val="21"/>
              </w:rPr>
              <w:t>表</w:t>
            </w:r>
            <w:r>
              <w:rPr>
                <w:rFonts w:hint="eastAsia" w:cs="Times New Roman"/>
                <w:snapToGrid w:val="0"/>
                <w:szCs w:val="21"/>
              </w:rPr>
              <w:fldChar w:fldCharType="begin"/>
            </w:r>
            <w:r>
              <w:rPr>
                <w:rFonts w:hint="eastAsia" w:cs="Times New Roman"/>
                <w:snapToGrid w:val="0"/>
                <w:szCs w:val="21"/>
              </w:rPr>
              <w:instrText xml:space="preserve"> SEQ 表 \*ARABIC </w:instrText>
            </w:r>
            <w:r>
              <w:rPr>
                <w:rFonts w:hint="eastAsia" w:cs="Times New Roman"/>
                <w:snapToGrid w:val="0"/>
                <w:szCs w:val="21"/>
              </w:rPr>
              <w:fldChar w:fldCharType="separate"/>
            </w:r>
            <w:r>
              <w:rPr>
                <w:rFonts w:hint="eastAsia" w:cs="Times New Roman"/>
                <w:snapToGrid w:val="0"/>
                <w:szCs w:val="21"/>
              </w:rPr>
              <w:t>10</w:t>
            </w:r>
            <w:r>
              <w:rPr>
                <w:rFonts w:hint="eastAsia" w:cs="Times New Roman"/>
                <w:snapToGrid w:val="0"/>
                <w:szCs w:val="21"/>
              </w:rPr>
              <w:fldChar w:fldCharType="end"/>
            </w:r>
            <w:bookmarkEnd w:id="14"/>
            <w:r>
              <w:rPr>
                <w:rFonts w:hint="eastAsia" w:cs="Times New Roman"/>
                <w:snapToGrid w:val="0"/>
                <w:szCs w:val="21"/>
              </w:rPr>
              <w:t xml:space="preserve">  与《</w:t>
            </w:r>
            <w:r>
              <w:rPr>
                <w:rFonts w:hint="eastAsia"/>
              </w:rPr>
              <w:t>昌吉回族自治州生态环境保护与建设“十四五”规划</w:t>
            </w:r>
            <w:r>
              <w:rPr>
                <w:rFonts w:hint="eastAsia" w:cs="Times New Roman"/>
                <w:snapToGrid w:val="0"/>
                <w:szCs w:val="21"/>
              </w:rPr>
              <w:t>》相符性分析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4"/>
              <w:gridCol w:w="3585"/>
              <w:gridCol w:w="880"/>
            </w:tblGrid>
            <w:tr w14:paraId="0AC1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0"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200DFF9">
                  <w:pPr>
                    <w:pStyle w:val="87"/>
                    <w:rPr>
                      <w:rFonts w:hint="eastAsia" w:hAnsi="宋体" w:cs="宋体"/>
                      <w:kern w:val="0"/>
                    </w:rPr>
                  </w:pPr>
                  <w:r>
                    <w:rPr>
                      <w:rFonts w:hint="eastAsia" w:hAnsi="宋体" w:cs="宋体"/>
                      <w:kern w:val="0"/>
                    </w:rPr>
                    <w:t>文件要求节选</w:t>
                  </w:r>
                </w:p>
              </w:tc>
              <w:tc>
                <w:tcPr>
                  <w:tcW w:w="208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69D27AE">
                  <w:pPr>
                    <w:pStyle w:val="87"/>
                    <w:rPr>
                      <w:rFonts w:hint="eastAsia" w:hAnsi="宋体" w:cs="宋体"/>
                      <w:kern w:val="0"/>
                    </w:rPr>
                  </w:pPr>
                  <w:r>
                    <w:rPr>
                      <w:rFonts w:hint="eastAsia" w:hAnsi="宋体" w:cs="宋体"/>
                      <w:kern w:val="0"/>
                    </w:rPr>
                    <w:t>项目情况</w:t>
                  </w:r>
                </w:p>
              </w:tc>
              <w:tc>
                <w:tcPr>
                  <w:tcW w:w="512"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607F7FB">
                  <w:pPr>
                    <w:pStyle w:val="87"/>
                    <w:rPr>
                      <w:rFonts w:hint="eastAsia" w:hAnsi="宋体" w:cs="宋体"/>
                      <w:kern w:val="0"/>
                    </w:rPr>
                  </w:pPr>
                  <w:r>
                    <w:rPr>
                      <w:rFonts w:hint="eastAsia" w:hAnsi="宋体" w:cs="宋体"/>
                      <w:kern w:val="0"/>
                    </w:rPr>
                    <w:t>相符性</w:t>
                  </w:r>
                </w:p>
              </w:tc>
            </w:tr>
            <w:tr w14:paraId="3A37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0"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0EAFEE1">
                  <w:pPr>
                    <w:pStyle w:val="87"/>
                    <w:rPr>
                      <w:rFonts w:hint="eastAsia" w:hAnsi="宋体" w:cs="宋体"/>
                      <w:kern w:val="0"/>
                    </w:rPr>
                  </w:pPr>
                  <w:r>
                    <w:rPr>
                      <w:rFonts w:hint="eastAsia" w:hAnsi="宋体" w:cs="宋体"/>
                      <w:kern w:val="0"/>
                    </w:rPr>
                    <w:t xml:space="preserve">第三节重点任务(一)加强结构优 </w:t>
                  </w:r>
                </w:p>
                <w:p w14:paraId="4240C512">
                  <w:pPr>
                    <w:pStyle w:val="87"/>
                    <w:rPr>
                      <w:rFonts w:hint="eastAsia" w:hAnsi="宋体" w:cs="宋体"/>
                      <w:kern w:val="0"/>
                    </w:rPr>
                  </w:pPr>
                  <w:r>
                    <w:rPr>
                      <w:rFonts w:hint="eastAsia" w:hAnsi="宋体" w:cs="宋体"/>
                      <w:kern w:val="0"/>
                    </w:rPr>
                    <w:t>化调整，推进经济社会绿色转型发展中指出，坚持绿色发展导向，持续推动产业结构、能源结构、交通运输结构和农业投入结构调整，促进经济社会发展全面绿色转型，不断增强生态环境 质量改善的内生动力。加快发展现代煤化工、新材料、有色金属、煤炭、煤电、矿产开采及加工等优势产业，培育壮大先进装备制造、页岩油气加工、节能环保、新型建材、新能源等新兴产业和生产性服务业。</w:t>
                  </w:r>
                </w:p>
              </w:tc>
              <w:tc>
                <w:tcPr>
                  <w:tcW w:w="2086"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9D51A61">
                  <w:pPr>
                    <w:pStyle w:val="87"/>
                    <w:rPr>
                      <w:rFonts w:hint="eastAsia" w:hAnsi="宋体" w:cs="宋体"/>
                      <w:kern w:val="0"/>
                    </w:rPr>
                  </w:pPr>
                  <w:r>
                    <w:rPr>
                      <w:rFonts w:hint="eastAsia" w:hAnsi="宋体" w:cs="宋体"/>
                      <w:kern w:val="0"/>
                    </w:rPr>
                    <w:t>本项目位于新疆维吾尔自治区昌吉回族自治州玛纳斯县境内，本项目属于油气勘探项目，符合昌吉回族自治州生态环境分区管控要求，也属于规划中鼓励发展的优势产业，符合《昌吉回族自治州生态环境保护与建设“十四五”规划》要求。</w:t>
                  </w:r>
                </w:p>
              </w:tc>
              <w:tc>
                <w:tcPr>
                  <w:tcW w:w="512"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F61E916">
                  <w:pPr>
                    <w:pStyle w:val="87"/>
                    <w:rPr>
                      <w:rFonts w:hint="eastAsia" w:hAnsi="宋体" w:cs="宋体"/>
                      <w:kern w:val="0"/>
                    </w:rPr>
                  </w:pPr>
                  <w:r>
                    <w:rPr>
                      <w:rFonts w:hint="eastAsia" w:hAnsi="宋体" w:cs="宋体"/>
                      <w:kern w:val="0"/>
                    </w:rPr>
                    <w:t>符合</w:t>
                  </w:r>
                </w:p>
              </w:tc>
            </w:tr>
          </w:tbl>
          <w:p w14:paraId="05510E63">
            <w:pPr>
              <w:pStyle w:val="89"/>
              <w:ind w:firstLine="420"/>
              <w:rPr>
                <w:rFonts w:hint="eastAsia" w:hAnsi="宋体"/>
              </w:rPr>
            </w:pPr>
          </w:p>
          <w:p w14:paraId="11A1AB22">
            <w:pPr>
              <w:pStyle w:val="89"/>
              <w:ind w:firstLine="420"/>
              <w:rPr>
                <w:rFonts w:hint="eastAsia" w:hAnsi="宋体"/>
              </w:rPr>
            </w:pPr>
            <w:r>
              <w:rPr>
                <w:rFonts w:hint="eastAsia" w:hAnsi="宋体"/>
              </w:rPr>
              <w:t>8、与《中国石油化工股份有限公司胜利油田分公司“十五五”常规油气勘探规划》符合性分析</w:t>
            </w:r>
          </w:p>
          <w:p w14:paraId="022EEF8D">
            <w:pPr>
              <w:pStyle w:val="89"/>
              <w:ind w:firstLine="420"/>
              <w:rPr>
                <w:rFonts w:hint="eastAsia" w:hAnsi="宋体"/>
              </w:rPr>
            </w:pPr>
            <w:r>
              <w:rPr>
                <w:rFonts w:hint="eastAsia" w:hAnsi="宋体"/>
              </w:rPr>
              <w:t>中石化新疆新春石油开发有限责任公司为中国石油化工股份有限公司胜利油田分公司下属二级单位，目前胜利油田分公司已发布《中国石油化工股份有限公司胜利油田分公司“十五五”常规油气勘探规划》。</w:t>
            </w:r>
          </w:p>
          <w:p w14:paraId="5DA8B08A">
            <w:pPr>
              <w:pStyle w:val="89"/>
              <w:ind w:firstLine="420"/>
              <w:rPr>
                <w:rFonts w:hint="eastAsia" w:hAnsi="宋体"/>
              </w:rPr>
            </w:pPr>
            <w:r>
              <w:rPr>
                <w:rFonts w:hint="eastAsia" w:hAnsi="宋体"/>
              </w:rPr>
              <w:t>规划第三章 资源潜力与发展方向中提出，准东南地区证实发育二叠系风城组烃源岩，改变了原来的认识，极大提升了准东南山前带的勘探潜力，残留凹陷钱3井首次证实石炭系烃源岩潜力，这些进展的取得使得胜利西部探区的资源落实程度更加可靠。准噶尔盆地东南为北天山和博格达山联合控制的复杂构造带，主要发育凹陷区、山前带、凸起区等三类地质体。</w:t>
            </w:r>
            <w:r>
              <w:rPr>
                <w:rFonts w:hint="eastAsia" w:hAnsi="宋体"/>
                <w:b/>
              </w:rPr>
              <w:t>凹陷区木垒、柴窝堡已获得低产油流，石钱滩凹陷钱3井也获得突破，下一步在勘探潜力评价的基础上，通过与邻区勘探进展结合，精细成藏解剖及目标评价，落实潜力。</w:t>
            </w:r>
            <w:r>
              <w:rPr>
                <w:rFonts w:hint="eastAsia" w:hAnsi="宋体"/>
              </w:rPr>
              <w:t>山前带受多期复杂构造活动影响，精细建模是关键，落实解释模式、评价勘探潜力。凸起区主要包括古西及奇台凸起，地层缺失较多，层序发育不全，多为新近系直接覆盖在石炭系之上，邻区及钻井证实发育优质页岩油，下步方向为评价页岩油气潜力、探索深层含油气情况。</w:t>
            </w:r>
          </w:p>
          <w:p w14:paraId="2B898071">
            <w:pPr>
              <w:pStyle w:val="89"/>
              <w:ind w:firstLine="422"/>
              <w:rPr>
                <w:rFonts w:hint="eastAsia" w:hAnsi="宋体"/>
              </w:rPr>
            </w:pPr>
            <w:r>
              <w:rPr>
                <w:rFonts w:hint="eastAsia" w:hAnsi="宋体"/>
                <w:b/>
              </w:rPr>
              <w:t>十四五”期间，钱3井获得突破，木垒、石钱滩均钻遇油气显示，证实残留凹陷依然具有较大的勘探潜力</w:t>
            </w:r>
            <w:r>
              <w:rPr>
                <w:rFonts w:hint="eastAsia" w:hAnsi="宋体"/>
              </w:rPr>
              <w:t>，发育准东南C1j、C</w:t>
            </w:r>
            <w:r>
              <w:rPr>
                <w:rFonts w:hint="eastAsia" w:hAnsi="宋体"/>
                <w:vertAlign w:val="subscript"/>
              </w:rPr>
              <w:t>2</w:t>
            </w:r>
            <w:r>
              <w:rPr>
                <w:rFonts w:hint="eastAsia" w:hAnsi="宋体"/>
              </w:rPr>
              <w:t>sh、P2l三套烃源岩，发育C和P含油气系统发育页岩油气、致密油气、火山岩等油气藏类型。“十五五”规划部署区带探井4×10</w:t>
            </w:r>
            <w:r>
              <w:rPr>
                <w:rFonts w:hint="eastAsia" w:hAnsi="宋体"/>
                <w:vertAlign w:val="superscript"/>
              </w:rPr>
              <w:t>4</w:t>
            </w:r>
            <w:r>
              <w:rPr>
                <w:rFonts w:hint="eastAsia" w:hAnsi="宋体"/>
              </w:rPr>
              <w:t>m，进尺2.06×10</w:t>
            </w:r>
            <w:r>
              <w:rPr>
                <w:rFonts w:hint="eastAsia" w:hAnsi="宋体"/>
                <w:vertAlign w:val="superscript"/>
              </w:rPr>
              <w:t>4</w:t>
            </w:r>
            <w:r>
              <w:rPr>
                <w:rFonts w:hint="eastAsia" w:hAnsi="宋体"/>
              </w:rPr>
              <w:t>m，规划新增探明石油地质储量300×10</w:t>
            </w:r>
            <w:r>
              <w:rPr>
                <w:rFonts w:hint="eastAsia" w:hAnsi="宋体"/>
                <w:vertAlign w:val="superscript"/>
              </w:rPr>
              <w:t>4</w:t>
            </w:r>
            <w:r>
              <w:rPr>
                <w:rFonts w:hint="eastAsia" w:hAnsi="宋体"/>
              </w:rPr>
              <w:t>t，控制石油地质储量400×10</w:t>
            </w:r>
            <w:r>
              <w:rPr>
                <w:rFonts w:hint="eastAsia" w:hAnsi="宋体"/>
                <w:vertAlign w:val="superscript"/>
              </w:rPr>
              <w:t>4</w:t>
            </w:r>
            <w:r>
              <w:rPr>
                <w:rFonts w:hint="eastAsia" w:hAnsi="宋体"/>
              </w:rPr>
              <w:t>t，预测石油地质储量900×10</w:t>
            </w:r>
            <w:r>
              <w:rPr>
                <w:rFonts w:hint="eastAsia" w:hAnsi="宋体"/>
                <w:vertAlign w:val="superscript"/>
              </w:rPr>
              <w:t>4</w:t>
            </w:r>
            <w:r>
              <w:rPr>
                <w:rFonts w:hint="eastAsia" w:hAnsi="宋体"/>
              </w:rPr>
              <w:t>t。</w:t>
            </w:r>
          </w:p>
          <w:p w14:paraId="55114584">
            <w:pPr>
              <w:pStyle w:val="89"/>
              <w:ind w:firstLine="420"/>
              <w:rPr>
                <w:rFonts w:hint="eastAsia" w:hAnsi="宋体"/>
              </w:rPr>
            </w:pPr>
            <w:r>
              <w:rPr>
                <w:rFonts w:hint="eastAsia" w:hAnsi="宋体"/>
              </w:rPr>
              <w:t>拟建征121井位于</w:t>
            </w:r>
            <w:r>
              <w:rPr>
                <w:rFonts w:hint="eastAsia" w:hAnsi="宋体" w:cs="宋体"/>
              </w:rPr>
              <w:t>新疆维吾尔自治区昌吉回族自治州玛纳斯县，一五零团五连西南侧2.28km处</w:t>
            </w:r>
            <w:r>
              <w:rPr>
                <w:rFonts w:hint="eastAsia" w:hAnsi="宋体"/>
              </w:rPr>
              <w:t>，属于准噶尔盆地东南部，构造位置为准噶尔盆地中央坳陷盆1井西凹陷。公司计划在“十五五”期间对该区域在勘探潜力评价的基础上，通过与邻区勘探进展结合，精细成藏解剖及目标评价，落实潜力。综上，项目的建设符合《中国石油化工股份有限公司胜利油田分公司“十五五”常规油气勘探规划》相关要求。</w:t>
            </w:r>
          </w:p>
          <w:p w14:paraId="12A4CA53">
            <w:pPr>
              <w:pStyle w:val="89"/>
              <w:ind w:firstLine="420"/>
              <w:rPr>
                <w:rFonts w:hint="eastAsia" w:hAnsi="宋体"/>
              </w:rPr>
            </w:pPr>
            <w:r>
              <w:rPr>
                <w:rFonts w:hint="eastAsia" w:hAnsi="宋体"/>
              </w:rPr>
              <w:t>9、与《新疆维吾尔自治区大气污染防治条例》（2</w:t>
            </w:r>
            <w:r>
              <w:rPr>
                <w:rFonts w:hAnsi="宋体"/>
              </w:rPr>
              <w:t>019</w:t>
            </w:r>
            <w:r>
              <w:rPr>
                <w:rFonts w:hint="eastAsia" w:hAnsi="宋体"/>
              </w:rPr>
              <w:t>年1月1日）符合性分析</w:t>
            </w:r>
          </w:p>
          <w:p w14:paraId="56F27ECF">
            <w:pPr>
              <w:pStyle w:val="89"/>
              <w:ind w:firstLine="420"/>
              <w:rPr>
                <w:rFonts w:hint="eastAsia" w:hAnsi="宋体"/>
              </w:rPr>
            </w:pPr>
            <w:r>
              <w:rPr>
                <w:rFonts w:hint="eastAsia" w:hAnsi="宋体"/>
              </w:rPr>
              <w:t>《新疆维吾尔自治区大气污染防治条例》（2</w:t>
            </w:r>
            <w:r>
              <w:rPr>
                <w:rFonts w:hAnsi="宋体"/>
              </w:rPr>
              <w:t>019</w:t>
            </w:r>
            <w:r>
              <w:rPr>
                <w:rFonts w:hint="eastAsia" w:hAnsi="宋体"/>
              </w:rPr>
              <w:t>年1月1日）第三章 防治措施 第一节 燃煤和其他能源防治 第2</w:t>
            </w:r>
            <w:r>
              <w:rPr>
                <w:rFonts w:hAnsi="宋体"/>
              </w:rPr>
              <w:t>4</w:t>
            </w:r>
            <w:r>
              <w:rPr>
                <w:rFonts w:hint="eastAsia" w:hAnsi="宋体"/>
              </w:rPr>
              <w:t>条中指出“推进城市建成区、工业园区实行集中供热，使用清洁燃料。在集中供热管网覆盖区域内，禁止新建、改建、扩建燃煤供热锅炉，集中供热管网覆盖前，已建成使用的燃煤供热锅炉应当限期停止使用。在集中供热未覆盖的区域，鼓励使用清洁能源替代，推广使用高效节能环保型锅炉。城市人民政府应当限期淘汰不符合国家和自治区规定规模的燃煤锅炉。”</w:t>
            </w:r>
          </w:p>
          <w:p w14:paraId="2FF7AEEE">
            <w:pPr>
              <w:pStyle w:val="89"/>
              <w:ind w:firstLine="420"/>
              <w:rPr>
                <w:rFonts w:hint="eastAsia" w:hAnsi="宋体"/>
              </w:rPr>
            </w:pPr>
            <w:r>
              <w:rPr>
                <w:rFonts w:hint="eastAsia" w:hAnsi="宋体"/>
              </w:rPr>
              <w:t>本项目施工期建设1座临时冬防锅炉，用于给生产设备保温及施工人员取暖。锅炉选用高效节能环保型号，燃料采用清洁能源生物质并配套完备的污染防治措施，且临时冬防锅炉仅在冬季施工期内使用，在项目施工结束后拆除，符合《新疆维吾尔自治区大气污染防治条例》（2</w:t>
            </w:r>
            <w:r>
              <w:rPr>
                <w:rFonts w:hAnsi="宋体"/>
              </w:rPr>
              <w:t>019</w:t>
            </w:r>
            <w:r>
              <w:rPr>
                <w:rFonts w:hint="eastAsia" w:hAnsi="宋体"/>
              </w:rPr>
              <w:t>年1月1日）中相关要求。</w:t>
            </w:r>
          </w:p>
          <w:p w14:paraId="4BFEB13C">
            <w:pPr>
              <w:pStyle w:val="89"/>
              <w:ind w:firstLine="420"/>
              <w:rPr>
                <w:rFonts w:hint="eastAsia" w:hAnsi="宋体"/>
              </w:rPr>
            </w:pPr>
            <w:r>
              <w:rPr>
                <w:rFonts w:hint="eastAsia" w:hAnsi="宋体"/>
              </w:rPr>
              <w:t>10、与《新疆维吾尔自治区城乡建设领域碳达峰实施方案》（2023年1月20日）符合性分析</w:t>
            </w:r>
          </w:p>
          <w:p w14:paraId="04E21D4C">
            <w:pPr>
              <w:pStyle w:val="89"/>
              <w:ind w:firstLine="420"/>
              <w:rPr>
                <w:rFonts w:hint="eastAsia" w:hAnsi="宋体"/>
              </w:rPr>
            </w:pPr>
            <w:r>
              <w:rPr>
                <w:rFonts w:hint="eastAsia" w:hAnsi="宋体"/>
              </w:rPr>
              <w:t xml:space="preserve">《新疆维吾尔自治区城乡建设领域碳达峰实施方案》（2023年1月20日）第二节 重点任务（一）建设绿色低碳城市 </w:t>
            </w:r>
            <w:r>
              <w:rPr>
                <w:rFonts w:hAnsi="宋体"/>
              </w:rPr>
              <w:t>5</w:t>
            </w:r>
            <w:r>
              <w:rPr>
                <w:rFonts w:hint="eastAsia" w:hAnsi="宋体"/>
              </w:rPr>
              <w:t>、优化城市建设用能结构中指出，积极推动清洁取暖，因地制宜推行热泵、</w:t>
            </w:r>
            <w:r>
              <w:rPr>
                <w:rFonts w:hint="eastAsia" w:hAnsi="宋体"/>
                <w:b/>
              </w:rPr>
              <w:t>生物质能</w:t>
            </w:r>
            <w:r>
              <w:rPr>
                <w:rFonts w:hint="eastAsia" w:hAnsi="宋体"/>
              </w:rPr>
              <w:t>、地热能、太阳能等清洁低碳供暖技术，到2025年，城镇建筑可再生能源替代率力争达到8%。提高建筑终端电气化水平，结合地区差异、用能条件、电网情况等有序引导建筑供暖、生活热水、炊事向电气化发展。</w:t>
            </w:r>
          </w:p>
          <w:p w14:paraId="718A9F8F">
            <w:pPr>
              <w:pStyle w:val="89"/>
              <w:ind w:firstLine="420"/>
              <w:rPr>
                <w:rFonts w:hint="eastAsia" w:hAnsi="宋体"/>
              </w:rPr>
            </w:pPr>
            <w:r>
              <w:rPr>
                <w:rFonts w:hint="eastAsia" w:hAnsi="宋体"/>
              </w:rPr>
              <w:t>本项目冬季施工期采用1台2</w:t>
            </w:r>
            <w:r>
              <w:rPr>
                <w:rFonts w:hAnsi="宋体"/>
              </w:rPr>
              <w:t>.5t/h</w:t>
            </w:r>
            <w:r>
              <w:rPr>
                <w:rFonts w:hint="eastAsia" w:hAnsi="宋体"/>
              </w:rPr>
              <w:t>生物质蒸汽锅炉供热，锅炉采用清洁生物质燃料，符合《新疆维吾尔自治区城乡建设领域碳达峰实施方案》（2023年1月20日）中清洁取暖的要求。</w:t>
            </w:r>
          </w:p>
          <w:p w14:paraId="6E181E91">
            <w:pPr>
              <w:pStyle w:val="89"/>
              <w:ind w:firstLine="420"/>
              <w:rPr>
                <w:rFonts w:hint="eastAsia" w:hAnsi="宋体"/>
              </w:rPr>
            </w:pPr>
            <w:r>
              <w:rPr>
                <w:rFonts w:hAnsi="宋体"/>
              </w:rPr>
              <w:t>1</w:t>
            </w:r>
            <w:r>
              <w:rPr>
                <w:rFonts w:hint="eastAsia" w:hAnsi="宋体"/>
              </w:rPr>
              <w:t>1、与《新疆维吾尔自治区2025年空气质量持续改善行动实施方案》（2</w:t>
            </w:r>
            <w:r>
              <w:rPr>
                <w:rFonts w:hAnsi="宋体"/>
              </w:rPr>
              <w:t>024</w:t>
            </w:r>
            <w:r>
              <w:rPr>
                <w:rFonts w:hint="eastAsia" w:hAnsi="宋体"/>
              </w:rPr>
              <w:t>年1</w:t>
            </w:r>
            <w:r>
              <w:rPr>
                <w:rFonts w:hAnsi="宋体"/>
              </w:rPr>
              <w:t>2</w:t>
            </w:r>
            <w:r>
              <w:rPr>
                <w:rFonts w:hint="eastAsia" w:hAnsi="宋体"/>
              </w:rPr>
              <w:t>月1</w:t>
            </w:r>
            <w:r>
              <w:rPr>
                <w:rFonts w:hAnsi="宋体"/>
              </w:rPr>
              <w:t>0</w:t>
            </w:r>
            <w:r>
              <w:rPr>
                <w:rFonts w:hint="eastAsia" w:hAnsi="宋体"/>
              </w:rPr>
              <w:t>日）符合性分析</w:t>
            </w:r>
          </w:p>
          <w:p w14:paraId="2E5996FD">
            <w:pPr>
              <w:pStyle w:val="89"/>
              <w:ind w:firstLine="420"/>
              <w:rPr>
                <w:rFonts w:hint="eastAsia" w:hAnsi="宋体"/>
              </w:rPr>
            </w:pPr>
            <w:r>
              <w:rPr>
                <w:rFonts w:hint="eastAsia" w:hAnsi="宋体"/>
              </w:rPr>
              <w:t>本项目与《新疆维吾尔自治区2025年空气质量持续改善行动实施方案》（2</w:t>
            </w:r>
            <w:r>
              <w:rPr>
                <w:rFonts w:hAnsi="宋体"/>
              </w:rPr>
              <w:t>024</w:t>
            </w:r>
            <w:r>
              <w:rPr>
                <w:rFonts w:hint="eastAsia" w:hAnsi="宋体"/>
              </w:rPr>
              <w:t>年1</w:t>
            </w:r>
            <w:r>
              <w:rPr>
                <w:rFonts w:hAnsi="宋体"/>
              </w:rPr>
              <w:t>2</w:t>
            </w:r>
            <w:r>
              <w:rPr>
                <w:rFonts w:hint="eastAsia" w:hAnsi="宋体"/>
              </w:rPr>
              <w:t>月1</w:t>
            </w:r>
            <w:r>
              <w:rPr>
                <w:rFonts w:hAnsi="宋体"/>
              </w:rPr>
              <w:t>0</w:t>
            </w:r>
            <w:r>
              <w:rPr>
                <w:rFonts w:hint="eastAsia" w:hAnsi="宋体"/>
              </w:rPr>
              <w:t>日）符合性分析见</w:t>
            </w:r>
            <w:r>
              <w:rPr>
                <w:rFonts w:hint="eastAsia" w:hAnsi="宋体"/>
              </w:rPr>
              <w:fldChar w:fldCharType="begin"/>
            </w:r>
            <w:r>
              <w:rPr>
                <w:rFonts w:hint="eastAsia" w:hAnsi="宋体"/>
              </w:rPr>
              <w:instrText xml:space="preserve"> REF _Ref216085978 \h </w:instrText>
            </w:r>
            <w:r>
              <w:rPr>
                <w:rFonts w:hint="eastAsia" w:hAnsi="宋体"/>
              </w:rPr>
              <w:fldChar w:fldCharType="separate"/>
            </w:r>
            <w:r>
              <w:rPr>
                <w:rFonts w:hint="eastAsia" w:hAnsi="宋体"/>
                <w:snapToGrid w:val="0"/>
              </w:rPr>
              <w:t>表11</w:t>
            </w:r>
            <w:r>
              <w:rPr>
                <w:rFonts w:hint="eastAsia" w:hAnsi="宋体"/>
              </w:rPr>
              <w:fldChar w:fldCharType="end"/>
            </w:r>
            <w:r>
              <w:rPr>
                <w:rFonts w:hint="eastAsia" w:hAnsi="宋体"/>
              </w:rPr>
              <w:t>。</w:t>
            </w:r>
          </w:p>
          <w:p w14:paraId="3E023A8E">
            <w:pPr>
              <w:pStyle w:val="12"/>
              <w:keepLines/>
              <w:spacing w:before="120"/>
              <w:rPr>
                <w:rFonts w:hint="eastAsia" w:hAnsi="宋体"/>
              </w:rPr>
            </w:pPr>
            <w:bookmarkStart w:id="15" w:name="_Ref216085978"/>
            <w:r>
              <w:rPr>
                <w:rFonts w:hint="eastAsia" w:hAnsi="宋体"/>
                <w:snapToGrid w:val="0"/>
                <w:szCs w:val="21"/>
              </w:rPr>
              <w:t>表</w:t>
            </w:r>
            <w:r>
              <w:rPr>
                <w:rFonts w:hint="eastAsia" w:hAnsi="宋体"/>
                <w:snapToGrid w:val="0"/>
                <w:szCs w:val="21"/>
              </w:rPr>
              <w:fldChar w:fldCharType="begin"/>
            </w:r>
            <w:r>
              <w:rPr>
                <w:rFonts w:hint="eastAsia" w:hAnsi="宋体"/>
                <w:snapToGrid w:val="0"/>
                <w:szCs w:val="21"/>
              </w:rPr>
              <w:instrText xml:space="preserve"> SEQ 表 \*ARABIC </w:instrText>
            </w:r>
            <w:r>
              <w:rPr>
                <w:rFonts w:hint="eastAsia" w:hAnsi="宋体"/>
                <w:snapToGrid w:val="0"/>
                <w:szCs w:val="21"/>
              </w:rPr>
              <w:fldChar w:fldCharType="separate"/>
            </w:r>
            <w:r>
              <w:rPr>
                <w:rFonts w:hint="eastAsia" w:hAnsi="宋体"/>
                <w:snapToGrid w:val="0"/>
                <w:szCs w:val="21"/>
              </w:rPr>
              <w:t>11</w:t>
            </w:r>
            <w:r>
              <w:rPr>
                <w:rFonts w:hint="eastAsia" w:hAnsi="宋体"/>
                <w:snapToGrid w:val="0"/>
                <w:szCs w:val="21"/>
              </w:rPr>
              <w:fldChar w:fldCharType="end"/>
            </w:r>
            <w:bookmarkEnd w:id="15"/>
            <w:r>
              <w:rPr>
                <w:rFonts w:hint="eastAsia" w:hAnsi="宋体"/>
                <w:snapToGrid w:val="0"/>
                <w:szCs w:val="21"/>
              </w:rPr>
              <w:t xml:space="preserve">  </w:t>
            </w:r>
            <w:r>
              <w:rPr>
                <w:rFonts w:hint="eastAsia" w:hAnsi="宋体"/>
                <w:szCs w:val="21"/>
              </w:rPr>
              <w:t>与</w:t>
            </w:r>
            <w:r>
              <w:rPr>
                <w:rFonts w:hint="eastAsia" w:hAnsi="宋体"/>
              </w:rPr>
              <w:t>《新疆维吾尔自治区2025年空气质量持续改善行动实施方案》</w:t>
            </w:r>
            <w:r>
              <w:rPr>
                <w:rFonts w:hint="eastAsia" w:hAnsi="宋体"/>
                <w:szCs w:val="21"/>
              </w:rPr>
              <w:t>的相符性分析</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031"/>
              <w:gridCol w:w="3946"/>
              <w:gridCol w:w="615"/>
            </w:tblGrid>
            <w:tr w14:paraId="4452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blHeader/>
              </w:trPr>
              <w:tc>
                <w:tcPr>
                  <w:tcW w:w="4031" w:type="dxa"/>
                  <w:tcMar>
                    <w:top w:w="15" w:type="dxa"/>
                    <w:left w:w="0" w:type="dxa"/>
                    <w:bottom w:w="15" w:type="dxa"/>
                    <w:right w:w="15" w:type="dxa"/>
                  </w:tcMar>
                  <w:vAlign w:val="center"/>
                </w:tcPr>
                <w:p w14:paraId="768D40D6">
                  <w:pPr>
                    <w:pStyle w:val="87"/>
                    <w:rPr>
                      <w:rFonts w:hint="eastAsia" w:hAnsi="宋体"/>
                    </w:rPr>
                  </w:pPr>
                  <w:r>
                    <w:rPr>
                      <w:rFonts w:hint="eastAsia" w:hAnsi="宋体"/>
                    </w:rPr>
                    <w:t>文件要求</w:t>
                  </w:r>
                </w:p>
              </w:tc>
              <w:tc>
                <w:tcPr>
                  <w:tcW w:w="3946" w:type="dxa"/>
                  <w:vAlign w:val="center"/>
                </w:tcPr>
                <w:p w14:paraId="23FD371F">
                  <w:pPr>
                    <w:pStyle w:val="87"/>
                    <w:rPr>
                      <w:rFonts w:hint="eastAsia" w:hAnsi="宋体"/>
                    </w:rPr>
                  </w:pPr>
                  <w:r>
                    <w:rPr>
                      <w:rFonts w:hAnsi="宋体"/>
                    </w:rPr>
                    <w:t>项目情况</w:t>
                  </w:r>
                </w:p>
              </w:tc>
              <w:tc>
                <w:tcPr>
                  <w:tcW w:w="615" w:type="dxa"/>
                  <w:vAlign w:val="center"/>
                </w:tcPr>
                <w:p w14:paraId="443870F6">
                  <w:pPr>
                    <w:pStyle w:val="87"/>
                    <w:rPr>
                      <w:rFonts w:hint="eastAsia" w:hAnsi="宋体"/>
                    </w:rPr>
                  </w:pPr>
                  <w:r>
                    <w:rPr>
                      <w:rFonts w:hAnsi="宋体"/>
                    </w:rPr>
                    <w:t>是否符合</w:t>
                  </w:r>
                </w:p>
              </w:tc>
            </w:tr>
            <w:tr w14:paraId="1640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031" w:type="dxa"/>
                  <w:tcMar>
                    <w:top w:w="15" w:type="dxa"/>
                    <w:left w:w="0" w:type="dxa"/>
                    <w:bottom w:w="15" w:type="dxa"/>
                    <w:right w:w="15" w:type="dxa"/>
                  </w:tcMar>
                  <w:vAlign w:val="center"/>
                </w:tcPr>
                <w:p w14:paraId="262926A1">
                  <w:pPr>
                    <w:pStyle w:val="87"/>
                    <w:rPr>
                      <w:rFonts w:hint="eastAsia" w:hAnsi="宋体"/>
                    </w:rPr>
                  </w:pPr>
                  <w:r>
                    <w:rPr>
                      <w:rFonts w:hint="eastAsia" w:hAnsi="宋体"/>
                    </w:rPr>
                    <w:t>三、持续优化能源结构</w:t>
                  </w:r>
                </w:p>
              </w:tc>
              <w:tc>
                <w:tcPr>
                  <w:tcW w:w="3946" w:type="dxa"/>
                  <w:vAlign w:val="center"/>
                </w:tcPr>
                <w:p w14:paraId="13BBB560">
                  <w:pPr>
                    <w:pStyle w:val="87"/>
                    <w:rPr>
                      <w:rFonts w:hint="eastAsia" w:hAnsi="宋体"/>
                    </w:rPr>
                  </w:pPr>
                </w:p>
              </w:tc>
              <w:tc>
                <w:tcPr>
                  <w:tcW w:w="615" w:type="dxa"/>
                  <w:vAlign w:val="center"/>
                </w:tcPr>
                <w:p w14:paraId="2329D0E9">
                  <w:pPr>
                    <w:pStyle w:val="87"/>
                    <w:rPr>
                      <w:rFonts w:hint="eastAsia" w:hAnsi="宋体"/>
                    </w:rPr>
                  </w:pPr>
                </w:p>
              </w:tc>
            </w:tr>
            <w:tr w14:paraId="0C0F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031" w:type="dxa"/>
                  <w:tcMar>
                    <w:top w:w="15" w:type="dxa"/>
                    <w:left w:w="0" w:type="dxa"/>
                    <w:bottom w:w="15" w:type="dxa"/>
                    <w:right w:w="15" w:type="dxa"/>
                  </w:tcMar>
                  <w:vAlign w:val="center"/>
                </w:tcPr>
                <w:p w14:paraId="382A81F1">
                  <w:pPr>
                    <w:pStyle w:val="87"/>
                    <w:rPr>
                      <w:rFonts w:hint="eastAsia" w:hAnsi="宋体"/>
                    </w:rPr>
                  </w:pPr>
                  <w:r>
                    <w:rPr>
                      <w:rFonts w:hint="eastAsia" w:hAnsi="宋体"/>
                    </w:rPr>
                    <w:t>（六）持续开展燃煤锅炉综合整治。县级及以上城市建成区原则上不再新建35蒸吨/小时及以下燃煤锅炉。</w:t>
                  </w:r>
                </w:p>
              </w:tc>
              <w:tc>
                <w:tcPr>
                  <w:tcW w:w="3946" w:type="dxa"/>
                  <w:vAlign w:val="center"/>
                </w:tcPr>
                <w:p w14:paraId="51C7CEEB">
                  <w:pPr>
                    <w:pStyle w:val="87"/>
                    <w:rPr>
                      <w:rFonts w:hint="eastAsia" w:hAnsi="宋体"/>
                    </w:rPr>
                  </w:pPr>
                  <w:r>
                    <w:rPr>
                      <w:rFonts w:hint="eastAsia" w:hAnsi="宋体"/>
                    </w:rPr>
                    <w:t>本项目施工期冬季采用生物质锅炉供热，并配套完备的污染防治措施，不涉及用煤。</w:t>
                  </w:r>
                </w:p>
              </w:tc>
              <w:tc>
                <w:tcPr>
                  <w:tcW w:w="615" w:type="dxa"/>
                  <w:vAlign w:val="center"/>
                </w:tcPr>
                <w:p w14:paraId="7959FB70">
                  <w:pPr>
                    <w:pStyle w:val="87"/>
                    <w:rPr>
                      <w:rFonts w:hint="eastAsia" w:hAnsi="宋体"/>
                    </w:rPr>
                  </w:pPr>
                  <w:r>
                    <w:rPr>
                      <w:rFonts w:hint="eastAsia" w:hAnsi="宋体"/>
                    </w:rPr>
                    <w:t>符合</w:t>
                  </w:r>
                </w:p>
              </w:tc>
            </w:tr>
            <w:tr w14:paraId="73F1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031" w:type="dxa"/>
                  <w:tcMar>
                    <w:top w:w="15" w:type="dxa"/>
                    <w:left w:w="0" w:type="dxa"/>
                    <w:bottom w:w="15" w:type="dxa"/>
                    <w:right w:w="15" w:type="dxa"/>
                  </w:tcMar>
                  <w:vAlign w:val="center"/>
                </w:tcPr>
                <w:p w14:paraId="5AABA2C0">
                  <w:pPr>
                    <w:pStyle w:val="87"/>
                    <w:rPr>
                      <w:rFonts w:hint="eastAsia" w:hAnsi="宋体"/>
                    </w:rPr>
                  </w:pPr>
                  <w:r>
                    <w:rPr>
                      <w:rFonts w:hint="eastAsia" w:hAnsi="宋体"/>
                    </w:rPr>
                    <w:t>（七）联防联控区原则上不再新增燃料类煤气发生炉，新改扩建加热炉、热处理炉、干燥炉、熔化炉原则上采用清洁低碳能源。</w:t>
                  </w:r>
                </w:p>
              </w:tc>
              <w:tc>
                <w:tcPr>
                  <w:tcW w:w="3946" w:type="dxa"/>
                  <w:vAlign w:val="center"/>
                </w:tcPr>
                <w:p w14:paraId="058F8668">
                  <w:pPr>
                    <w:pStyle w:val="87"/>
                    <w:rPr>
                      <w:rFonts w:hint="eastAsia" w:hAnsi="宋体"/>
                    </w:rPr>
                  </w:pPr>
                  <w:r>
                    <w:rPr>
                      <w:rFonts w:hint="eastAsia" w:hAnsi="宋体"/>
                    </w:rPr>
                    <w:t>本项目施工期冬季采暖锅炉采用清洁能源生物质，并配套完备的污染防治措施，外排废气达到燃气废气排放标准。</w:t>
                  </w:r>
                </w:p>
              </w:tc>
              <w:tc>
                <w:tcPr>
                  <w:tcW w:w="615" w:type="dxa"/>
                  <w:vAlign w:val="center"/>
                </w:tcPr>
                <w:p w14:paraId="6E23F169">
                  <w:pPr>
                    <w:pStyle w:val="87"/>
                    <w:rPr>
                      <w:rFonts w:hint="eastAsia" w:hAnsi="宋体"/>
                    </w:rPr>
                  </w:pPr>
                  <w:r>
                    <w:rPr>
                      <w:rFonts w:hint="eastAsia" w:hAnsi="宋体"/>
                    </w:rPr>
                    <w:t>符合</w:t>
                  </w:r>
                </w:p>
              </w:tc>
            </w:tr>
            <w:tr w14:paraId="6E36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031" w:type="dxa"/>
                  <w:tcMar>
                    <w:top w:w="15" w:type="dxa"/>
                    <w:left w:w="0" w:type="dxa"/>
                    <w:bottom w:w="15" w:type="dxa"/>
                    <w:right w:w="15" w:type="dxa"/>
                  </w:tcMar>
                  <w:vAlign w:val="center"/>
                </w:tcPr>
                <w:p w14:paraId="0867263A">
                  <w:pPr>
                    <w:pStyle w:val="87"/>
                    <w:rPr>
                      <w:rFonts w:hint="eastAsia" w:hAnsi="宋体"/>
                    </w:rPr>
                  </w:pPr>
                  <w:r>
                    <w:rPr>
                      <w:rFonts w:hint="eastAsia" w:hAnsi="宋体"/>
                    </w:rPr>
                    <w:t>五、全面加强面源污染治理</w:t>
                  </w:r>
                </w:p>
              </w:tc>
              <w:tc>
                <w:tcPr>
                  <w:tcW w:w="3946" w:type="dxa"/>
                  <w:vAlign w:val="center"/>
                </w:tcPr>
                <w:p w14:paraId="78323025">
                  <w:pPr>
                    <w:pStyle w:val="87"/>
                    <w:rPr>
                      <w:rFonts w:hint="eastAsia" w:hAnsi="宋体"/>
                    </w:rPr>
                  </w:pPr>
                </w:p>
              </w:tc>
              <w:tc>
                <w:tcPr>
                  <w:tcW w:w="615" w:type="dxa"/>
                  <w:vAlign w:val="center"/>
                </w:tcPr>
                <w:p w14:paraId="386DFAAC">
                  <w:pPr>
                    <w:pStyle w:val="87"/>
                    <w:rPr>
                      <w:rFonts w:hint="eastAsia" w:hAnsi="宋体"/>
                    </w:rPr>
                  </w:pPr>
                </w:p>
              </w:tc>
            </w:tr>
            <w:tr w14:paraId="0BBE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031" w:type="dxa"/>
                  <w:tcMar>
                    <w:top w:w="15" w:type="dxa"/>
                    <w:left w:w="0" w:type="dxa"/>
                    <w:bottom w:w="15" w:type="dxa"/>
                    <w:right w:w="15" w:type="dxa"/>
                  </w:tcMar>
                  <w:vAlign w:val="center"/>
                </w:tcPr>
                <w:p w14:paraId="36855197">
                  <w:pPr>
                    <w:pStyle w:val="87"/>
                    <w:rPr>
                      <w:rFonts w:hint="eastAsia" w:hAnsi="宋体"/>
                    </w:rPr>
                  </w:pPr>
                  <w:r>
                    <w:rPr>
                      <w:rFonts w:hint="eastAsia" w:hAnsi="宋体"/>
                    </w:rPr>
                    <w:t>（十三）持续强化扬尘污染综合管控。施工场地严格落实“六个百分百”要求。</w:t>
                  </w:r>
                </w:p>
              </w:tc>
              <w:tc>
                <w:tcPr>
                  <w:tcW w:w="3946" w:type="dxa"/>
                  <w:vAlign w:val="center"/>
                </w:tcPr>
                <w:p w14:paraId="3397CF1E">
                  <w:pPr>
                    <w:pStyle w:val="87"/>
                    <w:rPr>
                      <w:rFonts w:hint="eastAsia" w:hAnsi="宋体"/>
                    </w:rPr>
                  </w:pPr>
                  <w:r>
                    <w:rPr>
                      <w:rFonts w:hint="eastAsia" w:hAnsi="宋体"/>
                    </w:rPr>
                    <w:t>本项目施工期采取严格的扬尘防治措施，符合防控要求。</w:t>
                  </w:r>
                </w:p>
              </w:tc>
              <w:tc>
                <w:tcPr>
                  <w:tcW w:w="615" w:type="dxa"/>
                  <w:vAlign w:val="center"/>
                </w:tcPr>
                <w:p w14:paraId="61F193C1">
                  <w:pPr>
                    <w:pStyle w:val="87"/>
                    <w:rPr>
                      <w:rFonts w:hint="eastAsia" w:hAnsi="宋体"/>
                    </w:rPr>
                  </w:pPr>
                  <w:r>
                    <w:rPr>
                      <w:rFonts w:hint="eastAsia" w:hAnsi="宋体"/>
                    </w:rPr>
                    <w:t>符合</w:t>
                  </w:r>
                </w:p>
              </w:tc>
            </w:tr>
            <w:tr w14:paraId="26CD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031" w:type="dxa"/>
                  <w:tcMar>
                    <w:top w:w="15" w:type="dxa"/>
                    <w:left w:w="0" w:type="dxa"/>
                    <w:bottom w:w="15" w:type="dxa"/>
                    <w:right w:w="15" w:type="dxa"/>
                  </w:tcMar>
                  <w:vAlign w:val="center"/>
                </w:tcPr>
                <w:p w14:paraId="1B170F92">
                  <w:pPr>
                    <w:pStyle w:val="87"/>
                    <w:rPr>
                      <w:rFonts w:hint="eastAsia" w:hAnsi="宋体"/>
                    </w:rPr>
                  </w:pPr>
                  <w:r>
                    <w:rPr>
                      <w:rFonts w:hint="eastAsia" w:hAnsi="宋体"/>
                    </w:rPr>
                    <w:t>（十四）推进矿山生态环境综合整治。根据安全生产、水土保持、生态环境等要求，新建矿山按照绿色矿山标准规划、设计、建设和运行管理。</w:t>
                  </w:r>
                </w:p>
              </w:tc>
              <w:tc>
                <w:tcPr>
                  <w:tcW w:w="3946" w:type="dxa"/>
                  <w:vAlign w:val="center"/>
                </w:tcPr>
                <w:p w14:paraId="5EBD23FC">
                  <w:pPr>
                    <w:pStyle w:val="87"/>
                    <w:rPr>
                      <w:rFonts w:hint="eastAsia" w:hAnsi="宋体"/>
                    </w:rPr>
                  </w:pPr>
                  <w:r>
                    <w:rPr>
                      <w:rFonts w:hint="eastAsia" w:hAnsi="宋体"/>
                    </w:rPr>
                    <w:t>本项目建设符合绿色矿山标准设计要求，同时采取完备的水土保持、生态保护以及防沙治沙措施。</w:t>
                  </w:r>
                </w:p>
              </w:tc>
              <w:tc>
                <w:tcPr>
                  <w:tcW w:w="615" w:type="dxa"/>
                  <w:vAlign w:val="center"/>
                </w:tcPr>
                <w:p w14:paraId="191A737C">
                  <w:pPr>
                    <w:pStyle w:val="87"/>
                    <w:rPr>
                      <w:rFonts w:hint="eastAsia" w:hAnsi="宋体"/>
                    </w:rPr>
                  </w:pPr>
                  <w:r>
                    <w:rPr>
                      <w:rFonts w:hint="eastAsia" w:hAnsi="宋体"/>
                    </w:rPr>
                    <w:t>符合</w:t>
                  </w:r>
                </w:p>
              </w:tc>
            </w:tr>
          </w:tbl>
          <w:p w14:paraId="24D08E3B">
            <w:pPr>
              <w:pStyle w:val="89"/>
              <w:ind w:firstLine="0" w:firstLineChars="0"/>
              <w:rPr>
                <w:rFonts w:hint="eastAsia" w:hAnsi="宋体"/>
              </w:rPr>
            </w:pPr>
          </w:p>
          <w:p w14:paraId="6FED3DAE">
            <w:pPr>
              <w:pStyle w:val="89"/>
              <w:ind w:firstLine="420"/>
              <w:rPr>
                <w:rFonts w:hint="eastAsia" w:hAnsi="宋体"/>
              </w:rPr>
            </w:pPr>
            <w:r>
              <w:rPr>
                <w:rFonts w:hint="eastAsia" w:hAnsi="宋体"/>
              </w:rPr>
              <w:t>综上，本项目的建设符合《新疆维吾尔自治区2025年空气质量持续改善行动实施方案》（2</w:t>
            </w:r>
            <w:r>
              <w:rPr>
                <w:rFonts w:hAnsi="宋体"/>
              </w:rPr>
              <w:t>024</w:t>
            </w:r>
            <w:r>
              <w:rPr>
                <w:rFonts w:hint="eastAsia" w:hAnsi="宋体"/>
              </w:rPr>
              <w:t>年1</w:t>
            </w:r>
            <w:r>
              <w:rPr>
                <w:rFonts w:hAnsi="宋体"/>
              </w:rPr>
              <w:t>2</w:t>
            </w:r>
            <w:r>
              <w:rPr>
                <w:rFonts w:hint="eastAsia" w:hAnsi="宋体"/>
              </w:rPr>
              <w:t>月1</w:t>
            </w:r>
            <w:r>
              <w:rPr>
                <w:rFonts w:hAnsi="宋体"/>
              </w:rPr>
              <w:t>0</w:t>
            </w:r>
            <w:r>
              <w:rPr>
                <w:rFonts w:hint="eastAsia" w:hAnsi="宋体"/>
              </w:rPr>
              <w:t>日）中的相关要求。</w:t>
            </w:r>
          </w:p>
          <w:p w14:paraId="7B642AA7">
            <w:pPr>
              <w:pStyle w:val="89"/>
              <w:ind w:firstLine="420"/>
              <w:rPr>
                <w:rFonts w:hint="eastAsia" w:hAnsi="宋体"/>
              </w:rPr>
            </w:pPr>
          </w:p>
        </w:tc>
      </w:tr>
    </w:tbl>
    <w:p w14:paraId="460DF5D4">
      <w:pPr>
        <w:pStyle w:val="26"/>
        <w:adjustRightInd w:val="0"/>
        <w:snapToGrid w:val="0"/>
        <w:spacing w:before="0" w:beforeAutospacing="0" w:after="0" w:afterAutospacing="0"/>
        <w:jc w:val="center"/>
        <w:outlineLvl w:val="0"/>
        <w:rPr>
          <w:rFonts w:hint="eastAsia" w:ascii="黑体" w:hAnsi="黑体" w:eastAsia="黑体"/>
          <w:snapToGrid w:val="0"/>
          <w:sz w:val="30"/>
          <w:szCs w:val="30"/>
        </w:rPr>
      </w:pPr>
      <w:bookmarkStart w:id="16" w:name="_Toc216179948"/>
      <w:r>
        <w:rPr>
          <w:rFonts w:hint="eastAsia" w:ascii="黑体" w:hAnsi="黑体" w:eastAsia="黑体"/>
          <w:snapToGrid w:val="0"/>
          <w:sz w:val="30"/>
          <w:szCs w:val="30"/>
        </w:rPr>
        <w:t>二、建设内容</w:t>
      </w:r>
      <w:bookmarkEnd w:id="16"/>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099"/>
      </w:tblGrid>
      <w:tr w14:paraId="3973C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209CAD45">
            <w:pPr>
              <w:adjustRightInd w:val="0"/>
              <w:snapToGrid w:val="0"/>
              <w:jc w:val="center"/>
              <w:rPr>
                <w:rFonts w:hint="eastAsia" w:ascii="宋体" w:hAnsi="宋体" w:cs="宋体"/>
                <w:kern w:val="0"/>
                <w:szCs w:val="21"/>
              </w:rPr>
            </w:pPr>
            <w:r>
              <w:rPr>
                <w:rFonts w:hint="eastAsia" w:ascii="宋体" w:hAnsi="宋体" w:cs="宋体"/>
                <w:kern w:val="0"/>
                <w:szCs w:val="21"/>
              </w:rPr>
              <w:t>地理位置</w:t>
            </w:r>
          </w:p>
        </w:tc>
        <w:tc>
          <w:tcPr>
            <w:tcW w:w="4750" w:type="pct"/>
            <w:vAlign w:val="center"/>
          </w:tcPr>
          <w:p w14:paraId="35AFEF15">
            <w:pPr>
              <w:pStyle w:val="89"/>
              <w:ind w:firstLine="420"/>
              <w:rPr>
                <w:rFonts w:hint="eastAsia" w:hAnsi="宋体"/>
              </w:rPr>
            </w:pPr>
            <w:r>
              <w:rPr>
                <w:rFonts w:hint="eastAsia" w:hAnsi="宋体"/>
              </w:rPr>
              <w:t>拟建项目位于</w:t>
            </w:r>
            <w:r>
              <w:rPr>
                <w:rFonts w:hint="eastAsia" w:hAnsi="宋体" w:cs="宋体"/>
              </w:rPr>
              <w:t>新疆维吾尔自治区昌吉回族自治州玛纳斯县，一五零团五连西南侧2.28km处</w:t>
            </w:r>
            <w:r>
              <w:rPr>
                <w:rFonts w:hint="eastAsia" w:hAnsi="宋体"/>
              </w:rPr>
              <w:t>。</w:t>
            </w:r>
          </w:p>
        </w:tc>
      </w:tr>
      <w:tr w14:paraId="01FBB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29FC872D">
            <w:pPr>
              <w:adjustRightInd w:val="0"/>
              <w:snapToGrid w:val="0"/>
              <w:jc w:val="center"/>
              <w:rPr>
                <w:rFonts w:hint="eastAsia" w:ascii="宋体" w:hAnsi="宋体" w:cs="宋体"/>
                <w:kern w:val="0"/>
                <w:szCs w:val="21"/>
              </w:rPr>
            </w:pPr>
            <w:r>
              <w:rPr>
                <w:rFonts w:hint="eastAsia" w:ascii="宋体" w:hAnsi="宋体" w:cs="宋体"/>
                <w:kern w:val="0"/>
                <w:szCs w:val="21"/>
              </w:rPr>
              <w:t>项目组成及规模</w:t>
            </w:r>
          </w:p>
        </w:tc>
        <w:tc>
          <w:tcPr>
            <w:tcW w:w="4750" w:type="pct"/>
            <w:vAlign w:val="center"/>
          </w:tcPr>
          <w:p w14:paraId="57DA848A">
            <w:pPr>
              <w:pStyle w:val="113"/>
              <w:rPr>
                <w:rFonts w:hint="eastAsia"/>
              </w:rPr>
            </w:pPr>
            <w:r>
              <w:rPr>
                <w:rFonts w:hint="eastAsia"/>
              </w:rPr>
              <w:t>1、项目背景</w:t>
            </w:r>
          </w:p>
          <w:p w14:paraId="751B8F00">
            <w:pPr>
              <w:pStyle w:val="113"/>
              <w:rPr>
                <w:rFonts w:hint="eastAsia"/>
              </w:rPr>
            </w:pPr>
            <w:r>
              <w:rPr>
                <w:rFonts w:hint="eastAsia"/>
              </w:rPr>
              <w:t>为落实征12井三工河组一段二砂组岩性圈闭含油气范围，明确含油高度，兼探三工河组一砂组含油气情况，中石化新疆新春石油开发有限责任公司拟进行征121井的钻探和试油工作，主要是对油层进行勘探，从而获取相关技术参数，</w:t>
            </w:r>
            <w:bookmarkStart w:id="17" w:name="_Hlk127638056"/>
            <w:r>
              <w:rPr>
                <w:rFonts w:hint="eastAsia"/>
              </w:rPr>
              <w:t>如果勘探过程中未出现油气显示或油气显示不能达到工业开采要求，建设单位将对</w:t>
            </w:r>
            <w:r>
              <w:rPr>
                <w:rFonts w:hint="eastAsia"/>
                <w:szCs w:val="21"/>
              </w:rPr>
              <w:t>征121井</w:t>
            </w:r>
            <w:r>
              <w:rPr>
                <w:rFonts w:hint="eastAsia"/>
              </w:rPr>
              <w:t>进行永久封井，探井封井后无永久占地面积，并对井场道路进行生态恢复；如果</w:t>
            </w:r>
            <w:r>
              <w:rPr>
                <w:rFonts w:hint="eastAsia"/>
                <w:szCs w:val="21"/>
              </w:rPr>
              <w:t>征121井</w:t>
            </w:r>
            <w:r>
              <w:rPr>
                <w:rFonts w:hint="eastAsia"/>
              </w:rPr>
              <w:t>油气显示能够达到工业开采要求，将对</w:t>
            </w:r>
            <w:r>
              <w:rPr>
                <w:rFonts w:hint="eastAsia"/>
                <w:szCs w:val="21"/>
              </w:rPr>
              <w:t>征121井</w:t>
            </w:r>
            <w:r>
              <w:rPr>
                <w:rFonts w:hint="eastAsia"/>
              </w:rPr>
              <w:t>进行临时封井，暂时封存，保留临时道路，将</w:t>
            </w:r>
            <w:r>
              <w:rPr>
                <w:rFonts w:hint="eastAsia"/>
                <w:szCs w:val="21"/>
              </w:rPr>
              <w:t>征121井</w:t>
            </w:r>
            <w:r>
              <w:rPr>
                <w:rFonts w:hint="eastAsia"/>
              </w:rPr>
              <w:t>转入区域产能开发方案井中，并重新在产能建设项目环境影响评价中另行评价</w:t>
            </w:r>
            <w:bookmarkEnd w:id="17"/>
            <w:r>
              <w:rPr>
                <w:rFonts w:hint="eastAsia"/>
              </w:rPr>
              <w:t>。</w:t>
            </w:r>
          </w:p>
          <w:p w14:paraId="3D49F048">
            <w:pPr>
              <w:pStyle w:val="113"/>
              <w:rPr>
                <w:rFonts w:hint="eastAsia"/>
                <w:bCs/>
              </w:rPr>
            </w:pPr>
            <w:r>
              <w:rPr>
                <w:bCs/>
              </w:rPr>
              <w:t>2</w:t>
            </w:r>
            <w:r>
              <w:rPr>
                <w:rFonts w:hint="eastAsia"/>
                <w:bCs/>
              </w:rPr>
              <w:t>、项目组成</w:t>
            </w:r>
          </w:p>
          <w:p w14:paraId="5893C89B">
            <w:pPr>
              <w:pStyle w:val="113"/>
              <w:rPr>
                <w:rFonts w:hint="eastAsia"/>
              </w:rPr>
            </w:pPr>
            <w:r>
              <w:rPr>
                <w:rFonts w:hint="eastAsia"/>
              </w:rPr>
              <w:t>本项目工程组成见</w:t>
            </w:r>
            <w:r>
              <w:fldChar w:fldCharType="begin"/>
            </w:r>
            <w:r>
              <w:instrText xml:space="preserve"> </w:instrText>
            </w:r>
            <w:r>
              <w:rPr>
                <w:rFonts w:hint="eastAsia"/>
              </w:rPr>
              <w:instrText xml:space="preserve">REF _Ref138672075 \h</w:instrText>
            </w:r>
            <w:r>
              <w:instrText xml:space="preserve">  \* MERGEFORMAT </w:instrText>
            </w:r>
            <w:r>
              <w:fldChar w:fldCharType="separate"/>
            </w:r>
            <w:r>
              <w:rPr>
                <w:rFonts w:hint="eastAsia"/>
              </w:rPr>
              <w:t>表12</w:t>
            </w:r>
            <w:r>
              <w:fldChar w:fldCharType="end"/>
            </w:r>
            <w:r>
              <w:rPr>
                <w:rFonts w:hint="eastAsia"/>
              </w:rPr>
              <w:t>。</w:t>
            </w:r>
          </w:p>
          <w:p w14:paraId="3883C2F8">
            <w:pPr>
              <w:pStyle w:val="12"/>
              <w:spacing w:before="120"/>
              <w:rPr>
                <w:rFonts w:hint="eastAsia" w:hAnsi="宋体"/>
              </w:rPr>
            </w:pPr>
            <w:bookmarkStart w:id="18" w:name="_Ref138672075"/>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12</w:t>
            </w:r>
            <w:r>
              <w:rPr>
                <w:rFonts w:hAnsi="宋体"/>
              </w:rPr>
              <w:fldChar w:fldCharType="end"/>
            </w:r>
            <w:bookmarkEnd w:id="18"/>
            <w:r>
              <w:rPr>
                <w:rFonts w:hAnsi="宋体"/>
              </w:rPr>
              <w:t xml:space="preserve">  </w:t>
            </w:r>
            <w:r>
              <w:rPr>
                <w:rFonts w:hint="eastAsia" w:hAnsi="宋体"/>
                <w:snapToGrid w:val="0"/>
              </w:rPr>
              <w:t>项目</w:t>
            </w:r>
            <w:r>
              <w:rPr>
                <w:rFonts w:hAnsi="宋体"/>
                <w:snapToGrid w:val="0"/>
              </w:rPr>
              <w:t>组成表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657"/>
              <w:gridCol w:w="1154"/>
              <w:gridCol w:w="5424"/>
            </w:tblGrid>
            <w:tr w14:paraId="4780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Align w:val="center"/>
                </w:tcPr>
                <w:p w14:paraId="31DB63B6">
                  <w:pPr>
                    <w:pStyle w:val="87"/>
                    <w:rPr>
                      <w:rFonts w:hint="eastAsia" w:hAnsi="宋体" w:cs="宋体"/>
                      <w:snapToGrid w:val="0"/>
                    </w:rPr>
                  </w:pPr>
                  <w:r>
                    <w:rPr>
                      <w:rFonts w:hint="eastAsia" w:hAnsi="宋体" w:cs="宋体"/>
                      <w:snapToGrid w:val="0"/>
                    </w:rPr>
                    <w:t>项目分类</w:t>
                  </w:r>
                </w:p>
              </w:tc>
              <w:tc>
                <w:tcPr>
                  <w:tcW w:w="1150" w:type="pct"/>
                  <w:gridSpan w:val="2"/>
                  <w:vAlign w:val="center"/>
                </w:tcPr>
                <w:p w14:paraId="488CF8C3">
                  <w:pPr>
                    <w:pStyle w:val="87"/>
                    <w:rPr>
                      <w:rFonts w:hint="eastAsia" w:hAnsi="宋体" w:cs="宋体"/>
                      <w:snapToGrid w:val="0"/>
                    </w:rPr>
                  </w:pPr>
                  <w:r>
                    <w:rPr>
                      <w:rFonts w:hint="eastAsia" w:hAnsi="宋体" w:cs="宋体"/>
                      <w:snapToGrid w:val="0"/>
                    </w:rPr>
                    <w:t>项目组成</w:t>
                  </w:r>
                </w:p>
              </w:tc>
              <w:tc>
                <w:tcPr>
                  <w:tcW w:w="3444" w:type="pct"/>
                  <w:vAlign w:val="center"/>
                </w:tcPr>
                <w:p w14:paraId="63301ACB">
                  <w:pPr>
                    <w:pStyle w:val="87"/>
                    <w:rPr>
                      <w:rFonts w:hint="eastAsia" w:hAnsi="宋体" w:cs="宋体"/>
                      <w:snapToGrid w:val="0"/>
                    </w:rPr>
                  </w:pPr>
                  <w:r>
                    <w:rPr>
                      <w:rFonts w:hint="eastAsia" w:hAnsi="宋体" w:cs="宋体"/>
                      <w:snapToGrid w:val="0"/>
                    </w:rPr>
                    <w:t>备注</w:t>
                  </w:r>
                </w:p>
              </w:tc>
            </w:tr>
            <w:tr w14:paraId="656B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vMerge w:val="restart"/>
                  <w:vAlign w:val="center"/>
                </w:tcPr>
                <w:p w14:paraId="31AAD4AC">
                  <w:pPr>
                    <w:pStyle w:val="87"/>
                    <w:rPr>
                      <w:rFonts w:hint="eastAsia" w:hAnsi="宋体" w:cs="宋体"/>
                      <w:snapToGrid w:val="0"/>
                    </w:rPr>
                  </w:pPr>
                  <w:r>
                    <w:rPr>
                      <w:rFonts w:hint="eastAsia" w:hAnsi="宋体" w:cs="宋体"/>
                      <w:snapToGrid w:val="0"/>
                    </w:rPr>
                    <w:t>主体工程</w:t>
                  </w:r>
                </w:p>
              </w:tc>
              <w:tc>
                <w:tcPr>
                  <w:tcW w:w="1150" w:type="pct"/>
                  <w:gridSpan w:val="2"/>
                  <w:vMerge w:val="restart"/>
                  <w:vAlign w:val="center"/>
                </w:tcPr>
                <w:p w14:paraId="01AD9604">
                  <w:pPr>
                    <w:pStyle w:val="87"/>
                    <w:rPr>
                      <w:rFonts w:hint="eastAsia" w:hAnsi="宋体" w:cs="宋体"/>
                      <w:snapToGrid w:val="0"/>
                    </w:rPr>
                  </w:pPr>
                  <w:r>
                    <w:rPr>
                      <w:rFonts w:hint="eastAsia" w:hAnsi="宋体" w:cs="宋体"/>
                      <w:snapToGrid w:val="0"/>
                    </w:rPr>
                    <w:t>钻前工程</w:t>
                  </w:r>
                </w:p>
              </w:tc>
              <w:tc>
                <w:tcPr>
                  <w:tcW w:w="3444" w:type="pct"/>
                  <w:vAlign w:val="center"/>
                </w:tcPr>
                <w:p w14:paraId="7B60CE86">
                  <w:pPr>
                    <w:pStyle w:val="87"/>
                    <w:rPr>
                      <w:rFonts w:hint="eastAsia" w:hAnsi="宋体" w:cs="宋体"/>
                      <w:snapToGrid w:val="0"/>
                    </w:rPr>
                  </w:pPr>
                  <w:r>
                    <w:rPr>
                      <w:rFonts w:hint="eastAsia" w:hAnsi="宋体" w:cs="宋体"/>
                      <w:snapToGrid w:val="0"/>
                    </w:rPr>
                    <w:t>钻井前准备工作，主要为进场道路建设、井场以及辅助设施</w:t>
                  </w:r>
                </w:p>
                <w:p w14:paraId="4BDFD7ED">
                  <w:pPr>
                    <w:pStyle w:val="87"/>
                    <w:rPr>
                      <w:rFonts w:hint="eastAsia" w:hAnsi="宋体" w:cs="宋体"/>
                      <w:snapToGrid w:val="0"/>
                    </w:rPr>
                  </w:pPr>
                  <w:r>
                    <w:rPr>
                      <w:rFonts w:hint="eastAsia" w:hAnsi="宋体" w:cs="宋体"/>
                      <w:snapToGrid w:val="0"/>
                    </w:rPr>
                    <w:t>建设和设备安装等</w:t>
                  </w:r>
                </w:p>
              </w:tc>
            </w:tr>
            <w:tr w14:paraId="0035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vMerge w:val="continue"/>
                  <w:vAlign w:val="center"/>
                </w:tcPr>
                <w:p w14:paraId="69898426">
                  <w:pPr>
                    <w:pStyle w:val="87"/>
                    <w:rPr>
                      <w:rFonts w:hint="eastAsia" w:hAnsi="宋体" w:cs="宋体"/>
                      <w:snapToGrid w:val="0"/>
                    </w:rPr>
                  </w:pPr>
                </w:p>
              </w:tc>
              <w:tc>
                <w:tcPr>
                  <w:tcW w:w="1150" w:type="pct"/>
                  <w:gridSpan w:val="2"/>
                  <w:vMerge w:val="continue"/>
                  <w:vAlign w:val="center"/>
                </w:tcPr>
                <w:p w14:paraId="5B9F850A">
                  <w:pPr>
                    <w:pStyle w:val="87"/>
                    <w:rPr>
                      <w:rFonts w:hint="eastAsia" w:hAnsi="宋体" w:cs="宋体"/>
                      <w:snapToGrid w:val="0"/>
                    </w:rPr>
                  </w:pPr>
                </w:p>
              </w:tc>
              <w:tc>
                <w:tcPr>
                  <w:tcW w:w="3444" w:type="pct"/>
                  <w:vAlign w:val="center"/>
                </w:tcPr>
                <w:p w14:paraId="11BFA54E">
                  <w:pPr>
                    <w:pStyle w:val="87"/>
                    <w:rPr>
                      <w:rFonts w:hint="eastAsia" w:hAnsi="宋体" w:cs="宋体"/>
                      <w:snapToGrid w:val="0"/>
                    </w:rPr>
                  </w:pPr>
                  <w:r>
                    <w:rPr>
                      <w:rFonts w:hint="eastAsia" w:hAnsi="宋体" w:cs="宋体"/>
                      <w:snapToGrid w:val="0"/>
                    </w:rPr>
                    <w:t>新钻征121井1口，井场长约130m、宽110m，占地面积约14300m</w:t>
                  </w:r>
                  <w:r>
                    <w:rPr>
                      <w:rFonts w:hint="eastAsia" w:hAnsi="宋体" w:cs="宋体"/>
                      <w:snapToGrid w:val="0"/>
                      <w:vertAlign w:val="superscript"/>
                    </w:rPr>
                    <w:t>2</w:t>
                  </w:r>
                </w:p>
              </w:tc>
            </w:tr>
            <w:tr w14:paraId="22D2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1A79306D">
                  <w:pPr>
                    <w:pStyle w:val="87"/>
                    <w:rPr>
                      <w:rFonts w:hint="eastAsia" w:hAnsi="宋体" w:cs="宋体"/>
                      <w:snapToGrid w:val="0"/>
                    </w:rPr>
                  </w:pPr>
                </w:p>
              </w:tc>
              <w:tc>
                <w:tcPr>
                  <w:tcW w:w="1150" w:type="pct"/>
                  <w:gridSpan w:val="2"/>
                  <w:vAlign w:val="center"/>
                </w:tcPr>
                <w:p w14:paraId="364379FA">
                  <w:pPr>
                    <w:pStyle w:val="87"/>
                    <w:rPr>
                      <w:rFonts w:hint="eastAsia" w:hAnsi="宋体" w:cs="宋体"/>
                      <w:snapToGrid w:val="0"/>
                    </w:rPr>
                  </w:pPr>
                  <w:r>
                    <w:rPr>
                      <w:rFonts w:hint="eastAsia" w:hAnsi="宋体" w:cs="宋体"/>
                      <w:snapToGrid w:val="0"/>
                    </w:rPr>
                    <w:t>钻井工程</w:t>
                  </w:r>
                </w:p>
              </w:tc>
              <w:tc>
                <w:tcPr>
                  <w:tcW w:w="3444" w:type="pct"/>
                  <w:vAlign w:val="center"/>
                </w:tcPr>
                <w:p w14:paraId="55AB2C64">
                  <w:pPr>
                    <w:pStyle w:val="87"/>
                    <w:rPr>
                      <w:rFonts w:hint="eastAsia" w:hAnsi="宋体" w:cs="宋体"/>
                      <w:snapToGrid w:val="0"/>
                    </w:rPr>
                  </w:pPr>
                  <w:r>
                    <w:rPr>
                      <w:rFonts w:hint="eastAsia" w:hAnsi="宋体" w:cs="宋体"/>
                    </w:rPr>
                    <w:t>1口预探井，征121井设计钻深4720.0m</w:t>
                  </w:r>
                </w:p>
              </w:tc>
            </w:tr>
            <w:tr w14:paraId="56E2201B">
              <w:tblPrEx>
                <w:tblCellMar>
                  <w:top w:w="0" w:type="dxa"/>
                  <w:left w:w="108" w:type="dxa"/>
                  <w:bottom w:w="0" w:type="dxa"/>
                  <w:right w:w="108" w:type="dxa"/>
                </w:tblCellMar>
              </w:tblPrEx>
              <w:trPr>
                <w:trHeight w:val="340" w:hRule="atLeast"/>
              </w:trPr>
              <w:tc>
                <w:tcPr>
                  <w:tcW w:w="405" w:type="pct"/>
                  <w:vMerge w:val="continue"/>
                  <w:vAlign w:val="center"/>
                </w:tcPr>
                <w:p w14:paraId="0B90BBE9">
                  <w:pPr>
                    <w:pStyle w:val="87"/>
                    <w:rPr>
                      <w:rFonts w:hint="eastAsia" w:hAnsi="宋体" w:cs="宋体"/>
                      <w:snapToGrid w:val="0"/>
                    </w:rPr>
                  </w:pPr>
                </w:p>
              </w:tc>
              <w:tc>
                <w:tcPr>
                  <w:tcW w:w="1150" w:type="pct"/>
                  <w:gridSpan w:val="2"/>
                  <w:vAlign w:val="center"/>
                </w:tcPr>
                <w:p w14:paraId="4A8591FE">
                  <w:pPr>
                    <w:pStyle w:val="87"/>
                    <w:rPr>
                      <w:rFonts w:hint="eastAsia" w:hAnsi="宋体" w:cs="宋体"/>
                      <w:snapToGrid w:val="0"/>
                    </w:rPr>
                  </w:pPr>
                  <w:r>
                    <w:rPr>
                      <w:rFonts w:hint="eastAsia" w:hAnsi="宋体" w:cs="宋体"/>
                      <w:snapToGrid w:val="0"/>
                    </w:rPr>
                    <w:t>试油工程</w:t>
                  </w:r>
                </w:p>
              </w:tc>
              <w:tc>
                <w:tcPr>
                  <w:tcW w:w="3444" w:type="pct"/>
                  <w:vAlign w:val="center"/>
                </w:tcPr>
                <w:p w14:paraId="013E8788">
                  <w:pPr>
                    <w:pStyle w:val="87"/>
                    <w:rPr>
                      <w:rFonts w:hint="eastAsia" w:hAnsi="宋体" w:cs="宋体"/>
                      <w:snapToGrid w:val="0"/>
                    </w:rPr>
                  </w:pPr>
                  <w:r>
                    <w:rPr>
                      <w:rFonts w:hint="eastAsia" w:hAnsi="宋体" w:cs="宋体"/>
                      <w:snapToGrid w:val="0"/>
                    </w:rPr>
                    <w:t>试油期井场布置相似，主要设备包括通井机、修井机、水泥车、井下工具等</w:t>
                  </w:r>
                </w:p>
              </w:tc>
            </w:tr>
            <w:tr w14:paraId="3B8828F9">
              <w:tblPrEx>
                <w:tblCellMar>
                  <w:top w:w="0" w:type="dxa"/>
                  <w:left w:w="108" w:type="dxa"/>
                  <w:bottom w:w="0" w:type="dxa"/>
                  <w:right w:w="108" w:type="dxa"/>
                </w:tblCellMar>
              </w:tblPrEx>
              <w:trPr>
                <w:trHeight w:val="340" w:hRule="atLeast"/>
              </w:trPr>
              <w:tc>
                <w:tcPr>
                  <w:tcW w:w="405" w:type="pct"/>
                  <w:vMerge w:val="restart"/>
                  <w:vAlign w:val="center"/>
                </w:tcPr>
                <w:p w14:paraId="3BF69263">
                  <w:pPr>
                    <w:pStyle w:val="87"/>
                    <w:rPr>
                      <w:rFonts w:hint="eastAsia" w:hAnsi="宋体" w:cs="宋体"/>
                      <w:snapToGrid w:val="0"/>
                    </w:rPr>
                  </w:pPr>
                  <w:r>
                    <w:rPr>
                      <w:rFonts w:hint="eastAsia" w:hAnsi="宋体" w:cs="宋体"/>
                      <w:snapToGrid w:val="0"/>
                    </w:rPr>
                    <w:t>辅助工程</w:t>
                  </w:r>
                </w:p>
              </w:tc>
              <w:tc>
                <w:tcPr>
                  <w:tcW w:w="1150" w:type="pct"/>
                  <w:gridSpan w:val="2"/>
                  <w:vAlign w:val="center"/>
                </w:tcPr>
                <w:p w14:paraId="7D5AB874">
                  <w:pPr>
                    <w:pStyle w:val="87"/>
                    <w:rPr>
                      <w:rFonts w:hint="eastAsia" w:hAnsi="宋体" w:cs="宋体"/>
                      <w:snapToGrid w:val="0"/>
                    </w:rPr>
                  </w:pPr>
                  <w:r>
                    <w:rPr>
                      <w:rFonts w:hint="eastAsia" w:hAnsi="宋体" w:cs="宋体"/>
                      <w:snapToGrid w:val="0"/>
                    </w:rPr>
                    <w:t>简易道路</w:t>
                  </w:r>
                </w:p>
              </w:tc>
              <w:tc>
                <w:tcPr>
                  <w:tcW w:w="3444" w:type="pct"/>
                  <w:vAlign w:val="center"/>
                </w:tcPr>
                <w:p w14:paraId="1C6327D7">
                  <w:pPr>
                    <w:pStyle w:val="87"/>
                    <w:rPr>
                      <w:rFonts w:hint="eastAsia" w:hAnsi="宋体" w:cs="宋体"/>
                      <w:snapToGrid w:val="0"/>
                    </w:rPr>
                  </w:pPr>
                  <w:bookmarkStart w:id="19" w:name="_Hlk127608670"/>
                  <w:r>
                    <w:rPr>
                      <w:rFonts w:hint="eastAsia" w:hAnsi="宋体" w:cs="宋体"/>
                      <w:snapToGrid w:val="0"/>
                    </w:rPr>
                    <w:t>新建路宽约7m通井道路，长约4000m，占地面积约为28000m</w:t>
                  </w:r>
                  <w:r>
                    <w:rPr>
                      <w:rFonts w:hint="eastAsia" w:hAnsi="宋体" w:cs="宋体"/>
                      <w:snapToGrid w:val="0"/>
                      <w:vertAlign w:val="superscript"/>
                    </w:rPr>
                    <w:t>2</w:t>
                  </w:r>
                  <w:r>
                    <w:rPr>
                      <w:rFonts w:hint="eastAsia" w:hAnsi="宋体" w:cs="宋体"/>
                      <w:snapToGrid w:val="0"/>
                    </w:rPr>
                    <w:t>；</w:t>
                  </w:r>
                </w:p>
                <w:p w14:paraId="22FC1396">
                  <w:pPr>
                    <w:pStyle w:val="87"/>
                    <w:rPr>
                      <w:rFonts w:hint="eastAsia" w:hAnsi="宋体" w:cs="宋体"/>
                      <w:snapToGrid w:val="0"/>
                    </w:rPr>
                  </w:pPr>
                  <w:r>
                    <w:rPr>
                      <w:rFonts w:hint="eastAsia" w:hAnsi="宋体" w:cs="宋体"/>
                      <w:snapToGrid w:val="0"/>
                    </w:rPr>
                    <w:t>路面为砂石路面，砂石为商品料，不自设取料场</w:t>
                  </w:r>
                  <w:bookmarkEnd w:id="19"/>
                  <w:r>
                    <w:rPr>
                      <w:rFonts w:hint="eastAsia" w:hAnsi="宋体" w:cs="宋体"/>
                      <w:snapToGrid w:val="0"/>
                    </w:rPr>
                    <w:t>。</w:t>
                  </w:r>
                  <w:bookmarkStart w:id="20" w:name="_Hlk127608776"/>
                  <w:r>
                    <w:rPr>
                      <w:rFonts w:hint="eastAsia" w:hAnsi="宋体" w:cs="宋体"/>
                      <w:snapToGrid w:val="0"/>
                    </w:rPr>
                    <w:t>若征121井油气显示能够达到工业开采要求，保留临时道路</w:t>
                  </w:r>
                  <w:bookmarkEnd w:id="20"/>
                </w:p>
              </w:tc>
            </w:tr>
            <w:tr w14:paraId="3F9D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7198BD3C">
                  <w:pPr>
                    <w:pStyle w:val="87"/>
                    <w:rPr>
                      <w:rFonts w:hint="eastAsia" w:hAnsi="宋体" w:cs="宋体"/>
                      <w:snapToGrid w:val="0"/>
                    </w:rPr>
                  </w:pPr>
                </w:p>
              </w:tc>
              <w:tc>
                <w:tcPr>
                  <w:tcW w:w="1150" w:type="pct"/>
                  <w:gridSpan w:val="2"/>
                  <w:vAlign w:val="center"/>
                </w:tcPr>
                <w:p w14:paraId="0BA08C67">
                  <w:pPr>
                    <w:pStyle w:val="87"/>
                    <w:rPr>
                      <w:rFonts w:hint="eastAsia" w:hAnsi="宋体" w:cs="宋体"/>
                      <w:snapToGrid w:val="0"/>
                    </w:rPr>
                  </w:pPr>
                  <w:r>
                    <w:rPr>
                      <w:rFonts w:hint="eastAsia" w:hAnsi="宋体" w:cs="宋体"/>
                      <w:snapToGrid w:val="0"/>
                    </w:rPr>
                    <w:t>生活区</w:t>
                  </w:r>
                </w:p>
              </w:tc>
              <w:tc>
                <w:tcPr>
                  <w:tcW w:w="3444" w:type="pct"/>
                  <w:vAlign w:val="center"/>
                </w:tcPr>
                <w:p w14:paraId="29370A96">
                  <w:pPr>
                    <w:pStyle w:val="87"/>
                    <w:rPr>
                      <w:rFonts w:hint="eastAsia" w:hAnsi="宋体" w:cs="宋体"/>
                      <w:snapToGrid w:val="0"/>
                    </w:rPr>
                  </w:pPr>
                  <w:r>
                    <w:rPr>
                      <w:rFonts w:hint="eastAsia" w:hAnsi="宋体" w:cs="宋体"/>
                    </w:rPr>
                    <w:t>在井场外新建1处生活区，占地面积为2000m</w:t>
                  </w:r>
                  <w:r>
                    <w:rPr>
                      <w:rFonts w:hint="eastAsia" w:hAnsi="宋体" w:cs="宋体"/>
                      <w:vertAlign w:val="superscript"/>
                    </w:rPr>
                    <w:t>2</w:t>
                  </w:r>
                  <w:r>
                    <w:rPr>
                      <w:rFonts w:hint="eastAsia" w:hAnsi="宋体" w:cs="宋体"/>
                    </w:rPr>
                    <w:t>（50m×40m），内设值班室、办公室等生活设施。</w:t>
                  </w:r>
                </w:p>
              </w:tc>
            </w:tr>
            <w:tr w14:paraId="6B6C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restart"/>
                  <w:vAlign w:val="center"/>
                </w:tcPr>
                <w:p w14:paraId="24F5469F">
                  <w:pPr>
                    <w:pStyle w:val="87"/>
                    <w:rPr>
                      <w:rFonts w:hint="eastAsia" w:hAnsi="宋体" w:cs="宋体"/>
                      <w:snapToGrid w:val="0"/>
                    </w:rPr>
                  </w:pPr>
                  <w:r>
                    <w:rPr>
                      <w:rFonts w:hint="eastAsia" w:hAnsi="宋体" w:cs="宋体"/>
                      <w:snapToGrid w:val="0"/>
                    </w:rPr>
                    <w:t>储运工程</w:t>
                  </w:r>
                </w:p>
              </w:tc>
              <w:tc>
                <w:tcPr>
                  <w:tcW w:w="1150" w:type="pct"/>
                  <w:gridSpan w:val="2"/>
                  <w:vAlign w:val="center"/>
                </w:tcPr>
                <w:p w14:paraId="70A2FDB4">
                  <w:pPr>
                    <w:pStyle w:val="87"/>
                    <w:rPr>
                      <w:rFonts w:hint="eastAsia" w:hAnsi="宋体" w:cs="宋体"/>
                      <w:snapToGrid w:val="0"/>
                    </w:rPr>
                  </w:pPr>
                  <w:r>
                    <w:rPr>
                      <w:rFonts w:hint="eastAsia" w:hAnsi="宋体" w:cs="宋体"/>
                      <w:snapToGrid w:val="0"/>
                    </w:rPr>
                    <w:t>柴油罐</w:t>
                  </w:r>
                </w:p>
              </w:tc>
              <w:tc>
                <w:tcPr>
                  <w:tcW w:w="3444" w:type="pct"/>
                  <w:vAlign w:val="center"/>
                </w:tcPr>
                <w:p w14:paraId="37EBC838">
                  <w:pPr>
                    <w:pStyle w:val="87"/>
                    <w:rPr>
                      <w:rFonts w:hint="eastAsia" w:hAnsi="宋体" w:cs="宋体"/>
                      <w:snapToGrid w:val="0"/>
                    </w:rPr>
                  </w:pPr>
                  <w:r>
                    <w:rPr>
                      <w:rFonts w:hint="eastAsia" w:hAnsi="宋体" w:cs="宋体"/>
                      <w:snapToGrid w:val="0"/>
                    </w:rPr>
                    <w:t>井场布置2座柴油罐（地上罐，1用1备），单罐容积40m</w:t>
                  </w:r>
                  <w:r>
                    <w:rPr>
                      <w:rFonts w:hint="eastAsia" w:hAnsi="宋体" w:cs="宋体"/>
                      <w:snapToGrid w:val="0"/>
                      <w:vertAlign w:val="superscript"/>
                    </w:rPr>
                    <w:t>3</w:t>
                  </w:r>
                  <w:r>
                    <w:rPr>
                      <w:rFonts w:hint="eastAsia" w:hAnsi="宋体" w:cs="宋体"/>
                      <w:snapToGrid w:val="0"/>
                    </w:rPr>
                    <w:t>，最大储存量约为34t，储罐区设置一定容积的围堰（长12m×宽12m×高0.3m），采用环保型HDPE3mm厚防渗膜防渗处理，确保在发生罐体泄漏时不会发生溢流</w:t>
                  </w:r>
                </w:p>
              </w:tc>
            </w:tr>
            <w:tr w14:paraId="4F06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4AECF493">
                  <w:pPr>
                    <w:pStyle w:val="87"/>
                    <w:rPr>
                      <w:rFonts w:hint="eastAsia" w:hAnsi="宋体" w:cs="宋体"/>
                      <w:snapToGrid w:val="0"/>
                    </w:rPr>
                  </w:pPr>
                </w:p>
              </w:tc>
              <w:tc>
                <w:tcPr>
                  <w:tcW w:w="1150" w:type="pct"/>
                  <w:gridSpan w:val="2"/>
                  <w:vAlign w:val="center"/>
                </w:tcPr>
                <w:p w14:paraId="7F6F8B3B">
                  <w:pPr>
                    <w:pStyle w:val="87"/>
                    <w:rPr>
                      <w:rFonts w:hint="eastAsia" w:hAnsi="宋体" w:cs="宋体"/>
                      <w:snapToGrid w:val="0"/>
                    </w:rPr>
                  </w:pPr>
                  <w:r>
                    <w:rPr>
                      <w:rFonts w:hint="eastAsia" w:hAnsi="宋体" w:cs="宋体"/>
                      <w:snapToGrid w:val="0"/>
                    </w:rPr>
                    <w:t>钻井液循环罐</w:t>
                  </w:r>
                </w:p>
              </w:tc>
              <w:tc>
                <w:tcPr>
                  <w:tcW w:w="3444" w:type="pct"/>
                  <w:vAlign w:val="center"/>
                </w:tcPr>
                <w:p w14:paraId="753D62D9">
                  <w:pPr>
                    <w:jc w:val="center"/>
                    <w:rPr>
                      <w:rFonts w:hint="eastAsia" w:ascii="宋体" w:hAnsi="宋体" w:cs="宋体"/>
                      <w:snapToGrid w:val="0"/>
                      <w:szCs w:val="21"/>
                    </w:rPr>
                  </w:pPr>
                  <w:r>
                    <w:rPr>
                      <w:rFonts w:hint="eastAsia" w:ascii="宋体" w:hAnsi="宋体" w:cs="宋体"/>
                      <w:snapToGrid w:val="0"/>
                      <w:szCs w:val="21"/>
                    </w:rPr>
                    <w:t>50钻机配备单罐有效容积不小于30m</w:t>
                  </w:r>
                  <w:r>
                    <w:rPr>
                      <w:rFonts w:hint="eastAsia" w:ascii="宋体" w:hAnsi="宋体" w:cs="宋体"/>
                      <w:snapToGrid w:val="0"/>
                      <w:szCs w:val="21"/>
                      <w:vertAlign w:val="superscript"/>
                    </w:rPr>
                    <w:t>3</w:t>
                  </w:r>
                  <w:r>
                    <w:rPr>
                      <w:rFonts w:hint="eastAsia" w:ascii="宋体" w:hAnsi="宋体" w:cs="宋体"/>
                      <w:snapToGrid w:val="0"/>
                      <w:szCs w:val="21"/>
                    </w:rPr>
                    <w:t>钻井液循环罐4台，含搅拌机</w:t>
                  </w:r>
                </w:p>
              </w:tc>
            </w:tr>
            <w:tr w14:paraId="6239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356C15DA">
                  <w:pPr>
                    <w:pStyle w:val="87"/>
                    <w:rPr>
                      <w:rFonts w:hint="eastAsia" w:hAnsi="宋体" w:cs="宋体"/>
                      <w:snapToGrid w:val="0"/>
                    </w:rPr>
                  </w:pPr>
                </w:p>
              </w:tc>
              <w:tc>
                <w:tcPr>
                  <w:tcW w:w="1150" w:type="pct"/>
                  <w:gridSpan w:val="2"/>
                  <w:vAlign w:val="center"/>
                </w:tcPr>
                <w:p w14:paraId="0E8F097D">
                  <w:pPr>
                    <w:pStyle w:val="87"/>
                    <w:rPr>
                      <w:rFonts w:hint="eastAsia" w:hAnsi="宋体" w:cs="宋体"/>
                    </w:rPr>
                  </w:pPr>
                  <w:bookmarkStart w:id="21" w:name="OLE_LINK4"/>
                  <w:r>
                    <w:rPr>
                      <w:rFonts w:hint="eastAsia" w:hAnsi="宋体" w:cs="宋体"/>
                    </w:rPr>
                    <w:t>泥浆中间罐</w:t>
                  </w:r>
                  <w:bookmarkEnd w:id="21"/>
                </w:p>
              </w:tc>
              <w:tc>
                <w:tcPr>
                  <w:tcW w:w="3444" w:type="pct"/>
                  <w:vAlign w:val="center"/>
                </w:tcPr>
                <w:p w14:paraId="206BCA37">
                  <w:pPr>
                    <w:pStyle w:val="87"/>
                    <w:rPr>
                      <w:rFonts w:hint="eastAsia" w:hAnsi="宋体" w:cs="宋体"/>
                    </w:rPr>
                  </w:pPr>
                  <w:r>
                    <w:rPr>
                      <w:rFonts w:hint="eastAsia" w:hAnsi="宋体" w:cs="宋体"/>
                    </w:rPr>
                    <w:t>“泥浆不落地”装置区配套建设4座泥浆罐，单个容积60m</w:t>
                  </w:r>
                  <w:r>
                    <w:rPr>
                      <w:rFonts w:hint="eastAsia" w:hAnsi="宋体" w:cs="宋体"/>
                      <w:vertAlign w:val="superscript"/>
                    </w:rPr>
                    <w:t>3</w:t>
                  </w:r>
                  <w:r>
                    <w:rPr>
                      <w:rFonts w:hint="eastAsia" w:hAnsi="宋体" w:cs="宋体"/>
                    </w:rPr>
                    <w:t>，主要为振动筛、除砂器等配套的中间罐</w:t>
                  </w:r>
                </w:p>
              </w:tc>
            </w:tr>
            <w:tr w14:paraId="2780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5187A485">
                  <w:pPr>
                    <w:pStyle w:val="87"/>
                    <w:rPr>
                      <w:rFonts w:hint="eastAsia" w:hAnsi="宋体" w:cs="宋体"/>
                      <w:snapToGrid w:val="0"/>
                    </w:rPr>
                  </w:pPr>
                </w:p>
              </w:tc>
              <w:tc>
                <w:tcPr>
                  <w:tcW w:w="1150" w:type="pct"/>
                  <w:gridSpan w:val="2"/>
                  <w:vAlign w:val="center"/>
                </w:tcPr>
                <w:p w14:paraId="5BBF7375">
                  <w:pPr>
                    <w:pStyle w:val="87"/>
                    <w:rPr>
                      <w:rFonts w:hint="eastAsia" w:hAnsi="宋体" w:cs="宋体"/>
                    </w:rPr>
                  </w:pPr>
                  <w:r>
                    <w:rPr>
                      <w:rFonts w:hint="eastAsia" w:hAnsi="宋体" w:cs="宋体"/>
                    </w:rPr>
                    <w:t>泥浆备用罐</w:t>
                  </w:r>
                </w:p>
              </w:tc>
              <w:tc>
                <w:tcPr>
                  <w:tcW w:w="3444" w:type="pct"/>
                  <w:vAlign w:val="center"/>
                </w:tcPr>
                <w:p w14:paraId="5ABD33FB">
                  <w:pPr>
                    <w:pStyle w:val="87"/>
                    <w:rPr>
                      <w:rFonts w:hint="eastAsia" w:hAnsi="宋体" w:cs="宋体"/>
                    </w:rPr>
                  </w:pPr>
                  <w:r>
                    <w:rPr>
                      <w:rFonts w:hint="eastAsia" w:hAnsi="宋体" w:cs="宋体"/>
                    </w:rPr>
                    <w:t>“泥浆不落地”装置区配套建设2座泥浆备用罐，单个容积60m</w:t>
                  </w:r>
                  <w:r>
                    <w:rPr>
                      <w:rFonts w:hint="eastAsia" w:hAnsi="宋体" w:cs="宋体"/>
                      <w:vertAlign w:val="superscript"/>
                    </w:rPr>
                    <w:t>3</w:t>
                  </w:r>
                  <w:r>
                    <w:rPr>
                      <w:rFonts w:hint="eastAsia" w:hAnsi="宋体" w:cs="宋体"/>
                    </w:rPr>
                    <w:t>，临时存放钻井泥浆及岩屑</w:t>
                  </w:r>
                </w:p>
              </w:tc>
            </w:tr>
            <w:tr w14:paraId="6366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7796B770">
                  <w:pPr>
                    <w:pStyle w:val="87"/>
                    <w:rPr>
                      <w:rFonts w:hint="eastAsia" w:hAnsi="宋体" w:cs="宋体"/>
                      <w:snapToGrid w:val="0"/>
                    </w:rPr>
                  </w:pPr>
                </w:p>
              </w:tc>
              <w:tc>
                <w:tcPr>
                  <w:tcW w:w="1150" w:type="pct"/>
                  <w:gridSpan w:val="2"/>
                  <w:vAlign w:val="center"/>
                </w:tcPr>
                <w:p w14:paraId="6C08471C">
                  <w:pPr>
                    <w:pStyle w:val="87"/>
                    <w:rPr>
                      <w:rFonts w:hint="eastAsia" w:hAnsi="宋体" w:cs="宋体"/>
                    </w:rPr>
                  </w:pPr>
                  <w:r>
                    <w:rPr>
                      <w:rFonts w:hint="eastAsia" w:hAnsi="宋体" w:cs="宋体"/>
                    </w:rPr>
                    <w:t>废液储罐</w:t>
                  </w:r>
                </w:p>
              </w:tc>
              <w:tc>
                <w:tcPr>
                  <w:tcW w:w="3444" w:type="pct"/>
                  <w:vAlign w:val="center"/>
                </w:tcPr>
                <w:p w14:paraId="149CEE17">
                  <w:pPr>
                    <w:pStyle w:val="87"/>
                    <w:rPr>
                      <w:rFonts w:hint="eastAsia" w:hAnsi="宋体" w:cs="宋体"/>
                    </w:rPr>
                  </w:pPr>
                  <w:r>
                    <w:rPr>
                      <w:rFonts w:hint="eastAsia" w:hAnsi="宋体" w:cs="宋体"/>
                    </w:rPr>
                    <w:t>设置4座废液储罐，3用1备，单个容积40m</w:t>
                  </w:r>
                  <w:r>
                    <w:rPr>
                      <w:rFonts w:hint="eastAsia" w:hAnsi="宋体" w:cs="宋体"/>
                      <w:vertAlign w:val="superscript"/>
                    </w:rPr>
                    <w:t>3</w:t>
                  </w:r>
                  <w:r>
                    <w:rPr>
                      <w:rFonts w:hint="eastAsia" w:hAnsi="宋体" w:cs="宋体"/>
                    </w:rPr>
                    <w:t>，用于暂存废液</w:t>
                  </w:r>
                </w:p>
              </w:tc>
            </w:tr>
            <w:tr w14:paraId="292B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76ADDB6C">
                  <w:pPr>
                    <w:pStyle w:val="87"/>
                    <w:rPr>
                      <w:rFonts w:hint="eastAsia" w:hAnsi="宋体" w:cs="宋体"/>
                      <w:snapToGrid w:val="0"/>
                    </w:rPr>
                  </w:pPr>
                </w:p>
              </w:tc>
              <w:tc>
                <w:tcPr>
                  <w:tcW w:w="1150" w:type="pct"/>
                  <w:gridSpan w:val="2"/>
                  <w:vAlign w:val="center"/>
                </w:tcPr>
                <w:p w14:paraId="06C7AF01">
                  <w:pPr>
                    <w:pStyle w:val="87"/>
                    <w:rPr>
                      <w:rFonts w:hint="eastAsia" w:hAnsi="宋体" w:cs="宋体"/>
                    </w:rPr>
                  </w:pPr>
                  <w:r>
                    <w:rPr>
                      <w:rFonts w:hint="eastAsia" w:hAnsi="宋体" w:cs="宋体"/>
                    </w:rPr>
                    <w:t>生活储罐</w:t>
                  </w:r>
                </w:p>
              </w:tc>
              <w:tc>
                <w:tcPr>
                  <w:tcW w:w="3444" w:type="pct"/>
                  <w:vAlign w:val="center"/>
                </w:tcPr>
                <w:p w14:paraId="35917B14">
                  <w:pPr>
                    <w:pStyle w:val="87"/>
                    <w:rPr>
                      <w:rFonts w:hint="eastAsia" w:hAnsi="宋体" w:cs="宋体"/>
                    </w:rPr>
                  </w:pPr>
                  <w:r>
                    <w:rPr>
                      <w:rFonts w:hint="eastAsia" w:hAnsi="宋体" w:cs="宋体"/>
                    </w:rPr>
                    <w:t>设置4～5个30m</w:t>
                  </w:r>
                  <w:r>
                    <w:rPr>
                      <w:rFonts w:hint="eastAsia" w:hAnsi="宋体" w:cs="宋体"/>
                      <w:vertAlign w:val="superscript"/>
                    </w:rPr>
                    <w:t>3</w:t>
                  </w:r>
                  <w:r>
                    <w:rPr>
                      <w:rFonts w:hint="eastAsia" w:hAnsi="宋体" w:cs="宋体"/>
                    </w:rPr>
                    <w:t>不锈钢水罐</w:t>
                  </w:r>
                </w:p>
              </w:tc>
            </w:tr>
            <w:tr w14:paraId="4C01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restart"/>
                  <w:vAlign w:val="center"/>
                </w:tcPr>
                <w:p w14:paraId="020953EA">
                  <w:pPr>
                    <w:pStyle w:val="87"/>
                    <w:rPr>
                      <w:rFonts w:hint="eastAsia" w:hAnsi="宋体" w:cs="宋体"/>
                      <w:snapToGrid w:val="0"/>
                    </w:rPr>
                  </w:pPr>
                  <w:r>
                    <w:rPr>
                      <w:rFonts w:hint="eastAsia" w:hAnsi="宋体" w:cs="宋体"/>
                      <w:snapToGrid w:val="0"/>
                    </w:rPr>
                    <w:t>环保工程</w:t>
                  </w:r>
                </w:p>
              </w:tc>
              <w:tc>
                <w:tcPr>
                  <w:tcW w:w="417" w:type="pct"/>
                  <w:vMerge w:val="restart"/>
                  <w:vAlign w:val="center"/>
                </w:tcPr>
                <w:p w14:paraId="3AE4DA53">
                  <w:pPr>
                    <w:pStyle w:val="87"/>
                    <w:rPr>
                      <w:rFonts w:hint="eastAsia" w:hAnsi="宋体" w:cs="宋体"/>
                      <w:snapToGrid w:val="0"/>
                    </w:rPr>
                  </w:pPr>
                  <w:r>
                    <w:rPr>
                      <w:rFonts w:hint="eastAsia" w:hAnsi="宋体" w:cs="宋体"/>
                      <w:snapToGrid w:val="0"/>
                    </w:rPr>
                    <w:t>废气</w:t>
                  </w:r>
                </w:p>
              </w:tc>
              <w:tc>
                <w:tcPr>
                  <w:tcW w:w="732" w:type="pct"/>
                  <w:vAlign w:val="center"/>
                </w:tcPr>
                <w:p w14:paraId="78988355">
                  <w:pPr>
                    <w:pStyle w:val="87"/>
                    <w:rPr>
                      <w:rFonts w:hint="eastAsia" w:hAnsi="宋体" w:cs="宋体"/>
                      <w:snapToGrid w:val="0"/>
                    </w:rPr>
                  </w:pPr>
                  <w:r>
                    <w:rPr>
                      <w:rFonts w:hint="eastAsia" w:hAnsi="宋体" w:cs="宋体"/>
                    </w:rPr>
                    <w:t>施工扬尘</w:t>
                  </w:r>
                </w:p>
              </w:tc>
              <w:tc>
                <w:tcPr>
                  <w:tcW w:w="3444" w:type="pct"/>
                  <w:vAlign w:val="center"/>
                </w:tcPr>
                <w:p w14:paraId="0DF35B47">
                  <w:pPr>
                    <w:pStyle w:val="87"/>
                    <w:rPr>
                      <w:rFonts w:hint="eastAsia" w:hAnsi="宋体" w:cs="宋体"/>
                      <w:snapToGrid w:val="0"/>
                    </w:rPr>
                  </w:pPr>
                  <w:r>
                    <w:rPr>
                      <w:rFonts w:hint="eastAsia" w:hAnsi="宋体" w:cs="宋体"/>
                      <w:snapToGrid w:val="0"/>
                    </w:rPr>
                    <w:t>采取洒水、围挡措施；物料集中堆放采取遮盖</w:t>
                  </w:r>
                </w:p>
              </w:tc>
            </w:tr>
            <w:tr w14:paraId="0645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6E0AA7BC">
                  <w:pPr>
                    <w:pStyle w:val="87"/>
                    <w:rPr>
                      <w:rFonts w:hint="eastAsia" w:hAnsi="宋体" w:cs="宋体"/>
                      <w:snapToGrid w:val="0"/>
                    </w:rPr>
                  </w:pPr>
                </w:p>
              </w:tc>
              <w:tc>
                <w:tcPr>
                  <w:tcW w:w="417" w:type="pct"/>
                  <w:vMerge w:val="continue"/>
                  <w:vAlign w:val="center"/>
                </w:tcPr>
                <w:p w14:paraId="29D1C55E">
                  <w:pPr>
                    <w:pStyle w:val="87"/>
                    <w:rPr>
                      <w:rFonts w:hint="eastAsia" w:hAnsi="宋体" w:cs="宋体"/>
                      <w:snapToGrid w:val="0"/>
                    </w:rPr>
                  </w:pPr>
                </w:p>
              </w:tc>
              <w:tc>
                <w:tcPr>
                  <w:tcW w:w="732" w:type="pct"/>
                  <w:vAlign w:val="center"/>
                </w:tcPr>
                <w:p w14:paraId="6F8D7A8B">
                  <w:pPr>
                    <w:pStyle w:val="87"/>
                    <w:rPr>
                      <w:rFonts w:hint="eastAsia" w:hAnsi="宋体" w:cs="宋体"/>
                      <w:snapToGrid w:val="0"/>
                    </w:rPr>
                  </w:pPr>
                  <w:r>
                    <w:rPr>
                      <w:rFonts w:hint="eastAsia" w:hAnsi="宋体" w:cs="宋体"/>
                      <w:bCs/>
                    </w:rPr>
                    <w:t>钻井柴油机尾气</w:t>
                  </w:r>
                </w:p>
              </w:tc>
              <w:tc>
                <w:tcPr>
                  <w:tcW w:w="3444" w:type="pct"/>
                  <w:vAlign w:val="center"/>
                </w:tcPr>
                <w:p w14:paraId="21A306B5">
                  <w:pPr>
                    <w:pStyle w:val="87"/>
                    <w:rPr>
                      <w:rFonts w:hint="eastAsia" w:hAnsi="宋体" w:cs="宋体"/>
                      <w:snapToGrid w:val="0"/>
                    </w:rPr>
                  </w:pPr>
                  <w:bookmarkStart w:id="22" w:name="OLE_LINK26"/>
                  <w:r>
                    <w:rPr>
                      <w:rFonts w:hint="eastAsia" w:hAnsi="宋体" w:cs="宋体"/>
                    </w:rPr>
                    <w:t>使用品质合格的燃油</w:t>
                  </w:r>
                  <w:bookmarkEnd w:id="22"/>
                </w:p>
              </w:tc>
            </w:tr>
            <w:tr w14:paraId="7795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219A771B">
                  <w:pPr>
                    <w:pStyle w:val="87"/>
                    <w:rPr>
                      <w:rFonts w:hint="eastAsia" w:hAnsi="宋体" w:cs="宋体"/>
                      <w:snapToGrid w:val="0"/>
                    </w:rPr>
                  </w:pPr>
                </w:p>
              </w:tc>
              <w:tc>
                <w:tcPr>
                  <w:tcW w:w="417" w:type="pct"/>
                  <w:vMerge w:val="continue"/>
                  <w:vAlign w:val="center"/>
                </w:tcPr>
                <w:p w14:paraId="3DD80E84">
                  <w:pPr>
                    <w:pStyle w:val="87"/>
                    <w:rPr>
                      <w:rFonts w:hint="eastAsia" w:hAnsi="宋体" w:cs="宋体"/>
                      <w:snapToGrid w:val="0"/>
                    </w:rPr>
                  </w:pPr>
                </w:p>
              </w:tc>
              <w:tc>
                <w:tcPr>
                  <w:tcW w:w="732" w:type="pct"/>
                  <w:vAlign w:val="center"/>
                </w:tcPr>
                <w:p w14:paraId="24B1B146">
                  <w:pPr>
                    <w:pStyle w:val="87"/>
                    <w:rPr>
                      <w:rFonts w:hint="eastAsia" w:hAnsi="宋体" w:cs="宋体"/>
                      <w:snapToGrid w:val="0"/>
                    </w:rPr>
                  </w:pPr>
                  <w:r>
                    <w:rPr>
                      <w:rFonts w:hint="eastAsia" w:hAnsi="宋体" w:cs="宋体"/>
                      <w:bCs/>
                    </w:rPr>
                    <w:t>施工机械尾气</w:t>
                  </w:r>
                </w:p>
              </w:tc>
              <w:tc>
                <w:tcPr>
                  <w:tcW w:w="3444" w:type="pct"/>
                  <w:vAlign w:val="center"/>
                </w:tcPr>
                <w:p w14:paraId="4FEAA3AB">
                  <w:pPr>
                    <w:pStyle w:val="87"/>
                    <w:rPr>
                      <w:rFonts w:hint="eastAsia" w:hAnsi="宋体" w:cs="宋体"/>
                      <w:snapToGrid w:val="0"/>
                    </w:rPr>
                  </w:pPr>
                  <w:r>
                    <w:rPr>
                      <w:rFonts w:hint="eastAsia" w:hAnsi="宋体" w:cs="宋体"/>
                    </w:rPr>
                    <w:t>加强车辆管理和维护</w:t>
                  </w:r>
                </w:p>
              </w:tc>
            </w:tr>
            <w:tr w14:paraId="1DB4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469E28ED">
                  <w:pPr>
                    <w:pStyle w:val="87"/>
                    <w:rPr>
                      <w:rFonts w:hint="eastAsia" w:hAnsi="宋体" w:cs="宋体"/>
                      <w:snapToGrid w:val="0"/>
                    </w:rPr>
                  </w:pPr>
                </w:p>
              </w:tc>
              <w:tc>
                <w:tcPr>
                  <w:tcW w:w="417" w:type="pct"/>
                  <w:vMerge w:val="continue"/>
                  <w:vAlign w:val="center"/>
                </w:tcPr>
                <w:p w14:paraId="3C94D767">
                  <w:pPr>
                    <w:pStyle w:val="87"/>
                    <w:rPr>
                      <w:rFonts w:hint="eastAsia" w:hAnsi="宋体" w:cs="宋体"/>
                      <w:snapToGrid w:val="0"/>
                    </w:rPr>
                  </w:pPr>
                </w:p>
              </w:tc>
              <w:tc>
                <w:tcPr>
                  <w:tcW w:w="732" w:type="pct"/>
                  <w:vAlign w:val="center"/>
                </w:tcPr>
                <w:p w14:paraId="351852F3">
                  <w:pPr>
                    <w:pStyle w:val="87"/>
                    <w:rPr>
                      <w:rFonts w:hint="eastAsia" w:hAnsi="宋体" w:cs="宋体"/>
                      <w:snapToGrid w:val="0"/>
                    </w:rPr>
                  </w:pPr>
                  <w:r>
                    <w:rPr>
                      <w:rFonts w:hint="eastAsia" w:hAnsi="宋体" w:cs="宋体"/>
                      <w:snapToGrid w:val="0"/>
                    </w:rPr>
                    <w:t>伴生气燃放废气</w:t>
                  </w:r>
                </w:p>
              </w:tc>
              <w:tc>
                <w:tcPr>
                  <w:tcW w:w="3444" w:type="pct"/>
                  <w:vAlign w:val="center"/>
                </w:tcPr>
                <w:p w14:paraId="01330787">
                  <w:pPr>
                    <w:pStyle w:val="87"/>
                    <w:rPr>
                      <w:rFonts w:hint="eastAsia" w:hAnsi="宋体" w:cs="宋体"/>
                      <w:snapToGrid w:val="0"/>
                    </w:rPr>
                  </w:pPr>
                  <w:r>
                    <w:rPr>
                      <w:rFonts w:hint="eastAsia" w:hAnsi="宋体" w:cs="宋体"/>
                      <w:snapToGrid w:val="0"/>
                    </w:rPr>
                    <w:t>井场外新建放喷池2个，伴生气经过液气分离后通过放喷池点火排放，属于阶段性排放</w:t>
                  </w:r>
                </w:p>
              </w:tc>
            </w:tr>
            <w:tr w14:paraId="6DFD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2E84620D">
                  <w:pPr>
                    <w:pStyle w:val="87"/>
                    <w:rPr>
                      <w:rFonts w:hint="eastAsia" w:hAnsi="宋体" w:cs="宋体"/>
                      <w:snapToGrid w:val="0"/>
                    </w:rPr>
                  </w:pPr>
                </w:p>
              </w:tc>
              <w:tc>
                <w:tcPr>
                  <w:tcW w:w="417" w:type="pct"/>
                  <w:vMerge w:val="continue"/>
                  <w:vAlign w:val="center"/>
                </w:tcPr>
                <w:p w14:paraId="27B26BD9">
                  <w:pPr>
                    <w:pStyle w:val="87"/>
                    <w:rPr>
                      <w:rFonts w:hint="eastAsia" w:hAnsi="宋体" w:cs="宋体"/>
                      <w:snapToGrid w:val="0"/>
                    </w:rPr>
                  </w:pPr>
                </w:p>
              </w:tc>
              <w:tc>
                <w:tcPr>
                  <w:tcW w:w="732" w:type="pct"/>
                  <w:vAlign w:val="center"/>
                </w:tcPr>
                <w:p w14:paraId="02E01ADF">
                  <w:pPr>
                    <w:pStyle w:val="87"/>
                    <w:rPr>
                      <w:rFonts w:hint="eastAsia" w:hAnsi="宋体" w:cs="宋体"/>
                      <w:snapToGrid w:val="0"/>
                    </w:rPr>
                  </w:pPr>
                  <w:r>
                    <w:rPr>
                      <w:rFonts w:hint="eastAsia" w:hAnsi="宋体"/>
                      <w:snapToGrid w:val="0"/>
                    </w:rPr>
                    <w:t>锅炉废气</w:t>
                  </w:r>
                </w:p>
              </w:tc>
              <w:tc>
                <w:tcPr>
                  <w:tcW w:w="3444" w:type="pct"/>
                  <w:vAlign w:val="center"/>
                </w:tcPr>
                <w:p w14:paraId="6A738D3A">
                  <w:pPr>
                    <w:pStyle w:val="87"/>
                    <w:rPr>
                      <w:rFonts w:hint="eastAsia" w:hAnsi="宋体" w:cs="宋体"/>
                      <w:snapToGrid w:val="0"/>
                    </w:rPr>
                  </w:pPr>
                  <w:r>
                    <w:rPr>
                      <w:rFonts w:hint="eastAsia" w:hAnsi="宋体"/>
                      <w:snapToGrid w:val="0"/>
                    </w:rPr>
                    <w:t>施工期冬防锅炉采用生物质为原料，锅炉配套低氮燃烧器，废气经炉内S</w:t>
                  </w:r>
                  <w:r>
                    <w:rPr>
                      <w:rFonts w:hAnsi="宋体"/>
                      <w:snapToGrid w:val="0"/>
                    </w:rPr>
                    <w:t>NCR</w:t>
                  </w:r>
                  <w:r>
                    <w:rPr>
                      <w:rFonts w:hint="eastAsia" w:hAnsi="宋体"/>
                      <w:snapToGrid w:val="0"/>
                    </w:rPr>
                    <w:t>脱硝+袋式除尘+脱硫塔脱硫处理后由1根</w:t>
                  </w:r>
                  <w:r>
                    <w:rPr>
                      <w:rFonts w:hAnsi="宋体"/>
                      <w:snapToGrid w:val="0"/>
                    </w:rPr>
                    <w:t>15m</w:t>
                  </w:r>
                  <w:r>
                    <w:rPr>
                      <w:rFonts w:hint="eastAsia" w:hAnsi="宋体"/>
                      <w:snapToGrid w:val="0"/>
                    </w:rPr>
                    <w:t>高，内径0</w:t>
                  </w:r>
                  <w:r>
                    <w:rPr>
                      <w:rFonts w:hAnsi="宋体"/>
                      <w:snapToGrid w:val="0"/>
                    </w:rPr>
                    <w:t>.27m</w:t>
                  </w:r>
                  <w:r>
                    <w:rPr>
                      <w:rFonts w:hint="eastAsia" w:hAnsi="宋体"/>
                      <w:snapToGrid w:val="0"/>
                    </w:rPr>
                    <w:t>排气筒排放</w:t>
                  </w:r>
                </w:p>
              </w:tc>
            </w:tr>
            <w:tr w14:paraId="28FD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3D8960BE">
                  <w:pPr>
                    <w:pStyle w:val="87"/>
                    <w:rPr>
                      <w:rFonts w:hint="eastAsia" w:hAnsi="宋体" w:cs="宋体"/>
                      <w:snapToGrid w:val="0"/>
                    </w:rPr>
                  </w:pPr>
                </w:p>
              </w:tc>
              <w:tc>
                <w:tcPr>
                  <w:tcW w:w="417" w:type="pct"/>
                  <w:vMerge w:val="restart"/>
                  <w:vAlign w:val="center"/>
                </w:tcPr>
                <w:p w14:paraId="5A511D95">
                  <w:pPr>
                    <w:pStyle w:val="87"/>
                    <w:rPr>
                      <w:rFonts w:hint="eastAsia" w:hAnsi="宋体" w:cs="宋体"/>
                      <w:snapToGrid w:val="0"/>
                    </w:rPr>
                  </w:pPr>
                  <w:r>
                    <w:rPr>
                      <w:rFonts w:hint="eastAsia" w:hAnsi="宋体" w:cs="宋体"/>
                      <w:snapToGrid w:val="0"/>
                    </w:rPr>
                    <w:t>废水</w:t>
                  </w:r>
                </w:p>
              </w:tc>
              <w:tc>
                <w:tcPr>
                  <w:tcW w:w="732" w:type="pct"/>
                  <w:vAlign w:val="center"/>
                </w:tcPr>
                <w:p w14:paraId="74E8BEAF">
                  <w:pPr>
                    <w:pStyle w:val="87"/>
                    <w:rPr>
                      <w:rFonts w:hint="eastAsia" w:hAnsi="宋体" w:cs="宋体"/>
                      <w:snapToGrid w:val="0"/>
                    </w:rPr>
                  </w:pPr>
                  <w:r>
                    <w:rPr>
                      <w:rFonts w:hint="eastAsia" w:hAnsi="宋体" w:cs="宋体"/>
                    </w:rPr>
                    <w:t>井下作业废液、压裂返排液</w:t>
                  </w:r>
                </w:p>
              </w:tc>
              <w:tc>
                <w:tcPr>
                  <w:tcW w:w="3444" w:type="pct"/>
                  <w:vAlign w:val="center"/>
                </w:tcPr>
                <w:p w14:paraId="1FE82C73">
                  <w:pPr>
                    <w:pStyle w:val="87"/>
                    <w:rPr>
                      <w:rFonts w:hint="eastAsia" w:hAnsi="宋体" w:cs="宋体"/>
                      <w:snapToGrid w:val="0"/>
                    </w:rPr>
                  </w:pPr>
                  <w:r>
                    <w:rPr>
                      <w:rFonts w:hint="eastAsia" w:hAnsi="宋体" w:cs="宋体"/>
                    </w:rPr>
                    <w:t>井下作业废液、压裂返排液</w:t>
                  </w:r>
                  <w:r>
                    <w:rPr>
                      <w:rFonts w:hint="eastAsia" w:hAnsi="宋体" w:cs="宋体"/>
                      <w:snapToGrid w:val="0"/>
                    </w:rPr>
                    <w:t>定期拉运至春风一号联合站采出水处理系统处理，经处理达到</w:t>
                  </w:r>
                  <w:r>
                    <w:rPr>
                      <w:rFonts w:hint="eastAsia" w:hAnsi="宋体" w:cs="宋体"/>
                    </w:rPr>
                    <w:t>《碎屑岩油藏注水水质指标技术要求及分析方法》（SY/T 5329-2022）</w:t>
                  </w:r>
                  <w:r>
                    <w:rPr>
                      <w:rFonts w:hint="eastAsia" w:hAnsi="宋体" w:cs="宋体"/>
                      <w:snapToGrid w:val="0"/>
                    </w:rPr>
                    <w:t>对应储层空气渗透率下的水质主要控制指标后回注含油层用于产能开发，不外排</w:t>
                  </w:r>
                </w:p>
              </w:tc>
            </w:tr>
            <w:tr w14:paraId="7132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2FC9B333">
                  <w:pPr>
                    <w:pStyle w:val="87"/>
                    <w:rPr>
                      <w:rFonts w:hint="eastAsia" w:hAnsi="宋体" w:cs="宋体"/>
                      <w:snapToGrid w:val="0"/>
                    </w:rPr>
                  </w:pPr>
                </w:p>
              </w:tc>
              <w:tc>
                <w:tcPr>
                  <w:tcW w:w="417" w:type="pct"/>
                  <w:vMerge w:val="continue"/>
                  <w:vAlign w:val="center"/>
                </w:tcPr>
                <w:p w14:paraId="67EC8810">
                  <w:pPr>
                    <w:pStyle w:val="87"/>
                    <w:rPr>
                      <w:rFonts w:hint="eastAsia" w:hAnsi="宋体" w:cs="宋体"/>
                      <w:snapToGrid w:val="0"/>
                    </w:rPr>
                  </w:pPr>
                </w:p>
              </w:tc>
              <w:tc>
                <w:tcPr>
                  <w:tcW w:w="732" w:type="pct"/>
                  <w:vAlign w:val="center"/>
                </w:tcPr>
                <w:p w14:paraId="782CB429">
                  <w:pPr>
                    <w:pStyle w:val="87"/>
                    <w:rPr>
                      <w:rFonts w:hint="eastAsia" w:hAnsi="宋体" w:cs="宋体"/>
                    </w:rPr>
                  </w:pPr>
                  <w:r>
                    <w:rPr>
                      <w:rFonts w:hint="eastAsia" w:hAnsi="宋体"/>
                    </w:rPr>
                    <w:t>锅炉软水系统排水、锅炉排污水</w:t>
                  </w:r>
                </w:p>
              </w:tc>
              <w:tc>
                <w:tcPr>
                  <w:tcW w:w="3444" w:type="pct"/>
                  <w:vAlign w:val="center"/>
                </w:tcPr>
                <w:p w14:paraId="66088DBE">
                  <w:pPr>
                    <w:pStyle w:val="87"/>
                    <w:rPr>
                      <w:rFonts w:hint="eastAsia" w:hAnsi="宋体" w:cs="宋体"/>
                    </w:rPr>
                  </w:pPr>
                  <w:r>
                    <w:rPr>
                      <w:rFonts w:hint="eastAsia" w:hAnsi="宋体"/>
                      <w:snapToGrid w:val="0"/>
                    </w:rPr>
                    <w:t>经收集后回用于脱硫塔补水，不外排</w:t>
                  </w:r>
                </w:p>
              </w:tc>
            </w:tr>
            <w:tr w14:paraId="4F76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3B772B98">
                  <w:pPr>
                    <w:pStyle w:val="87"/>
                    <w:rPr>
                      <w:rFonts w:hint="eastAsia" w:hAnsi="宋体" w:cs="宋体"/>
                      <w:snapToGrid w:val="0"/>
                    </w:rPr>
                  </w:pPr>
                </w:p>
              </w:tc>
              <w:tc>
                <w:tcPr>
                  <w:tcW w:w="417" w:type="pct"/>
                  <w:vMerge w:val="continue"/>
                  <w:vAlign w:val="center"/>
                </w:tcPr>
                <w:p w14:paraId="65D0478C">
                  <w:pPr>
                    <w:pStyle w:val="87"/>
                    <w:rPr>
                      <w:rFonts w:hint="eastAsia" w:hAnsi="宋体" w:cs="宋体"/>
                      <w:snapToGrid w:val="0"/>
                    </w:rPr>
                  </w:pPr>
                </w:p>
              </w:tc>
              <w:tc>
                <w:tcPr>
                  <w:tcW w:w="732" w:type="pct"/>
                  <w:vAlign w:val="center"/>
                </w:tcPr>
                <w:p w14:paraId="0255C431">
                  <w:pPr>
                    <w:pStyle w:val="87"/>
                    <w:rPr>
                      <w:rFonts w:hint="eastAsia" w:hAnsi="宋体" w:cs="宋体"/>
                      <w:snapToGrid w:val="0"/>
                    </w:rPr>
                  </w:pPr>
                  <w:r>
                    <w:rPr>
                      <w:rFonts w:hint="eastAsia" w:hAnsi="宋体" w:cs="宋体"/>
                      <w:snapToGrid w:val="0"/>
                    </w:rPr>
                    <w:t>生活污水</w:t>
                  </w:r>
                </w:p>
              </w:tc>
              <w:tc>
                <w:tcPr>
                  <w:tcW w:w="3444" w:type="pct"/>
                  <w:vAlign w:val="center"/>
                </w:tcPr>
                <w:p w14:paraId="2F5448B8">
                  <w:pPr>
                    <w:pStyle w:val="87"/>
                    <w:rPr>
                      <w:rFonts w:hint="eastAsia" w:hAnsi="宋体" w:cs="宋体"/>
                      <w:snapToGrid w:val="0"/>
                    </w:rPr>
                  </w:pPr>
                  <w:r>
                    <w:rPr>
                      <w:rFonts w:hint="eastAsia" w:hAnsi="宋体" w:cs="宋体"/>
                    </w:rPr>
                    <w:t>井场设置环保厕所（有效纳污容积6m</w:t>
                  </w:r>
                  <w:r>
                    <w:rPr>
                      <w:rFonts w:hint="eastAsia" w:hAnsi="宋体" w:cs="宋体"/>
                      <w:vertAlign w:val="superscript"/>
                    </w:rPr>
                    <w:t>3</w:t>
                  </w:r>
                  <w:r>
                    <w:rPr>
                      <w:rFonts w:hint="eastAsia" w:hAnsi="宋体" w:cs="宋体"/>
                    </w:rPr>
                    <w:t>），用于接纳项目施工期生活污水，生活污水全部排至环保厕所，定期拉运至中石化新疆新春石油开发有限责任公司管理一区生活基地合理化处置</w:t>
                  </w:r>
                </w:p>
              </w:tc>
            </w:tr>
            <w:tr w14:paraId="3972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restart"/>
                  <w:vAlign w:val="center"/>
                </w:tcPr>
                <w:p w14:paraId="1152DBDA">
                  <w:pPr>
                    <w:pStyle w:val="87"/>
                    <w:rPr>
                      <w:rFonts w:hint="eastAsia" w:hAnsi="宋体" w:cs="宋体"/>
                      <w:snapToGrid w:val="0"/>
                    </w:rPr>
                  </w:pPr>
                  <w:r>
                    <w:rPr>
                      <w:rFonts w:hint="eastAsia" w:hAnsi="宋体" w:cs="宋体"/>
                      <w:snapToGrid w:val="0"/>
                    </w:rPr>
                    <w:t>环保工程</w:t>
                  </w:r>
                </w:p>
              </w:tc>
              <w:tc>
                <w:tcPr>
                  <w:tcW w:w="417" w:type="pct"/>
                  <w:vMerge w:val="restart"/>
                  <w:vAlign w:val="center"/>
                </w:tcPr>
                <w:p w14:paraId="32C8E1D5">
                  <w:pPr>
                    <w:pStyle w:val="87"/>
                    <w:rPr>
                      <w:rFonts w:hint="eastAsia" w:hAnsi="宋体" w:cs="宋体"/>
                    </w:rPr>
                  </w:pPr>
                  <w:r>
                    <w:rPr>
                      <w:rFonts w:hint="eastAsia" w:hAnsi="宋体" w:cs="宋体"/>
                    </w:rPr>
                    <w:t>固体废物</w:t>
                  </w:r>
                </w:p>
              </w:tc>
              <w:tc>
                <w:tcPr>
                  <w:tcW w:w="732" w:type="pct"/>
                  <w:vAlign w:val="center"/>
                </w:tcPr>
                <w:p w14:paraId="5F8C8597">
                  <w:pPr>
                    <w:pStyle w:val="87"/>
                    <w:rPr>
                      <w:rFonts w:hint="eastAsia" w:hAnsi="宋体" w:cs="宋体"/>
                    </w:rPr>
                  </w:pPr>
                  <w:r>
                    <w:rPr>
                      <w:rFonts w:hint="eastAsia" w:hAnsi="宋体" w:cs="宋体"/>
                    </w:rPr>
                    <w:t>钻井固废处置</w:t>
                  </w:r>
                </w:p>
              </w:tc>
              <w:tc>
                <w:tcPr>
                  <w:tcW w:w="3444" w:type="pct"/>
                  <w:vAlign w:val="center"/>
                </w:tcPr>
                <w:p w14:paraId="2CEDCA33">
                  <w:pPr>
                    <w:pStyle w:val="87"/>
                    <w:rPr>
                      <w:rFonts w:hint="eastAsia" w:hAnsi="宋体" w:cs="宋体"/>
                    </w:rPr>
                  </w:pPr>
                  <w:r>
                    <w:rPr>
                      <w:rFonts w:hint="eastAsia" w:hAnsi="宋体" w:cs="宋体"/>
                    </w:rPr>
                    <w:t>钻井固废全部排至“泥浆不落地”设备，导管、一开和二开段钻井固废属于一般固体废物，交由专业单位无害化处置；处理后的钻井固废按照《油气田钻井固体废物综合利用污染控制要求》（DB65/T 3997-2017）的规范标准要求，可用于修路、铺垫井场</w:t>
                  </w:r>
                </w:p>
              </w:tc>
            </w:tr>
            <w:tr w14:paraId="55DA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02399FD3">
                  <w:pPr>
                    <w:pStyle w:val="87"/>
                    <w:rPr>
                      <w:rFonts w:hint="eastAsia" w:hAnsi="宋体" w:cs="宋体"/>
                      <w:snapToGrid w:val="0"/>
                    </w:rPr>
                  </w:pPr>
                </w:p>
              </w:tc>
              <w:tc>
                <w:tcPr>
                  <w:tcW w:w="417" w:type="pct"/>
                  <w:vMerge w:val="continue"/>
                  <w:vAlign w:val="center"/>
                </w:tcPr>
                <w:p w14:paraId="77B50205">
                  <w:pPr>
                    <w:pStyle w:val="87"/>
                    <w:rPr>
                      <w:rFonts w:hint="eastAsia" w:hAnsi="宋体" w:cs="宋体"/>
                    </w:rPr>
                  </w:pPr>
                </w:p>
              </w:tc>
              <w:tc>
                <w:tcPr>
                  <w:tcW w:w="732" w:type="pct"/>
                  <w:vAlign w:val="center"/>
                </w:tcPr>
                <w:p w14:paraId="761B65A3">
                  <w:pPr>
                    <w:pStyle w:val="87"/>
                    <w:rPr>
                      <w:rFonts w:hint="eastAsia" w:hAnsi="宋体" w:cs="宋体"/>
                    </w:rPr>
                  </w:pPr>
                  <w:r>
                    <w:rPr>
                      <w:rFonts w:hint="eastAsia" w:hAnsi="宋体" w:cs="宋体"/>
                    </w:rPr>
                    <w:t>废防渗材料</w:t>
                  </w:r>
                </w:p>
              </w:tc>
              <w:tc>
                <w:tcPr>
                  <w:tcW w:w="3444" w:type="pct"/>
                  <w:vAlign w:val="center"/>
                </w:tcPr>
                <w:p w14:paraId="14171DAC">
                  <w:pPr>
                    <w:pStyle w:val="87"/>
                    <w:rPr>
                      <w:rFonts w:hint="eastAsia" w:hAnsi="宋体" w:cs="宋体"/>
                    </w:rPr>
                  </w:pPr>
                  <w:r>
                    <w:rPr>
                      <w:rFonts w:hint="eastAsia" w:hAnsi="宋体" w:cs="宋体"/>
                      <w:kern w:val="0"/>
                    </w:rPr>
                    <w:t>重点防渗区铺设环保型HDPE防渗材料，废防渗材料循环利用，使用过程中如产生不可利用的废防渗材料，需委托有资质单位处置</w:t>
                  </w:r>
                </w:p>
              </w:tc>
            </w:tr>
            <w:tr w14:paraId="75F9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27882ADA">
                  <w:pPr>
                    <w:pStyle w:val="87"/>
                    <w:rPr>
                      <w:rFonts w:hint="eastAsia" w:hAnsi="宋体" w:cs="宋体"/>
                      <w:snapToGrid w:val="0"/>
                    </w:rPr>
                  </w:pPr>
                </w:p>
              </w:tc>
              <w:tc>
                <w:tcPr>
                  <w:tcW w:w="417" w:type="pct"/>
                  <w:vMerge w:val="continue"/>
                  <w:vAlign w:val="center"/>
                </w:tcPr>
                <w:p w14:paraId="2DE0B38E">
                  <w:pPr>
                    <w:pStyle w:val="87"/>
                    <w:rPr>
                      <w:rFonts w:hint="eastAsia" w:hAnsi="宋体" w:cs="宋体"/>
                    </w:rPr>
                  </w:pPr>
                </w:p>
              </w:tc>
              <w:tc>
                <w:tcPr>
                  <w:tcW w:w="1154" w:type="dxa"/>
                  <w:vAlign w:val="center"/>
                </w:tcPr>
                <w:p w14:paraId="20551791">
                  <w:pPr>
                    <w:pStyle w:val="87"/>
                    <w:rPr>
                      <w:rFonts w:hint="eastAsia" w:hAnsi="宋体" w:cs="宋体"/>
                    </w:rPr>
                  </w:pPr>
                  <w:r>
                    <w:rPr>
                      <w:rFonts w:hint="eastAsia" w:hAnsi="宋体"/>
                    </w:rPr>
                    <w:t>废润滑油、废润滑油桶、</w:t>
                  </w:r>
                  <w:r>
                    <w:rPr>
                      <w:rFonts w:hAnsi="宋体"/>
                    </w:rPr>
                    <w:t>废弃的含油抹布、劳保用品</w:t>
                  </w:r>
                </w:p>
              </w:tc>
              <w:tc>
                <w:tcPr>
                  <w:tcW w:w="5424" w:type="dxa"/>
                  <w:vAlign w:val="center"/>
                </w:tcPr>
                <w:p w14:paraId="7B75EC5D">
                  <w:pPr>
                    <w:pStyle w:val="87"/>
                    <w:rPr>
                      <w:rFonts w:hint="eastAsia" w:hAnsi="宋体" w:cs="宋体"/>
                      <w:kern w:val="0"/>
                    </w:rPr>
                  </w:pPr>
                  <w:r>
                    <w:rPr>
                      <w:rFonts w:hint="eastAsia" w:hAnsi="宋体"/>
                    </w:rPr>
                    <w:t>废润滑油、废润滑油桶、</w:t>
                  </w:r>
                  <w:r>
                    <w:rPr>
                      <w:rFonts w:hAnsi="宋体"/>
                    </w:rPr>
                    <w:t>废弃的含油抹布、劳保用品</w:t>
                  </w:r>
                  <w:r>
                    <w:rPr>
                      <w:rFonts w:hint="eastAsia" w:hAnsi="宋体"/>
                    </w:rPr>
                    <w:t>暂存危废间，</w:t>
                  </w:r>
                  <w:r>
                    <w:rPr>
                      <w:rStyle w:val="37"/>
                      <w:rFonts w:hint="eastAsia" w:hAnsi="宋体"/>
                    </w:rPr>
                    <w:t>委托有危废处理资质的单位处理</w:t>
                  </w:r>
                </w:p>
              </w:tc>
            </w:tr>
            <w:tr w14:paraId="7E71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0730B01C">
                  <w:pPr>
                    <w:pStyle w:val="87"/>
                    <w:rPr>
                      <w:rFonts w:hint="eastAsia" w:hAnsi="宋体" w:cs="宋体"/>
                      <w:snapToGrid w:val="0"/>
                    </w:rPr>
                  </w:pPr>
                </w:p>
              </w:tc>
              <w:tc>
                <w:tcPr>
                  <w:tcW w:w="417" w:type="pct"/>
                  <w:vMerge w:val="continue"/>
                  <w:vAlign w:val="center"/>
                </w:tcPr>
                <w:p w14:paraId="71E0E0BC">
                  <w:pPr>
                    <w:pStyle w:val="87"/>
                    <w:rPr>
                      <w:rFonts w:hint="eastAsia" w:hAnsi="宋体" w:cs="宋体"/>
                    </w:rPr>
                  </w:pPr>
                </w:p>
              </w:tc>
              <w:tc>
                <w:tcPr>
                  <w:tcW w:w="732" w:type="pct"/>
                  <w:vAlign w:val="center"/>
                </w:tcPr>
                <w:p w14:paraId="5B1A7FD6">
                  <w:pPr>
                    <w:pStyle w:val="87"/>
                    <w:rPr>
                      <w:rFonts w:hint="eastAsia" w:hAnsi="宋体" w:cs="宋体"/>
                    </w:rPr>
                  </w:pPr>
                  <w:r>
                    <w:rPr>
                      <w:rFonts w:hint="eastAsia" w:hAnsi="宋体" w:cs="宋体"/>
                    </w:rPr>
                    <w:t>废弃包装物</w:t>
                  </w:r>
                </w:p>
              </w:tc>
              <w:tc>
                <w:tcPr>
                  <w:tcW w:w="3444" w:type="pct"/>
                  <w:vAlign w:val="center"/>
                </w:tcPr>
                <w:p w14:paraId="22A7122E">
                  <w:pPr>
                    <w:pStyle w:val="87"/>
                    <w:rPr>
                      <w:rFonts w:hint="eastAsia" w:hAnsi="宋体" w:cs="宋体"/>
                    </w:rPr>
                  </w:pPr>
                  <w:r>
                    <w:rPr>
                      <w:rFonts w:hint="eastAsia" w:hAnsi="宋体"/>
                    </w:rPr>
                    <w:t>属于危险废物的交由有资质的危废处置单位进行处理，属于一般固废的由供货厂家回收利用</w:t>
                  </w:r>
                </w:p>
              </w:tc>
            </w:tr>
            <w:tr w14:paraId="3095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5821DB9D">
                  <w:pPr>
                    <w:pStyle w:val="87"/>
                    <w:rPr>
                      <w:rFonts w:hint="eastAsia" w:hAnsi="宋体" w:cs="宋体"/>
                      <w:snapToGrid w:val="0"/>
                    </w:rPr>
                  </w:pPr>
                </w:p>
              </w:tc>
              <w:tc>
                <w:tcPr>
                  <w:tcW w:w="417" w:type="pct"/>
                  <w:vMerge w:val="continue"/>
                  <w:vAlign w:val="center"/>
                </w:tcPr>
                <w:p w14:paraId="25F2F652">
                  <w:pPr>
                    <w:pStyle w:val="87"/>
                    <w:rPr>
                      <w:rFonts w:hint="eastAsia" w:hAnsi="宋体" w:cs="宋体"/>
                      <w:snapToGrid w:val="0"/>
                    </w:rPr>
                  </w:pPr>
                </w:p>
              </w:tc>
              <w:tc>
                <w:tcPr>
                  <w:tcW w:w="732" w:type="pct"/>
                  <w:vAlign w:val="center"/>
                </w:tcPr>
                <w:p w14:paraId="74E06AEC">
                  <w:pPr>
                    <w:pStyle w:val="87"/>
                    <w:rPr>
                      <w:rFonts w:hint="eastAsia" w:hAnsi="宋体" w:cs="宋体"/>
                      <w:snapToGrid w:val="0"/>
                    </w:rPr>
                  </w:pPr>
                  <w:r>
                    <w:rPr>
                      <w:rFonts w:hint="eastAsia" w:hAnsi="宋体"/>
                    </w:rPr>
                    <w:t>锅炉炉渣</w:t>
                  </w:r>
                </w:p>
              </w:tc>
              <w:tc>
                <w:tcPr>
                  <w:tcW w:w="3444" w:type="pct"/>
                  <w:vAlign w:val="center"/>
                </w:tcPr>
                <w:p w14:paraId="6072D658">
                  <w:pPr>
                    <w:pStyle w:val="87"/>
                    <w:rPr>
                      <w:rFonts w:hint="eastAsia" w:hAnsi="宋体" w:cs="宋体"/>
                      <w:snapToGrid w:val="0"/>
                    </w:rPr>
                  </w:pPr>
                  <w:r>
                    <w:rPr>
                      <w:rFonts w:hint="eastAsia" w:hAnsi="宋体"/>
                    </w:rPr>
                    <w:t>经收集后临时贮存在设置再井场的一般固废暂存间，定期外售给有相关需求的厂家</w:t>
                  </w:r>
                </w:p>
              </w:tc>
            </w:tr>
            <w:tr w14:paraId="44DB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00387E2E">
                  <w:pPr>
                    <w:pStyle w:val="87"/>
                    <w:rPr>
                      <w:rFonts w:hint="eastAsia" w:hAnsi="宋体" w:cs="宋体"/>
                      <w:snapToGrid w:val="0"/>
                    </w:rPr>
                  </w:pPr>
                </w:p>
              </w:tc>
              <w:tc>
                <w:tcPr>
                  <w:tcW w:w="417" w:type="pct"/>
                  <w:vMerge w:val="continue"/>
                  <w:vAlign w:val="center"/>
                </w:tcPr>
                <w:p w14:paraId="124D6B3A">
                  <w:pPr>
                    <w:pStyle w:val="87"/>
                    <w:rPr>
                      <w:rFonts w:hint="eastAsia" w:hAnsi="宋体" w:cs="宋体"/>
                      <w:snapToGrid w:val="0"/>
                    </w:rPr>
                  </w:pPr>
                </w:p>
              </w:tc>
              <w:tc>
                <w:tcPr>
                  <w:tcW w:w="732" w:type="pct"/>
                  <w:vAlign w:val="center"/>
                </w:tcPr>
                <w:p w14:paraId="3F17529C">
                  <w:pPr>
                    <w:pStyle w:val="87"/>
                    <w:rPr>
                      <w:rFonts w:hint="eastAsia" w:hAnsi="宋体" w:cs="宋体"/>
                    </w:rPr>
                  </w:pPr>
                  <w:r>
                    <w:rPr>
                      <w:rFonts w:hint="eastAsia" w:hAnsi="宋体"/>
                    </w:rPr>
                    <w:t>除尘器截获的粉尘</w:t>
                  </w:r>
                </w:p>
              </w:tc>
              <w:tc>
                <w:tcPr>
                  <w:tcW w:w="3444" w:type="pct"/>
                  <w:vAlign w:val="center"/>
                </w:tcPr>
                <w:p w14:paraId="7CC8F7E7">
                  <w:pPr>
                    <w:pStyle w:val="87"/>
                    <w:rPr>
                      <w:rFonts w:hint="eastAsia" w:hAnsi="宋体" w:cs="宋体"/>
                    </w:rPr>
                  </w:pPr>
                  <w:r>
                    <w:rPr>
                      <w:rFonts w:hint="eastAsia" w:hAnsi="宋体"/>
                    </w:rPr>
                    <w:t>经收集后临时贮存在设置再井场的一般固废暂存间，定期外售给有相关需求的厂家</w:t>
                  </w:r>
                </w:p>
              </w:tc>
            </w:tr>
            <w:tr w14:paraId="5F87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2AF46EAB">
                  <w:pPr>
                    <w:pStyle w:val="87"/>
                    <w:rPr>
                      <w:rFonts w:hint="eastAsia" w:hAnsi="宋体" w:cs="宋体"/>
                      <w:snapToGrid w:val="0"/>
                    </w:rPr>
                  </w:pPr>
                </w:p>
              </w:tc>
              <w:tc>
                <w:tcPr>
                  <w:tcW w:w="417" w:type="pct"/>
                  <w:vMerge w:val="continue"/>
                  <w:vAlign w:val="center"/>
                </w:tcPr>
                <w:p w14:paraId="7E466E62">
                  <w:pPr>
                    <w:pStyle w:val="87"/>
                    <w:rPr>
                      <w:rFonts w:hint="eastAsia" w:hAnsi="宋体" w:cs="宋体"/>
                      <w:snapToGrid w:val="0"/>
                    </w:rPr>
                  </w:pPr>
                </w:p>
              </w:tc>
              <w:tc>
                <w:tcPr>
                  <w:tcW w:w="732" w:type="pct"/>
                  <w:vAlign w:val="center"/>
                </w:tcPr>
                <w:p w14:paraId="6F05A4C1">
                  <w:pPr>
                    <w:pStyle w:val="87"/>
                    <w:rPr>
                      <w:rFonts w:hint="eastAsia" w:hAnsi="宋体" w:cs="宋体"/>
                    </w:rPr>
                  </w:pPr>
                  <w:r>
                    <w:rPr>
                      <w:rFonts w:hint="eastAsia" w:hAnsi="宋体"/>
                    </w:rPr>
                    <w:t>脱硫石膏</w:t>
                  </w:r>
                </w:p>
              </w:tc>
              <w:tc>
                <w:tcPr>
                  <w:tcW w:w="3444" w:type="pct"/>
                  <w:vAlign w:val="center"/>
                </w:tcPr>
                <w:p w14:paraId="468E6365">
                  <w:pPr>
                    <w:pStyle w:val="87"/>
                    <w:rPr>
                      <w:rFonts w:hint="eastAsia" w:hAnsi="宋体" w:cs="宋体"/>
                    </w:rPr>
                  </w:pPr>
                  <w:r>
                    <w:rPr>
                      <w:rFonts w:hint="eastAsia" w:hAnsi="宋体"/>
                    </w:rPr>
                    <w:t>经收集后临时贮存在设置再井场的一般固废暂存间，定期外售给有相关需求的厂家</w:t>
                  </w:r>
                </w:p>
              </w:tc>
            </w:tr>
            <w:tr w14:paraId="2F775155">
              <w:tblPrEx>
                <w:tblCellMar>
                  <w:top w:w="0" w:type="dxa"/>
                  <w:left w:w="108" w:type="dxa"/>
                  <w:bottom w:w="0" w:type="dxa"/>
                  <w:right w:w="108" w:type="dxa"/>
                </w:tblCellMar>
              </w:tblPrEx>
              <w:trPr>
                <w:trHeight w:val="340" w:hRule="atLeast"/>
              </w:trPr>
              <w:tc>
                <w:tcPr>
                  <w:tcW w:w="405" w:type="pct"/>
                  <w:vMerge w:val="continue"/>
                  <w:vAlign w:val="center"/>
                </w:tcPr>
                <w:p w14:paraId="7BB94F8B">
                  <w:pPr>
                    <w:pStyle w:val="87"/>
                    <w:rPr>
                      <w:rFonts w:hint="eastAsia" w:hAnsi="宋体" w:cs="宋体"/>
                      <w:snapToGrid w:val="0"/>
                    </w:rPr>
                  </w:pPr>
                </w:p>
              </w:tc>
              <w:tc>
                <w:tcPr>
                  <w:tcW w:w="417" w:type="pct"/>
                  <w:vMerge w:val="continue"/>
                  <w:vAlign w:val="center"/>
                </w:tcPr>
                <w:p w14:paraId="0F2D80CF">
                  <w:pPr>
                    <w:pStyle w:val="87"/>
                    <w:rPr>
                      <w:rFonts w:hint="eastAsia" w:hAnsi="宋体" w:cs="宋体"/>
                      <w:snapToGrid w:val="0"/>
                    </w:rPr>
                  </w:pPr>
                </w:p>
              </w:tc>
              <w:tc>
                <w:tcPr>
                  <w:tcW w:w="732" w:type="pct"/>
                  <w:vAlign w:val="center"/>
                </w:tcPr>
                <w:p w14:paraId="5FB33BAC">
                  <w:pPr>
                    <w:pStyle w:val="87"/>
                    <w:rPr>
                      <w:rFonts w:hint="eastAsia" w:hAnsi="宋体" w:cs="宋体"/>
                    </w:rPr>
                  </w:pPr>
                  <w:r>
                    <w:rPr>
                      <w:rFonts w:hint="eastAsia" w:hAnsi="宋体"/>
                    </w:rPr>
                    <w:t>生活垃圾</w:t>
                  </w:r>
                </w:p>
              </w:tc>
              <w:tc>
                <w:tcPr>
                  <w:tcW w:w="3444" w:type="pct"/>
                  <w:vAlign w:val="center"/>
                </w:tcPr>
                <w:p w14:paraId="7A051158">
                  <w:pPr>
                    <w:pStyle w:val="87"/>
                    <w:rPr>
                      <w:rFonts w:hint="eastAsia" w:hAnsi="宋体" w:cs="宋体"/>
                    </w:rPr>
                  </w:pPr>
                  <w:r>
                    <w:rPr>
                      <w:rFonts w:hAnsi="宋体"/>
                    </w:rPr>
                    <w:t>本项目设</w:t>
                  </w:r>
                  <w:r>
                    <w:rPr>
                      <w:rFonts w:hint="eastAsia" w:hAnsi="宋体"/>
                    </w:rPr>
                    <w:t>生活垃圾收集箱</w:t>
                  </w:r>
                  <w:r>
                    <w:rPr>
                      <w:rFonts w:hAnsi="宋体"/>
                    </w:rPr>
                    <w:t>，施工期职工生活</w:t>
                  </w:r>
                  <w:r>
                    <w:rPr>
                      <w:rFonts w:hint="eastAsia" w:hAnsi="宋体"/>
                    </w:rPr>
                    <w:t>垃圾</w:t>
                  </w:r>
                  <w:r>
                    <w:rPr>
                      <w:rFonts w:hint="eastAsia"/>
                      <w:snapToGrid w:val="0"/>
                    </w:rPr>
                    <w:t>交由环卫部门统一处理</w:t>
                  </w:r>
                </w:p>
              </w:tc>
            </w:tr>
            <w:tr w14:paraId="4EB5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0F78072B">
                  <w:pPr>
                    <w:pStyle w:val="87"/>
                    <w:rPr>
                      <w:rFonts w:hint="eastAsia" w:hAnsi="宋体" w:cs="宋体"/>
                      <w:snapToGrid w:val="0"/>
                    </w:rPr>
                  </w:pPr>
                </w:p>
              </w:tc>
              <w:tc>
                <w:tcPr>
                  <w:tcW w:w="417" w:type="pct"/>
                  <w:vMerge w:val="continue"/>
                  <w:vAlign w:val="center"/>
                </w:tcPr>
                <w:p w14:paraId="0AB7B592">
                  <w:pPr>
                    <w:pStyle w:val="87"/>
                    <w:rPr>
                      <w:rFonts w:hint="eastAsia" w:hAnsi="宋体" w:cs="宋体"/>
                      <w:snapToGrid w:val="0"/>
                    </w:rPr>
                  </w:pPr>
                </w:p>
              </w:tc>
              <w:tc>
                <w:tcPr>
                  <w:tcW w:w="732" w:type="pct"/>
                  <w:vAlign w:val="center"/>
                </w:tcPr>
                <w:p w14:paraId="44BD5750">
                  <w:pPr>
                    <w:pStyle w:val="87"/>
                    <w:rPr>
                      <w:rFonts w:hint="eastAsia" w:hAnsi="宋体" w:cs="宋体"/>
                    </w:rPr>
                  </w:pPr>
                  <w:r>
                    <w:rPr>
                      <w:rFonts w:hint="eastAsia" w:hAnsi="宋体"/>
                    </w:rPr>
                    <w:t>危废贮存点</w:t>
                  </w:r>
                </w:p>
              </w:tc>
              <w:tc>
                <w:tcPr>
                  <w:tcW w:w="3444" w:type="pct"/>
                  <w:vAlign w:val="center"/>
                </w:tcPr>
                <w:p w14:paraId="2ECB7786">
                  <w:pPr>
                    <w:pStyle w:val="87"/>
                    <w:rPr>
                      <w:rFonts w:hint="eastAsia" w:hAnsi="宋体" w:cs="宋体"/>
                    </w:rPr>
                  </w:pPr>
                  <w:r>
                    <w:rPr>
                      <w:rFonts w:hint="eastAsia" w:hAnsi="宋体"/>
                    </w:rPr>
                    <w:t>新建1座1</w:t>
                  </w:r>
                  <w:r>
                    <w:rPr>
                      <w:rFonts w:hAnsi="宋体"/>
                    </w:rPr>
                    <w:t>0m</w:t>
                  </w:r>
                  <w:r>
                    <w:rPr>
                      <w:rFonts w:hAnsi="宋体"/>
                      <w:vertAlign w:val="superscript"/>
                    </w:rPr>
                    <w:t>2</w:t>
                  </w:r>
                  <w:r>
                    <w:rPr>
                      <w:rFonts w:hint="eastAsia" w:hAnsi="宋体"/>
                    </w:rPr>
                    <w:t>危废暂存间，用于临时存放施工过程中产生的危险废物</w:t>
                  </w:r>
                </w:p>
              </w:tc>
            </w:tr>
            <w:tr w14:paraId="5A54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13A28C0C">
                  <w:pPr>
                    <w:pStyle w:val="87"/>
                    <w:rPr>
                      <w:rFonts w:hint="eastAsia" w:hAnsi="宋体" w:cs="宋体"/>
                      <w:snapToGrid w:val="0"/>
                    </w:rPr>
                  </w:pPr>
                </w:p>
              </w:tc>
              <w:tc>
                <w:tcPr>
                  <w:tcW w:w="417" w:type="pct"/>
                  <w:vMerge w:val="continue"/>
                  <w:vAlign w:val="center"/>
                </w:tcPr>
                <w:p w14:paraId="5DE36C51">
                  <w:pPr>
                    <w:pStyle w:val="87"/>
                    <w:rPr>
                      <w:rFonts w:hint="eastAsia" w:hAnsi="宋体" w:cs="宋体"/>
                      <w:snapToGrid w:val="0"/>
                    </w:rPr>
                  </w:pPr>
                </w:p>
              </w:tc>
              <w:tc>
                <w:tcPr>
                  <w:tcW w:w="732" w:type="pct"/>
                  <w:vAlign w:val="center"/>
                </w:tcPr>
                <w:p w14:paraId="78BF55F6">
                  <w:pPr>
                    <w:pStyle w:val="87"/>
                    <w:rPr>
                      <w:rFonts w:hint="eastAsia" w:hAnsi="宋体"/>
                    </w:rPr>
                  </w:pPr>
                  <w:r>
                    <w:rPr>
                      <w:rFonts w:hint="eastAsia" w:hAnsi="宋体"/>
                    </w:rPr>
                    <w:t>一般固废暂存间</w:t>
                  </w:r>
                </w:p>
              </w:tc>
              <w:tc>
                <w:tcPr>
                  <w:tcW w:w="3444" w:type="pct"/>
                  <w:vAlign w:val="center"/>
                </w:tcPr>
                <w:p w14:paraId="5F51A5D7">
                  <w:pPr>
                    <w:pStyle w:val="87"/>
                    <w:rPr>
                      <w:rFonts w:hint="eastAsia" w:hAnsi="宋体"/>
                    </w:rPr>
                  </w:pPr>
                  <w:r>
                    <w:rPr>
                      <w:rFonts w:hint="eastAsia" w:hAnsi="宋体"/>
                    </w:rPr>
                    <w:t>新建1座1</w:t>
                  </w:r>
                  <w:r>
                    <w:rPr>
                      <w:rFonts w:hAnsi="宋体"/>
                    </w:rPr>
                    <w:t>0m</w:t>
                  </w:r>
                  <w:r>
                    <w:rPr>
                      <w:rFonts w:hAnsi="宋体"/>
                      <w:vertAlign w:val="superscript"/>
                    </w:rPr>
                    <w:t>2</w:t>
                  </w:r>
                  <w:r>
                    <w:rPr>
                      <w:rFonts w:hint="eastAsia" w:hAnsi="宋体"/>
                    </w:rPr>
                    <w:t>一般固废暂存间，用于临时存放锅炉炉渣、袋式除尘器截获的粉尘和脱硫石膏</w:t>
                  </w:r>
                </w:p>
              </w:tc>
            </w:tr>
            <w:tr w14:paraId="5F25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68E15775">
                  <w:pPr>
                    <w:pStyle w:val="87"/>
                    <w:rPr>
                      <w:rFonts w:hint="eastAsia" w:hAnsi="宋体" w:cs="宋体"/>
                      <w:snapToGrid w:val="0"/>
                    </w:rPr>
                  </w:pPr>
                </w:p>
              </w:tc>
              <w:tc>
                <w:tcPr>
                  <w:tcW w:w="417" w:type="pct"/>
                  <w:vAlign w:val="center"/>
                </w:tcPr>
                <w:p w14:paraId="27E50B6E">
                  <w:pPr>
                    <w:pStyle w:val="87"/>
                    <w:rPr>
                      <w:rFonts w:hint="eastAsia" w:hAnsi="宋体" w:cs="宋体"/>
                    </w:rPr>
                  </w:pPr>
                  <w:r>
                    <w:rPr>
                      <w:rFonts w:hint="eastAsia" w:hAnsi="宋体" w:cs="宋体"/>
                    </w:rPr>
                    <w:t>噪声</w:t>
                  </w:r>
                </w:p>
              </w:tc>
              <w:tc>
                <w:tcPr>
                  <w:tcW w:w="732" w:type="pct"/>
                  <w:vAlign w:val="center"/>
                </w:tcPr>
                <w:p w14:paraId="18F45254">
                  <w:pPr>
                    <w:pStyle w:val="87"/>
                    <w:rPr>
                      <w:rFonts w:hint="eastAsia" w:hAnsi="宋体" w:cs="宋体"/>
                    </w:rPr>
                  </w:pPr>
                  <w:r>
                    <w:rPr>
                      <w:rFonts w:hint="eastAsia" w:hAnsi="宋体" w:cs="宋体"/>
                    </w:rPr>
                    <w:t>/</w:t>
                  </w:r>
                </w:p>
              </w:tc>
              <w:tc>
                <w:tcPr>
                  <w:tcW w:w="3444" w:type="pct"/>
                  <w:vAlign w:val="center"/>
                </w:tcPr>
                <w:p w14:paraId="70073269">
                  <w:pPr>
                    <w:pStyle w:val="87"/>
                    <w:rPr>
                      <w:rFonts w:hint="eastAsia" w:hAnsi="宋体" w:cs="宋体"/>
                      <w:snapToGrid w:val="0"/>
                    </w:rPr>
                  </w:pPr>
                  <w:r>
                    <w:rPr>
                      <w:rFonts w:hint="eastAsia" w:hAnsi="宋体" w:cs="宋体"/>
                      <w:snapToGrid w:val="0"/>
                    </w:rPr>
                    <w:t>合理布局钻井现场，尽量选用低噪声设备；制定施工计划时，尽可能避免大量高噪声设备同时施工。同时，高噪声设备施工时间尽量安排在昼间；加强施工管理和设备维护，发现设备存在的问题及时维修，保证设备正常运转；整体设备要安放稳固，并与地面保持良好接触，有条件的应使用减振基座，柴油机、发电机和各种机泵等要安装消声隔声设施，最大限度地降低噪声源的噪声；加强对运输车辆的管理及疏导，尽量压缩施工区汽车数量和行车密度，控制汽车鸣笛</w:t>
                  </w:r>
                </w:p>
              </w:tc>
            </w:tr>
            <w:tr w14:paraId="5AA1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4953B4EA">
                  <w:pPr>
                    <w:pStyle w:val="87"/>
                    <w:rPr>
                      <w:rFonts w:hint="eastAsia" w:hAnsi="宋体" w:cs="宋体"/>
                      <w:snapToGrid w:val="0"/>
                    </w:rPr>
                  </w:pPr>
                </w:p>
              </w:tc>
              <w:tc>
                <w:tcPr>
                  <w:tcW w:w="417" w:type="pct"/>
                  <w:vAlign w:val="center"/>
                </w:tcPr>
                <w:p w14:paraId="2B5041E3">
                  <w:pPr>
                    <w:pStyle w:val="87"/>
                    <w:rPr>
                      <w:rFonts w:hint="eastAsia" w:hAnsi="宋体" w:cs="宋体"/>
                      <w:snapToGrid w:val="0"/>
                    </w:rPr>
                  </w:pPr>
                  <w:r>
                    <w:rPr>
                      <w:rFonts w:hint="eastAsia" w:hAnsi="宋体" w:cs="宋体"/>
                      <w:snapToGrid w:val="0"/>
                    </w:rPr>
                    <w:t>生态恢复</w:t>
                  </w:r>
                </w:p>
              </w:tc>
              <w:tc>
                <w:tcPr>
                  <w:tcW w:w="732" w:type="pct"/>
                  <w:vAlign w:val="center"/>
                </w:tcPr>
                <w:p w14:paraId="40FC62E1">
                  <w:pPr>
                    <w:pStyle w:val="87"/>
                    <w:rPr>
                      <w:rFonts w:hint="eastAsia" w:hAnsi="宋体" w:cs="宋体"/>
                      <w:snapToGrid w:val="0"/>
                    </w:rPr>
                  </w:pPr>
                  <w:r>
                    <w:rPr>
                      <w:rFonts w:hint="eastAsia" w:hAnsi="宋体" w:cs="宋体"/>
                      <w:snapToGrid w:val="0"/>
                    </w:rPr>
                    <w:t>/</w:t>
                  </w:r>
                </w:p>
              </w:tc>
              <w:tc>
                <w:tcPr>
                  <w:tcW w:w="3444" w:type="pct"/>
                  <w:vAlign w:val="center"/>
                </w:tcPr>
                <w:p w14:paraId="2D6A1B2B">
                  <w:pPr>
                    <w:pStyle w:val="87"/>
                    <w:rPr>
                      <w:rFonts w:hint="eastAsia" w:hAnsi="宋体" w:cs="宋体"/>
                    </w:rPr>
                  </w:pPr>
                  <w:r>
                    <w:rPr>
                      <w:rFonts w:hint="eastAsia" w:hAnsi="宋体" w:cs="宋体"/>
                    </w:rPr>
                    <w:t>合理规划、尽量减少修建进井路的施工作业区域宽度，尽量减少井场临时占地面积；区域施工现场适时洒水，减少扬尘；项目建设完成后及时清理场地、按照原有植被类型恢复地貌</w:t>
                  </w:r>
                </w:p>
              </w:tc>
            </w:tr>
            <w:tr w14:paraId="1603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718C7205">
                  <w:pPr>
                    <w:pStyle w:val="87"/>
                    <w:rPr>
                      <w:rFonts w:hint="eastAsia" w:hAnsi="宋体" w:cs="宋体"/>
                      <w:snapToGrid w:val="0"/>
                    </w:rPr>
                  </w:pPr>
                </w:p>
              </w:tc>
              <w:tc>
                <w:tcPr>
                  <w:tcW w:w="417" w:type="pct"/>
                  <w:vMerge w:val="restart"/>
                  <w:vAlign w:val="center"/>
                </w:tcPr>
                <w:p w14:paraId="33FF1916">
                  <w:pPr>
                    <w:pStyle w:val="87"/>
                    <w:rPr>
                      <w:rFonts w:hint="eastAsia" w:hAnsi="宋体" w:cs="宋体"/>
                      <w:snapToGrid w:val="0"/>
                    </w:rPr>
                  </w:pPr>
                  <w:r>
                    <w:rPr>
                      <w:rFonts w:hint="eastAsia" w:hAnsi="宋体" w:cs="宋体"/>
                      <w:snapToGrid w:val="0"/>
                    </w:rPr>
                    <w:t>风险</w:t>
                  </w:r>
                </w:p>
              </w:tc>
              <w:tc>
                <w:tcPr>
                  <w:tcW w:w="732" w:type="pct"/>
                  <w:vAlign w:val="center"/>
                </w:tcPr>
                <w:p w14:paraId="5C7230CA">
                  <w:pPr>
                    <w:pStyle w:val="87"/>
                    <w:rPr>
                      <w:rFonts w:hint="eastAsia" w:hAnsi="宋体" w:cs="宋体"/>
                      <w:snapToGrid w:val="0"/>
                    </w:rPr>
                  </w:pPr>
                  <w:r>
                    <w:rPr>
                      <w:rFonts w:hint="eastAsia" w:hAnsi="宋体" w:cs="宋体"/>
                      <w:snapToGrid w:val="0"/>
                    </w:rPr>
                    <w:t>放喷池及放喷通道</w:t>
                  </w:r>
                </w:p>
              </w:tc>
              <w:tc>
                <w:tcPr>
                  <w:tcW w:w="3444" w:type="pct"/>
                  <w:vAlign w:val="center"/>
                </w:tcPr>
                <w:p w14:paraId="23C6A062">
                  <w:pPr>
                    <w:pStyle w:val="87"/>
                  </w:pPr>
                  <w:r>
                    <w:rPr>
                      <w:rFonts w:hint="eastAsia" w:hAnsi="宋体" w:cs="宋体"/>
                      <w:snapToGrid w:val="0"/>
                    </w:rPr>
                    <w:t>井场外新建2座放喷池，占地面积为</w:t>
                  </w:r>
                  <w:r>
                    <w:rPr>
                      <w:rFonts w:hint="eastAsia"/>
                    </w:rPr>
                    <w:t>352</w:t>
                  </w:r>
                  <w:r>
                    <w:rPr>
                      <w:rFonts w:hint="eastAsia" w:hAnsi="宋体" w:cs="宋体"/>
                      <w:snapToGrid w:val="0"/>
                    </w:rPr>
                    <w:t>m</w:t>
                  </w:r>
                  <w:r>
                    <w:rPr>
                      <w:rFonts w:hint="eastAsia" w:hAnsi="宋体" w:cs="宋体"/>
                      <w:snapToGrid w:val="0"/>
                      <w:vertAlign w:val="superscript"/>
                    </w:rPr>
                    <w:t>2</w:t>
                  </w:r>
                  <w:r>
                    <w:rPr>
                      <w:rFonts w:hint="eastAsia" w:hAnsi="宋体" w:cs="宋体"/>
                      <w:snapToGrid w:val="0"/>
                    </w:rPr>
                    <w:t>（左侧：</w:t>
                  </w:r>
                  <w:r>
                    <w:rPr>
                      <w:rFonts w:hint="eastAsia"/>
                    </w:rPr>
                    <w:t>15×</w:t>
                  </w:r>
                  <w:r>
                    <w:t>12</w:t>
                  </w:r>
                  <w:r>
                    <w:rPr>
                      <w:rFonts w:hint="eastAsia"/>
                    </w:rPr>
                    <w:t>m×</w:t>
                  </w:r>
                  <w:r>
                    <w:t>8</w:t>
                  </w:r>
                  <w:r>
                    <w:rPr>
                      <w:rFonts w:hint="eastAsia"/>
                    </w:rPr>
                    <w:t>m，深2</w:t>
                  </w:r>
                  <w:r>
                    <w:t>.5</w:t>
                  </w:r>
                  <w:r>
                    <w:rPr>
                      <w:rFonts w:hint="eastAsia"/>
                    </w:rPr>
                    <w:t>m；</w:t>
                  </w:r>
                  <w:r>
                    <w:rPr>
                      <w:rFonts w:hint="eastAsia" w:hAnsi="宋体" w:cs="宋体"/>
                      <w:snapToGrid w:val="0"/>
                    </w:rPr>
                    <w:t>右侧：</w:t>
                  </w:r>
                  <w:r>
                    <w:rPr>
                      <w:rFonts w:hint="eastAsia"/>
                    </w:rPr>
                    <w:t>25×</w:t>
                  </w:r>
                  <w:r>
                    <w:t>12</w:t>
                  </w:r>
                  <w:r>
                    <w:rPr>
                      <w:rFonts w:hint="eastAsia"/>
                    </w:rPr>
                    <w:t>m×</w:t>
                  </w:r>
                  <w:r>
                    <w:t>8</w:t>
                  </w:r>
                  <w:r>
                    <w:rPr>
                      <w:rFonts w:hint="eastAsia"/>
                    </w:rPr>
                    <w:t>m，深2</w:t>
                  </w:r>
                  <w:r>
                    <w:t>.5</w:t>
                  </w:r>
                  <w:r>
                    <w:rPr>
                      <w:rFonts w:hint="eastAsia"/>
                    </w:rPr>
                    <w:t>m</w:t>
                  </w:r>
                  <w:r>
                    <w:rPr>
                      <w:rFonts w:hint="eastAsia" w:hAnsi="宋体" w:cs="宋体"/>
                      <w:snapToGrid w:val="0"/>
                    </w:rPr>
                    <w:t>）。</w:t>
                  </w:r>
                  <w:r>
                    <w:rPr>
                      <w:rFonts w:hint="eastAsia"/>
                    </w:rPr>
                    <w:t>铺设环保型HDPE防渗材料（3mm厚，渗透系数K≤1×10</w:t>
                  </w:r>
                  <w:r>
                    <w:rPr>
                      <w:rFonts w:hint="eastAsia"/>
                      <w:vertAlign w:val="superscript"/>
                    </w:rPr>
                    <w:t>-10</w:t>
                  </w:r>
                  <w:r>
                    <w:rPr>
                      <w:rFonts w:hint="eastAsia"/>
                    </w:rPr>
                    <w:t>cm/s），用于事故状况下的井口喷出物以及伴生气放喷燃烧</w:t>
                  </w:r>
                </w:p>
              </w:tc>
            </w:tr>
            <w:tr w14:paraId="6CC2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21FBCE97">
                  <w:pPr>
                    <w:pStyle w:val="87"/>
                    <w:rPr>
                      <w:rFonts w:hint="eastAsia" w:hAnsi="宋体" w:cs="宋体"/>
                      <w:snapToGrid w:val="0"/>
                    </w:rPr>
                  </w:pPr>
                </w:p>
              </w:tc>
              <w:tc>
                <w:tcPr>
                  <w:tcW w:w="417" w:type="pct"/>
                  <w:vMerge w:val="continue"/>
                  <w:vAlign w:val="center"/>
                </w:tcPr>
                <w:p w14:paraId="54314E25">
                  <w:pPr>
                    <w:pStyle w:val="87"/>
                    <w:rPr>
                      <w:rFonts w:hint="eastAsia" w:hAnsi="宋体" w:cs="宋体"/>
                      <w:snapToGrid w:val="0"/>
                    </w:rPr>
                  </w:pPr>
                </w:p>
              </w:tc>
              <w:tc>
                <w:tcPr>
                  <w:tcW w:w="732" w:type="pct"/>
                  <w:vAlign w:val="center"/>
                </w:tcPr>
                <w:p w14:paraId="028FD2BD">
                  <w:pPr>
                    <w:pStyle w:val="87"/>
                    <w:rPr>
                      <w:rFonts w:hint="eastAsia" w:hAnsi="宋体" w:cs="宋体"/>
                      <w:snapToGrid w:val="0"/>
                    </w:rPr>
                  </w:pPr>
                  <w:r>
                    <w:rPr>
                      <w:rFonts w:hint="eastAsia" w:hAnsi="宋体" w:cs="宋体"/>
                      <w:snapToGrid w:val="0"/>
                    </w:rPr>
                    <w:t>H</w:t>
                  </w:r>
                  <w:r>
                    <w:rPr>
                      <w:rFonts w:hint="eastAsia" w:hAnsi="宋体" w:cs="宋体"/>
                      <w:snapToGrid w:val="0"/>
                      <w:vertAlign w:val="subscript"/>
                    </w:rPr>
                    <w:t>2</w:t>
                  </w:r>
                  <w:r>
                    <w:rPr>
                      <w:rFonts w:hint="eastAsia" w:hAnsi="宋体" w:cs="宋体"/>
                      <w:snapToGrid w:val="0"/>
                    </w:rPr>
                    <w:t>S监测装置</w:t>
                  </w:r>
                </w:p>
              </w:tc>
              <w:tc>
                <w:tcPr>
                  <w:tcW w:w="3444" w:type="pct"/>
                  <w:vAlign w:val="center"/>
                </w:tcPr>
                <w:p w14:paraId="62944259">
                  <w:pPr>
                    <w:pStyle w:val="87"/>
                    <w:rPr>
                      <w:rFonts w:hint="eastAsia" w:hAnsi="宋体" w:cs="宋体"/>
                      <w:snapToGrid w:val="0"/>
                    </w:rPr>
                  </w:pPr>
                  <w:r>
                    <w:rPr>
                      <w:rFonts w:hint="eastAsia" w:hAnsi="宋体" w:cs="宋体"/>
                      <w:snapToGrid w:val="0"/>
                    </w:rPr>
                    <w:t>探井录井仪配置有4个硫化氢监测仪，属于标准配置，分别位于钻台面上、钻台面下井口处、泥浆出口、室内</w:t>
                  </w:r>
                </w:p>
              </w:tc>
            </w:tr>
            <w:tr w14:paraId="3246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71F24A79">
                  <w:pPr>
                    <w:pStyle w:val="87"/>
                    <w:rPr>
                      <w:rFonts w:hint="eastAsia" w:hAnsi="宋体" w:cs="宋体"/>
                      <w:snapToGrid w:val="0"/>
                    </w:rPr>
                  </w:pPr>
                </w:p>
              </w:tc>
              <w:tc>
                <w:tcPr>
                  <w:tcW w:w="417" w:type="pct"/>
                  <w:vMerge w:val="continue"/>
                  <w:vAlign w:val="center"/>
                </w:tcPr>
                <w:p w14:paraId="771FF745">
                  <w:pPr>
                    <w:pStyle w:val="87"/>
                    <w:rPr>
                      <w:rFonts w:hint="eastAsia" w:hAnsi="宋体" w:cs="宋体"/>
                      <w:snapToGrid w:val="0"/>
                    </w:rPr>
                  </w:pPr>
                </w:p>
              </w:tc>
              <w:tc>
                <w:tcPr>
                  <w:tcW w:w="732" w:type="pct"/>
                  <w:vAlign w:val="center"/>
                </w:tcPr>
                <w:p w14:paraId="205E00E3">
                  <w:pPr>
                    <w:pStyle w:val="87"/>
                    <w:rPr>
                      <w:rFonts w:hint="eastAsia" w:hAnsi="宋体" w:cs="宋体"/>
                      <w:snapToGrid w:val="0"/>
                    </w:rPr>
                  </w:pPr>
                  <w:r>
                    <w:rPr>
                      <w:rFonts w:hint="eastAsia" w:hAnsi="宋体" w:cs="宋体"/>
                      <w:snapToGrid w:val="0"/>
                    </w:rPr>
                    <w:t>防渗措施</w:t>
                  </w:r>
                </w:p>
              </w:tc>
              <w:tc>
                <w:tcPr>
                  <w:tcW w:w="3444" w:type="pct"/>
                  <w:vAlign w:val="center"/>
                </w:tcPr>
                <w:p w14:paraId="5154D0D1">
                  <w:pPr>
                    <w:pStyle w:val="87"/>
                    <w:rPr>
                      <w:rFonts w:hint="eastAsia" w:hAnsi="宋体" w:cs="宋体"/>
                    </w:rPr>
                  </w:pPr>
                  <w:r>
                    <w:rPr>
                      <w:rFonts w:hint="eastAsia" w:hAnsi="宋体" w:cs="宋体"/>
                      <w:snapToGrid w:val="0"/>
                    </w:rPr>
                    <w:t>①</w:t>
                  </w:r>
                  <w:r>
                    <w:rPr>
                      <w:rFonts w:hint="eastAsia" w:hAnsi="宋体" w:cs="宋体"/>
                    </w:rPr>
                    <w:t>重点防渗区</w:t>
                  </w:r>
                  <w:r>
                    <w:rPr>
                      <w:rFonts w:hint="eastAsia"/>
                    </w:rPr>
                    <w:t>铺设环保型HDPE防渗材料（3mm厚，渗透系数K≤1×10</w:t>
                  </w:r>
                  <w:r>
                    <w:rPr>
                      <w:rFonts w:hint="eastAsia"/>
                      <w:vertAlign w:val="superscript"/>
                    </w:rPr>
                    <w:t>-10</w:t>
                  </w:r>
                  <w:r>
                    <w:rPr>
                      <w:rFonts w:hint="eastAsia"/>
                    </w:rPr>
                    <w:t>cm/s）</w:t>
                  </w:r>
                  <w:r>
                    <w:rPr>
                      <w:rFonts w:hint="eastAsia" w:hAnsi="宋体" w:cs="宋体"/>
                    </w:rPr>
                    <w:t>；</w:t>
                  </w:r>
                </w:p>
                <w:p w14:paraId="3DDBBF49">
                  <w:pPr>
                    <w:pStyle w:val="87"/>
                    <w:rPr>
                      <w:rFonts w:hint="eastAsia" w:hAnsi="宋体" w:cs="宋体"/>
                      <w:snapToGrid w:val="0"/>
                    </w:rPr>
                  </w:pPr>
                  <w:r>
                    <w:rPr>
                      <w:rFonts w:hint="eastAsia" w:hAnsi="宋体" w:cs="宋体"/>
                      <w:snapToGrid w:val="0"/>
                    </w:rPr>
                    <w:t>②</w:t>
                  </w:r>
                  <w:r>
                    <w:rPr>
                      <w:rFonts w:hint="eastAsia"/>
                    </w:rPr>
                    <w:t>一般防渗区铺设环保型HDPE防渗膜，达到等效黏土防渗层Mb≥1.5m（渗透系数≤10</w:t>
                  </w:r>
                  <w:r>
                    <w:rPr>
                      <w:rFonts w:hint="eastAsia"/>
                      <w:vertAlign w:val="superscript"/>
                    </w:rPr>
                    <w:t>-7</w:t>
                  </w:r>
                  <w:r>
                    <w:rPr>
                      <w:rFonts w:hint="eastAsia"/>
                    </w:rPr>
                    <w:t>cm/s）进行防渗处理</w:t>
                  </w:r>
                </w:p>
              </w:tc>
            </w:tr>
            <w:tr w14:paraId="2DAB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restart"/>
                  <w:vAlign w:val="center"/>
                </w:tcPr>
                <w:p w14:paraId="4B241EA0">
                  <w:pPr>
                    <w:pStyle w:val="87"/>
                    <w:rPr>
                      <w:rFonts w:hint="eastAsia" w:hAnsi="宋体" w:cs="宋体"/>
                      <w:snapToGrid w:val="0"/>
                    </w:rPr>
                  </w:pPr>
                  <w:r>
                    <w:rPr>
                      <w:rFonts w:hint="eastAsia" w:hAnsi="宋体" w:cs="宋体"/>
                      <w:snapToGrid w:val="0"/>
                    </w:rPr>
                    <w:t>公用工程</w:t>
                  </w:r>
                </w:p>
              </w:tc>
              <w:tc>
                <w:tcPr>
                  <w:tcW w:w="1150" w:type="pct"/>
                  <w:gridSpan w:val="2"/>
                  <w:vAlign w:val="center"/>
                </w:tcPr>
                <w:p w14:paraId="43B7BFF5">
                  <w:pPr>
                    <w:pStyle w:val="87"/>
                    <w:rPr>
                      <w:rFonts w:hint="eastAsia" w:hAnsi="宋体" w:cs="宋体"/>
                      <w:snapToGrid w:val="0"/>
                    </w:rPr>
                  </w:pPr>
                  <w:r>
                    <w:rPr>
                      <w:rFonts w:hint="eastAsia" w:hAnsi="宋体" w:cs="宋体"/>
                      <w:snapToGrid w:val="0"/>
                    </w:rPr>
                    <w:t>供水</w:t>
                  </w:r>
                </w:p>
              </w:tc>
              <w:tc>
                <w:tcPr>
                  <w:tcW w:w="3444" w:type="pct"/>
                  <w:vAlign w:val="center"/>
                </w:tcPr>
                <w:p w14:paraId="7B4C000E">
                  <w:pPr>
                    <w:pStyle w:val="87"/>
                    <w:rPr>
                      <w:rFonts w:hint="eastAsia" w:hAnsi="宋体" w:cs="宋体"/>
                      <w:snapToGrid w:val="0"/>
                    </w:rPr>
                  </w:pPr>
                  <w:r>
                    <w:rPr>
                      <w:rFonts w:hint="eastAsia" w:hAnsi="宋体" w:cs="宋体"/>
                      <w:snapToGrid w:val="0"/>
                    </w:rPr>
                    <w:t>本项目施工期用水由车辆拉运，施工人员用水采用桶装水</w:t>
                  </w:r>
                </w:p>
              </w:tc>
            </w:tr>
            <w:tr w14:paraId="206C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147AE5B9">
                  <w:pPr>
                    <w:pStyle w:val="87"/>
                    <w:rPr>
                      <w:rFonts w:hint="eastAsia" w:hAnsi="宋体" w:cs="宋体"/>
                      <w:snapToGrid w:val="0"/>
                    </w:rPr>
                  </w:pPr>
                </w:p>
              </w:tc>
              <w:tc>
                <w:tcPr>
                  <w:tcW w:w="1150" w:type="pct"/>
                  <w:gridSpan w:val="2"/>
                  <w:vAlign w:val="center"/>
                </w:tcPr>
                <w:p w14:paraId="49CBAFBD">
                  <w:pPr>
                    <w:pStyle w:val="87"/>
                    <w:rPr>
                      <w:rFonts w:hint="eastAsia" w:hAnsi="宋体" w:cs="宋体"/>
                      <w:snapToGrid w:val="0"/>
                    </w:rPr>
                  </w:pPr>
                  <w:r>
                    <w:rPr>
                      <w:rFonts w:hint="eastAsia" w:hAnsi="宋体" w:cs="宋体"/>
                      <w:snapToGrid w:val="0"/>
                    </w:rPr>
                    <w:t>排水</w:t>
                  </w:r>
                </w:p>
              </w:tc>
              <w:tc>
                <w:tcPr>
                  <w:tcW w:w="3444" w:type="pct"/>
                  <w:vAlign w:val="center"/>
                </w:tcPr>
                <w:p w14:paraId="2621D515">
                  <w:pPr>
                    <w:pStyle w:val="87"/>
                    <w:rPr>
                      <w:rFonts w:hint="eastAsia" w:hAnsi="宋体" w:cs="宋体"/>
                      <w:snapToGrid w:val="0"/>
                    </w:rPr>
                  </w:pPr>
                  <w:r>
                    <w:rPr>
                      <w:rFonts w:hint="eastAsia" w:hAnsi="宋体" w:cs="宋体"/>
                      <w:snapToGrid w:val="0"/>
                    </w:rPr>
                    <w:t>①</w:t>
                  </w:r>
                  <w:r>
                    <w:rPr>
                      <w:rFonts w:hint="eastAsia" w:hAnsi="宋体" w:cs="宋体"/>
                    </w:rPr>
                    <w:t>井下作业废液</w:t>
                  </w:r>
                  <w:r>
                    <w:rPr>
                      <w:rFonts w:hint="eastAsia" w:hAnsi="宋体" w:cs="宋体"/>
                      <w:snapToGrid w:val="0"/>
                    </w:rPr>
                    <w:t>、压裂返排液：定期拉运至春风一号联合站采出水处理系统处理，最终用于回注含油层用于产能开发，不外排；</w:t>
                  </w:r>
                </w:p>
                <w:p w14:paraId="7AF83DEC">
                  <w:pPr>
                    <w:pStyle w:val="87"/>
                    <w:rPr>
                      <w:rFonts w:hint="eastAsia" w:hAnsi="宋体" w:cs="宋体"/>
                      <w:snapToGrid w:val="0"/>
                    </w:rPr>
                  </w:pPr>
                  <w:r>
                    <w:rPr>
                      <w:rFonts w:hint="eastAsia" w:hAnsi="宋体" w:cs="宋体"/>
                      <w:snapToGrid w:val="0"/>
                    </w:rPr>
                    <w:t>②生活污水：全部排至环保厕所，定期拉运至中石化新疆新春石油开发有限责任公司管理一区生活基地合理化处置</w:t>
                  </w:r>
                </w:p>
              </w:tc>
            </w:tr>
            <w:tr w14:paraId="48DB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7ECC3391">
                  <w:pPr>
                    <w:pStyle w:val="87"/>
                    <w:rPr>
                      <w:rFonts w:hint="eastAsia" w:hAnsi="宋体" w:cs="宋体"/>
                      <w:snapToGrid w:val="0"/>
                    </w:rPr>
                  </w:pPr>
                </w:p>
              </w:tc>
              <w:tc>
                <w:tcPr>
                  <w:tcW w:w="1150" w:type="pct"/>
                  <w:gridSpan w:val="2"/>
                  <w:vAlign w:val="center"/>
                </w:tcPr>
                <w:p w14:paraId="7AE35056">
                  <w:pPr>
                    <w:pStyle w:val="87"/>
                    <w:rPr>
                      <w:rFonts w:hint="eastAsia" w:hAnsi="宋体" w:cs="宋体"/>
                      <w:snapToGrid w:val="0"/>
                    </w:rPr>
                  </w:pPr>
                  <w:r>
                    <w:rPr>
                      <w:rFonts w:hint="eastAsia" w:hAnsi="宋体" w:cs="宋体"/>
                      <w:snapToGrid w:val="0"/>
                    </w:rPr>
                    <w:t>供电</w:t>
                  </w:r>
                </w:p>
              </w:tc>
              <w:tc>
                <w:tcPr>
                  <w:tcW w:w="3444" w:type="pct"/>
                  <w:vAlign w:val="center"/>
                </w:tcPr>
                <w:p w14:paraId="7D8DED72">
                  <w:pPr>
                    <w:pStyle w:val="87"/>
                    <w:rPr>
                      <w:rFonts w:hint="eastAsia" w:hAnsi="宋体" w:cs="宋体"/>
                      <w:snapToGrid w:val="0"/>
                    </w:rPr>
                  </w:pPr>
                  <w:r>
                    <w:rPr>
                      <w:rFonts w:hint="eastAsia" w:hAnsi="宋体" w:cs="宋体"/>
                      <w:snapToGrid w:val="0"/>
                    </w:rPr>
                    <w:t>柴油机发电</w:t>
                  </w:r>
                </w:p>
              </w:tc>
            </w:tr>
            <w:tr w14:paraId="2C02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1D13A414">
                  <w:pPr>
                    <w:pStyle w:val="87"/>
                    <w:rPr>
                      <w:rFonts w:hint="eastAsia" w:hAnsi="宋体" w:cs="宋体"/>
                      <w:snapToGrid w:val="0"/>
                    </w:rPr>
                  </w:pPr>
                </w:p>
              </w:tc>
              <w:tc>
                <w:tcPr>
                  <w:tcW w:w="1150" w:type="pct"/>
                  <w:gridSpan w:val="2"/>
                  <w:vAlign w:val="center"/>
                </w:tcPr>
                <w:p w14:paraId="158A465F">
                  <w:pPr>
                    <w:pStyle w:val="87"/>
                    <w:rPr>
                      <w:rFonts w:hint="eastAsia" w:hAnsi="宋体" w:cs="宋体"/>
                      <w:snapToGrid w:val="0"/>
                    </w:rPr>
                  </w:pPr>
                  <w:r>
                    <w:rPr>
                      <w:rFonts w:hint="eastAsia" w:hAnsi="宋体"/>
                      <w:snapToGrid w:val="0"/>
                    </w:rPr>
                    <w:t>供暖</w:t>
                  </w:r>
                </w:p>
              </w:tc>
              <w:tc>
                <w:tcPr>
                  <w:tcW w:w="3444" w:type="pct"/>
                  <w:vAlign w:val="center"/>
                </w:tcPr>
                <w:p w14:paraId="74BA5957">
                  <w:pPr>
                    <w:pStyle w:val="87"/>
                    <w:rPr>
                      <w:rFonts w:hint="eastAsia" w:hAnsi="宋体" w:cs="宋体"/>
                      <w:snapToGrid w:val="0"/>
                    </w:rPr>
                  </w:pPr>
                  <w:r>
                    <w:rPr>
                      <w:rFonts w:hint="eastAsia" w:hAnsi="宋体"/>
                      <w:snapToGrid w:val="0"/>
                    </w:rPr>
                    <w:t>项目新建1台2</w:t>
                  </w:r>
                  <w:r>
                    <w:rPr>
                      <w:rFonts w:hAnsi="宋体"/>
                      <w:snapToGrid w:val="0"/>
                    </w:rPr>
                    <w:t>.5t/h</w:t>
                  </w:r>
                  <w:r>
                    <w:rPr>
                      <w:rFonts w:hint="eastAsia" w:hAnsi="宋体"/>
                      <w:snapToGrid w:val="0"/>
                    </w:rPr>
                    <w:t>的生物质锅炉供暖</w:t>
                  </w:r>
                </w:p>
              </w:tc>
            </w:tr>
            <w:tr w14:paraId="6122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6F417C4B">
                  <w:pPr>
                    <w:pStyle w:val="87"/>
                    <w:rPr>
                      <w:rFonts w:hint="eastAsia" w:hAnsi="宋体" w:cs="宋体"/>
                      <w:snapToGrid w:val="0"/>
                    </w:rPr>
                  </w:pPr>
                </w:p>
              </w:tc>
              <w:tc>
                <w:tcPr>
                  <w:tcW w:w="1150" w:type="pct"/>
                  <w:gridSpan w:val="2"/>
                  <w:vAlign w:val="center"/>
                </w:tcPr>
                <w:p w14:paraId="3E4A4CF8">
                  <w:pPr>
                    <w:pStyle w:val="87"/>
                    <w:rPr>
                      <w:rFonts w:hint="eastAsia" w:hAnsi="宋体" w:cs="宋体"/>
                      <w:snapToGrid w:val="0"/>
                    </w:rPr>
                  </w:pPr>
                  <w:r>
                    <w:rPr>
                      <w:rFonts w:hint="eastAsia" w:hAnsi="宋体" w:cs="宋体"/>
                      <w:snapToGrid w:val="0"/>
                    </w:rPr>
                    <w:t>消防</w:t>
                  </w:r>
                </w:p>
              </w:tc>
              <w:tc>
                <w:tcPr>
                  <w:tcW w:w="3444" w:type="pct"/>
                  <w:vAlign w:val="center"/>
                </w:tcPr>
                <w:p w14:paraId="4377AC85">
                  <w:pPr>
                    <w:pStyle w:val="87"/>
                    <w:rPr>
                      <w:rFonts w:hint="eastAsia" w:hAnsi="宋体" w:cs="宋体"/>
                      <w:snapToGrid w:val="0"/>
                    </w:rPr>
                  </w:pPr>
                  <w:r>
                    <w:rPr>
                      <w:rFonts w:hint="eastAsia" w:hAnsi="宋体" w:cs="宋体"/>
                      <w:bCs/>
                    </w:rPr>
                    <w:t>井场内设置灭火器等消防设施</w:t>
                  </w:r>
                </w:p>
              </w:tc>
            </w:tr>
            <w:tr w14:paraId="131C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restart"/>
                  <w:vAlign w:val="center"/>
                </w:tcPr>
                <w:p w14:paraId="7C5B1027">
                  <w:pPr>
                    <w:pStyle w:val="87"/>
                    <w:rPr>
                      <w:rFonts w:hint="eastAsia" w:hAnsi="宋体" w:cs="宋体"/>
                      <w:snapToGrid w:val="0"/>
                    </w:rPr>
                  </w:pPr>
                  <w:r>
                    <w:rPr>
                      <w:rFonts w:hint="eastAsia" w:hAnsi="宋体" w:cs="宋体"/>
                      <w:snapToGrid w:val="0"/>
                    </w:rPr>
                    <w:t>依托工程</w:t>
                  </w:r>
                </w:p>
              </w:tc>
              <w:tc>
                <w:tcPr>
                  <w:tcW w:w="1150" w:type="pct"/>
                  <w:gridSpan w:val="2"/>
                  <w:vAlign w:val="center"/>
                </w:tcPr>
                <w:p w14:paraId="4C87B555">
                  <w:pPr>
                    <w:pStyle w:val="87"/>
                    <w:rPr>
                      <w:rFonts w:hint="eastAsia" w:hAnsi="宋体" w:cs="宋体"/>
                    </w:rPr>
                  </w:pPr>
                  <w:r>
                    <w:rPr>
                      <w:rFonts w:hint="eastAsia" w:hAnsi="宋体" w:cs="宋体"/>
                    </w:rPr>
                    <w:t>井下作业废液</w:t>
                  </w:r>
                  <w:r>
                    <w:rPr>
                      <w:rFonts w:hint="eastAsia" w:hAnsi="宋体" w:cs="宋体"/>
                      <w:snapToGrid w:val="0"/>
                    </w:rPr>
                    <w:t>、压裂返排液</w:t>
                  </w:r>
                  <w:r>
                    <w:rPr>
                      <w:rFonts w:hint="eastAsia" w:hAnsi="宋体" w:cs="宋体"/>
                    </w:rPr>
                    <w:t>处置</w:t>
                  </w:r>
                </w:p>
              </w:tc>
              <w:tc>
                <w:tcPr>
                  <w:tcW w:w="3444" w:type="pct"/>
                  <w:vAlign w:val="center"/>
                </w:tcPr>
                <w:p w14:paraId="0D445FD0">
                  <w:pPr>
                    <w:pStyle w:val="87"/>
                    <w:rPr>
                      <w:rFonts w:hint="eastAsia" w:hAnsi="宋体" w:cs="宋体"/>
                    </w:rPr>
                  </w:pPr>
                  <w:r>
                    <w:rPr>
                      <w:rFonts w:hint="eastAsia" w:hAnsi="宋体" w:cs="宋体"/>
                    </w:rPr>
                    <w:t>井下作业废液</w:t>
                  </w:r>
                  <w:r>
                    <w:rPr>
                      <w:rFonts w:hint="eastAsia" w:hAnsi="宋体" w:cs="宋体"/>
                      <w:snapToGrid w:val="0"/>
                    </w:rPr>
                    <w:t>、压裂返排液</w:t>
                  </w:r>
                  <w:r>
                    <w:rPr>
                      <w:rFonts w:hint="eastAsia" w:hAnsi="宋体" w:cs="宋体"/>
                    </w:rPr>
                    <w:t>定期拉运至春风一号联合站采出水处理系统处理，经处理达到《碎屑岩油藏注水水质指标技术要求及分析方法》（SY/T 5329-2022）对应储层空气渗透率下的水质主要控制指标后回注含油层用于产能开发，不外排</w:t>
                  </w:r>
                </w:p>
              </w:tc>
            </w:tr>
            <w:tr w14:paraId="3840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453CF089">
                  <w:pPr>
                    <w:pStyle w:val="87"/>
                    <w:rPr>
                      <w:rFonts w:hint="eastAsia" w:hAnsi="宋体" w:cs="宋体"/>
                      <w:snapToGrid w:val="0"/>
                    </w:rPr>
                  </w:pPr>
                </w:p>
              </w:tc>
              <w:tc>
                <w:tcPr>
                  <w:tcW w:w="1150" w:type="pct"/>
                  <w:gridSpan w:val="2"/>
                  <w:vAlign w:val="center"/>
                </w:tcPr>
                <w:p w14:paraId="4DE48818">
                  <w:pPr>
                    <w:pStyle w:val="87"/>
                    <w:rPr>
                      <w:rFonts w:hint="eastAsia" w:hAnsi="宋体" w:cs="宋体"/>
                    </w:rPr>
                  </w:pPr>
                  <w:r>
                    <w:rPr>
                      <w:rFonts w:hint="eastAsia" w:hAnsi="宋体" w:cs="宋体"/>
                    </w:rPr>
                    <w:t>生活污水处理</w:t>
                  </w:r>
                </w:p>
              </w:tc>
              <w:tc>
                <w:tcPr>
                  <w:tcW w:w="3444" w:type="pct"/>
                  <w:vAlign w:val="center"/>
                </w:tcPr>
                <w:p w14:paraId="5345CFC4">
                  <w:pPr>
                    <w:pStyle w:val="87"/>
                    <w:rPr>
                      <w:rFonts w:hint="eastAsia" w:hAnsi="宋体" w:cs="宋体"/>
                    </w:rPr>
                  </w:pPr>
                  <w:r>
                    <w:rPr>
                      <w:rFonts w:hint="eastAsia" w:hAnsi="宋体" w:cs="宋体"/>
                    </w:rPr>
                    <w:t>生活污水全部排至环保厕所，定期拉运至中石化新疆新春石油开发有限责任公司管理一区生活基地合理化处置</w:t>
                  </w:r>
                </w:p>
              </w:tc>
            </w:tr>
            <w:tr w14:paraId="6434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1E1E29E6">
                  <w:pPr>
                    <w:pStyle w:val="87"/>
                    <w:rPr>
                      <w:rFonts w:hint="eastAsia" w:hAnsi="宋体" w:cs="宋体"/>
                      <w:snapToGrid w:val="0"/>
                    </w:rPr>
                  </w:pPr>
                </w:p>
              </w:tc>
              <w:tc>
                <w:tcPr>
                  <w:tcW w:w="1150" w:type="pct"/>
                  <w:gridSpan w:val="2"/>
                  <w:vAlign w:val="center"/>
                </w:tcPr>
                <w:p w14:paraId="063A1B33">
                  <w:pPr>
                    <w:pStyle w:val="87"/>
                    <w:rPr>
                      <w:rFonts w:hint="eastAsia" w:hAnsi="宋体" w:cs="宋体"/>
                    </w:rPr>
                  </w:pPr>
                  <w:r>
                    <w:rPr>
                      <w:rFonts w:hint="eastAsia" w:hAnsi="宋体" w:cs="宋体"/>
                    </w:rPr>
                    <w:t>钻井固废处理</w:t>
                  </w:r>
                </w:p>
              </w:tc>
              <w:tc>
                <w:tcPr>
                  <w:tcW w:w="3444" w:type="pct"/>
                  <w:vAlign w:val="center"/>
                </w:tcPr>
                <w:p w14:paraId="7E32214E">
                  <w:pPr>
                    <w:pStyle w:val="87"/>
                    <w:rPr>
                      <w:rFonts w:hint="eastAsia" w:hAnsi="宋体" w:cs="宋体"/>
                    </w:rPr>
                  </w:pPr>
                  <w:r>
                    <w:rPr>
                      <w:rFonts w:hint="eastAsia" w:hAnsi="宋体" w:cs="宋体"/>
                    </w:rPr>
                    <w:t>本项目导管、一开和二开段钻井固废属于一般固体废物，交由专业单位无害化处置；处理后的钻井固废按照《油气田钻井固体废物综合利用污染控制要求》（DB65/T 3997-2017）的规范标准要求，可用于修路、铺垫井场</w:t>
                  </w:r>
                </w:p>
              </w:tc>
            </w:tr>
          </w:tbl>
          <w:p w14:paraId="53D87A1E">
            <w:pPr>
              <w:pStyle w:val="113"/>
              <w:rPr>
                <w:rFonts w:hint="eastAsia"/>
              </w:rPr>
            </w:pPr>
          </w:p>
          <w:p w14:paraId="32D1B6F4">
            <w:pPr>
              <w:pStyle w:val="113"/>
              <w:rPr>
                <w:rFonts w:hint="eastAsia"/>
                <w:bCs/>
              </w:rPr>
            </w:pPr>
            <w:r>
              <w:rPr>
                <w:bCs/>
              </w:rPr>
              <w:t>3</w:t>
            </w:r>
            <w:r>
              <w:rPr>
                <w:rFonts w:hint="eastAsia"/>
                <w:bCs/>
              </w:rPr>
              <w:t>、主体工程</w:t>
            </w:r>
          </w:p>
          <w:p w14:paraId="32647141">
            <w:pPr>
              <w:pStyle w:val="113"/>
              <w:rPr>
                <w:rFonts w:hint="eastAsia"/>
                <w:szCs w:val="21"/>
              </w:rPr>
            </w:pPr>
            <w:r>
              <w:rPr>
                <w:rFonts w:hint="eastAsia"/>
              </w:rPr>
              <w:t>1）建设内容</w:t>
            </w:r>
          </w:p>
          <w:p w14:paraId="52599072">
            <w:pPr>
              <w:pStyle w:val="113"/>
              <w:rPr>
                <w:rFonts w:hint="eastAsia"/>
              </w:rPr>
            </w:pPr>
            <w:r>
              <w:rPr>
                <w:rFonts w:hint="eastAsia"/>
              </w:rPr>
              <w:t>本次新钻征121井</w:t>
            </w:r>
            <w:r>
              <w:rPr>
                <w:rFonts w:hint="eastAsia"/>
                <w:bCs/>
              </w:rPr>
              <w:t>一口，设计钻深4720.0m，</w:t>
            </w:r>
            <w:r>
              <w:rPr>
                <w:rFonts w:hint="eastAsia"/>
              </w:rPr>
              <w:t>完钻后进行试油，获取有关技术参数。若试油后无油气资源可开采，则按照《</w:t>
            </w:r>
            <w:r>
              <w:rPr>
                <w:rFonts w:hint="eastAsia"/>
                <w:kern w:val="0"/>
              </w:rPr>
              <w:t>废弃井及长停井处置指南》（SY/T 6646-2017）</w:t>
            </w:r>
            <w:r>
              <w:rPr>
                <w:rFonts w:hint="eastAsia"/>
              </w:rPr>
              <w:t>中封井规范进行退役封井处置，并将临时占地恢复原貌；若油气资源可开采，则后期进行开采。</w:t>
            </w:r>
          </w:p>
          <w:p w14:paraId="51074A57">
            <w:pPr>
              <w:pStyle w:val="113"/>
              <w:rPr>
                <w:rFonts w:hint="eastAsia"/>
              </w:rPr>
            </w:pPr>
            <w:r>
              <w:rPr>
                <w:rFonts w:hint="eastAsia"/>
              </w:rPr>
              <w:t>2）钻前工程</w:t>
            </w:r>
          </w:p>
          <w:p w14:paraId="1FBBDF26">
            <w:pPr>
              <w:pStyle w:val="113"/>
              <w:rPr>
                <w:rFonts w:hint="eastAsia"/>
              </w:rPr>
            </w:pPr>
            <w:r>
              <w:rPr>
                <w:rFonts w:hint="eastAsia"/>
              </w:rPr>
              <w:t>钻前工程包括进场道路建设、井场平整、放喷池开挖、设备基础修建等。</w:t>
            </w:r>
          </w:p>
          <w:p w14:paraId="056C6BBB">
            <w:pPr>
              <w:pStyle w:val="113"/>
              <w:rPr>
                <w:rFonts w:hint="eastAsia"/>
              </w:rPr>
            </w:pPr>
            <w:r>
              <w:rPr>
                <w:rFonts w:hint="eastAsia"/>
              </w:rPr>
              <w:t>3）钻井工程</w:t>
            </w:r>
          </w:p>
          <w:p w14:paraId="2B6D9DE1">
            <w:pPr>
              <w:pStyle w:val="113"/>
              <w:rPr>
                <w:rFonts w:hint="eastAsia"/>
              </w:rPr>
            </w:pPr>
            <w:r>
              <w:rPr>
                <w:rFonts w:hint="eastAsia"/>
              </w:rPr>
              <w:t>（1）基础数据</w:t>
            </w:r>
          </w:p>
          <w:p w14:paraId="274E9C61">
            <w:pPr>
              <w:pStyle w:val="3"/>
              <w:ind w:firstLine="420"/>
              <w:rPr>
                <w:rFonts w:hint="eastAsia"/>
                <w:sz w:val="21"/>
                <w:szCs w:val="21"/>
              </w:rPr>
            </w:pPr>
            <w:r>
              <w:rPr>
                <w:rFonts w:hint="eastAsia"/>
                <w:sz w:val="21"/>
                <w:szCs w:val="21"/>
              </w:rPr>
              <w:t>本次新钻勘探井1口，完钻后进行试油，获取有关技术参数，基础数据内容详见</w:t>
            </w:r>
            <w:r>
              <w:rPr>
                <w:sz w:val="21"/>
                <w:szCs w:val="21"/>
              </w:rPr>
              <w:fldChar w:fldCharType="begin"/>
            </w:r>
            <w:r>
              <w:rPr>
                <w:sz w:val="21"/>
                <w:szCs w:val="21"/>
              </w:rPr>
              <w:instrText xml:space="preserve"> </w:instrText>
            </w:r>
            <w:r>
              <w:rPr>
                <w:rFonts w:hint="eastAsia"/>
                <w:sz w:val="21"/>
                <w:szCs w:val="21"/>
              </w:rPr>
              <w:instrText xml:space="preserve">REF _Ref205979831</w:instrText>
            </w:r>
            <w:r>
              <w:rPr>
                <w:sz w:val="21"/>
                <w:szCs w:val="21"/>
              </w:rPr>
              <w:instrText xml:space="preserve">  \* MERGEFORMAT </w:instrText>
            </w:r>
            <w:r>
              <w:rPr>
                <w:sz w:val="21"/>
                <w:szCs w:val="21"/>
              </w:rPr>
              <w:fldChar w:fldCharType="separate"/>
            </w:r>
            <w:r>
              <w:rPr>
                <w:rFonts w:hint="eastAsia"/>
                <w:sz w:val="21"/>
                <w:szCs w:val="21"/>
              </w:rPr>
              <w:t>表</w:t>
            </w:r>
            <w:r>
              <w:rPr>
                <w:sz w:val="21"/>
                <w:szCs w:val="21"/>
              </w:rPr>
              <w:t>13</w:t>
            </w:r>
            <w:r>
              <w:rPr>
                <w:sz w:val="21"/>
                <w:szCs w:val="21"/>
              </w:rPr>
              <w:fldChar w:fldCharType="end"/>
            </w:r>
            <w:r>
              <w:rPr>
                <w:rFonts w:hint="eastAsia"/>
                <w:sz w:val="21"/>
                <w:szCs w:val="21"/>
              </w:rPr>
              <w:t>。</w:t>
            </w:r>
          </w:p>
          <w:p w14:paraId="0DD1EE56">
            <w:pPr>
              <w:pStyle w:val="87"/>
              <w:spacing w:line="332" w:lineRule="auto"/>
            </w:pPr>
            <w:bookmarkStart w:id="23" w:name="_Ref205979831"/>
            <w:r>
              <w:rPr>
                <w:rFonts w:hint="eastAsia"/>
              </w:rPr>
              <w:t>表</w:t>
            </w:r>
            <w:r>
              <w:rPr>
                <w:rFonts w:hint="eastAsia"/>
              </w:rPr>
              <w:fldChar w:fldCharType="begin"/>
            </w:r>
            <w:r>
              <w:rPr>
                <w:rFonts w:hint="eastAsia"/>
              </w:rPr>
              <w:instrText xml:space="preserve"> SEQ 表 \*ARABIC </w:instrText>
            </w:r>
            <w:r>
              <w:rPr>
                <w:rFonts w:hint="eastAsia"/>
              </w:rPr>
              <w:fldChar w:fldCharType="separate"/>
            </w:r>
            <w:r>
              <w:t>13</w:t>
            </w:r>
            <w:r>
              <w:rPr>
                <w:rFonts w:hint="eastAsia"/>
              </w:rPr>
              <w:fldChar w:fldCharType="end"/>
            </w:r>
            <w:bookmarkEnd w:id="23"/>
            <w:r>
              <w:rPr>
                <w:rFonts w:hint="eastAsia"/>
              </w:rPr>
              <w:t xml:space="preserve">  本项目钻井工程基础数据内容一览表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80"/>
              <w:gridCol w:w="776"/>
              <w:gridCol w:w="858"/>
              <w:gridCol w:w="1404"/>
              <w:gridCol w:w="1132"/>
              <w:gridCol w:w="2351"/>
            </w:tblGrid>
            <w:tr w14:paraId="75D7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14:paraId="49B11C74">
                  <w:pPr>
                    <w:pStyle w:val="3"/>
                    <w:spacing w:line="240" w:lineRule="auto"/>
                    <w:ind w:firstLine="0" w:firstLineChars="0"/>
                    <w:jc w:val="center"/>
                    <w:rPr>
                      <w:rFonts w:hint="eastAsia"/>
                      <w:sz w:val="21"/>
                      <w:szCs w:val="21"/>
                    </w:rPr>
                  </w:pPr>
                  <w:r>
                    <w:rPr>
                      <w:rFonts w:hint="eastAsia"/>
                      <w:sz w:val="21"/>
                      <w:szCs w:val="21"/>
                    </w:rPr>
                    <w:t>井号</w:t>
                  </w:r>
                </w:p>
              </w:tc>
              <w:tc>
                <w:tcPr>
                  <w:tcW w:w="432" w:type="pct"/>
                  <w:vAlign w:val="center"/>
                </w:tcPr>
                <w:p w14:paraId="2A9D655C">
                  <w:pPr>
                    <w:pStyle w:val="3"/>
                    <w:spacing w:line="240" w:lineRule="auto"/>
                    <w:ind w:firstLine="0" w:firstLineChars="0"/>
                    <w:jc w:val="center"/>
                    <w:rPr>
                      <w:rFonts w:hint="eastAsia"/>
                      <w:sz w:val="21"/>
                      <w:szCs w:val="21"/>
                    </w:rPr>
                  </w:pPr>
                  <w:r>
                    <w:rPr>
                      <w:rFonts w:hint="eastAsia"/>
                      <w:sz w:val="21"/>
                      <w:szCs w:val="21"/>
                    </w:rPr>
                    <w:t>井型</w:t>
                  </w:r>
                </w:p>
              </w:tc>
              <w:tc>
                <w:tcPr>
                  <w:tcW w:w="493" w:type="pct"/>
                  <w:vAlign w:val="center"/>
                </w:tcPr>
                <w:p w14:paraId="73463E61">
                  <w:pPr>
                    <w:pStyle w:val="3"/>
                    <w:spacing w:line="240" w:lineRule="auto"/>
                    <w:ind w:firstLine="0" w:firstLineChars="0"/>
                    <w:jc w:val="center"/>
                    <w:rPr>
                      <w:rFonts w:hint="eastAsia"/>
                      <w:sz w:val="21"/>
                      <w:szCs w:val="21"/>
                    </w:rPr>
                  </w:pPr>
                  <w:r>
                    <w:rPr>
                      <w:rFonts w:hint="eastAsia"/>
                      <w:sz w:val="21"/>
                      <w:szCs w:val="21"/>
                    </w:rPr>
                    <w:t>井别</w:t>
                  </w:r>
                </w:p>
              </w:tc>
              <w:tc>
                <w:tcPr>
                  <w:tcW w:w="545" w:type="pct"/>
                  <w:vAlign w:val="center"/>
                </w:tcPr>
                <w:p w14:paraId="68D405C6">
                  <w:pPr>
                    <w:pStyle w:val="3"/>
                    <w:spacing w:line="240" w:lineRule="auto"/>
                    <w:ind w:firstLine="0" w:firstLineChars="0"/>
                    <w:jc w:val="center"/>
                    <w:rPr>
                      <w:rFonts w:hint="eastAsia"/>
                      <w:sz w:val="21"/>
                      <w:szCs w:val="21"/>
                    </w:rPr>
                  </w:pPr>
                  <w:r>
                    <w:rPr>
                      <w:rFonts w:hint="eastAsia"/>
                      <w:sz w:val="21"/>
                      <w:szCs w:val="21"/>
                    </w:rPr>
                    <w:t>设计井深</w:t>
                  </w:r>
                </w:p>
              </w:tc>
              <w:tc>
                <w:tcPr>
                  <w:tcW w:w="892" w:type="pct"/>
                  <w:vAlign w:val="center"/>
                </w:tcPr>
                <w:p w14:paraId="28EE648F">
                  <w:pPr>
                    <w:pStyle w:val="3"/>
                    <w:spacing w:line="240" w:lineRule="auto"/>
                    <w:ind w:firstLine="0" w:firstLineChars="0"/>
                    <w:jc w:val="center"/>
                    <w:rPr>
                      <w:rFonts w:hint="eastAsia"/>
                      <w:sz w:val="21"/>
                      <w:szCs w:val="21"/>
                    </w:rPr>
                  </w:pPr>
                  <w:r>
                    <w:rPr>
                      <w:rFonts w:hint="eastAsia"/>
                      <w:sz w:val="21"/>
                      <w:szCs w:val="21"/>
                    </w:rPr>
                    <w:t>目的层</w:t>
                  </w:r>
                </w:p>
              </w:tc>
              <w:tc>
                <w:tcPr>
                  <w:tcW w:w="719" w:type="pct"/>
                  <w:vAlign w:val="center"/>
                </w:tcPr>
                <w:p w14:paraId="5C947D71">
                  <w:pPr>
                    <w:pStyle w:val="3"/>
                    <w:spacing w:line="240" w:lineRule="auto"/>
                    <w:ind w:firstLine="0" w:firstLineChars="0"/>
                    <w:jc w:val="center"/>
                    <w:rPr>
                      <w:rFonts w:hint="eastAsia"/>
                      <w:sz w:val="21"/>
                      <w:szCs w:val="21"/>
                    </w:rPr>
                  </w:pPr>
                  <w:r>
                    <w:rPr>
                      <w:rFonts w:hint="eastAsia"/>
                      <w:sz w:val="21"/>
                      <w:szCs w:val="21"/>
                    </w:rPr>
                    <w:t>完钻层位及原则</w:t>
                  </w:r>
                </w:p>
              </w:tc>
              <w:tc>
                <w:tcPr>
                  <w:tcW w:w="1493" w:type="pct"/>
                  <w:vAlign w:val="center"/>
                </w:tcPr>
                <w:p w14:paraId="479D3A6E">
                  <w:pPr>
                    <w:pStyle w:val="3"/>
                    <w:spacing w:line="240" w:lineRule="auto"/>
                    <w:ind w:firstLine="0" w:firstLineChars="0"/>
                    <w:jc w:val="center"/>
                    <w:rPr>
                      <w:rFonts w:hint="eastAsia"/>
                      <w:sz w:val="21"/>
                      <w:szCs w:val="21"/>
                    </w:rPr>
                  </w:pPr>
                  <w:r>
                    <w:rPr>
                      <w:sz w:val="21"/>
                      <w:szCs w:val="21"/>
                    </w:rPr>
                    <w:t>钻探目的</w:t>
                  </w:r>
                </w:p>
              </w:tc>
            </w:tr>
            <w:tr w14:paraId="4240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14:paraId="668D346C">
                  <w:pPr>
                    <w:pStyle w:val="3"/>
                    <w:spacing w:line="240" w:lineRule="auto"/>
                    <w:ind w:firstLine="0" w:firstLineChars="0"/>
                    <w:jc w:val="center"/>
                    <w:rPr>
                      <w:rFonts w:hint="eastAsia"/>
                      <w:sz w:val="21"/>
                      <w:szCs w:val="21"/>
                    </w:rPr>
                  </w:pPr>
                  <w:r>
                    <w:rPr>
                      <w:rFonts w:hint="eastAsia"/>
                      <w:sz w:val="21"/>
                      <w:szCs w:val="21"/>
                    </w:rPr>
                    <w:t>征121井</w:t>
                  </w:r>
                </w:p>
              </w:tc>
              <w:tc>
                <w:tcPr>
                  <w:tcW w:w="432" w:type="pct"/>
                  <w:vAlign w:val="center"/>
                </w:tcPr>
                <w:p w14:paraId="52210C3E">
                  <w:pPr>
                    <w:pStyle w:val="3"/>
                    <w:spacing w:line="240" w:lineRule="auto"/>
                    <w:ind w:firstLine="0" w:firstLineChars="0"/>
                    <w:jc w:val="center"/>
                    <w:rPr>
                      <w:rFonts w:hint="eastAsia"/>
                      <w:sz w:val="21"/>
                      <w:szCs w:val="21"/>
                    </w:rPr>
                  </w:pPr>
                  <w:r>
                    <w:rPr>
                      <w:rFonts w:hint="eastAsia"/>
                      <w:sz w:val="21"/>
                      <w:szCs w:val="21"/>
                    </w:rPr>
                    <w:t>直井</w:t>
                  </w:r>
                </w:p>
              </w:tc>
              <w:tc>
                <w:tcPr>
                  <w:tcW w:w="493" w:type="pct"/>
                  <w:vAlign w:val="center"/>
                </w:tcPr>
                <w:p w14:paraId="58DF8DC6">
                  <w:pPr>
                    <w:pStyle w:val="3"/>
                    <w:spacing w:line="240" w:lineRule="auto"/>
                    <w:ind w:firstLine="0" w:firstLineChars="0"/>
                    <w:jc w:val="center"/>
                    <w:rPr>
                      <w:rFonts w:hint="eastAsia"/>
                      <w:sz w:val="21"/>
                      <w:szCs w:val="21"/>
                    </w:rPr>
                  </w:pPr>
                  <w:r>
                    <w:rPr>
                      <w:rFonts w:hint="eastAsia"/>
                      <w:sz w:val="21"/>
                      <w:szCs w:val="21"/>
                    </w:rPr>
                    <w:t>勘探井</w:t>
                  </w:r>
                </w:p>
              </w:tc>
              <w:tc>
                <w:tcPr>
                  <w:tcW w:w="545" w:type="pct"/>
                  <w:vAlign w:val="center"/>
                </w:tcPr>
                <w:p w14:paraId="134ECA50">
                  <w:pPr>
                    <w:pStyle w:val="3"/>
                    <w:spacing w:line="240" w:lineRule="auto"/>
                    <w:ind w:firstLine="0" w:firstLineChars="0"/>
                    <w:jc w:val="center"/>
                    <w:rPr>
                      <w:rFonts w:hint="eastAsia"/>
                      <w:sz w:val="21"/>
                      <w:szCs w:val="21"/>
                    </w:rPr>
                  </w:pPr>
                  <w:r>
                    <w:rPr>
                      <w:rFonts w:hint="eastAsia"/>
                      <w:sz w:val="21"/>
                      <w:szCs w:val="21"/>
                    </w:rPr>
                    <w:t>4720.0</w:t>
                  </w:r>
                </w:p>
              </w:tc>
              <w:tc>
                <w:tcPr>
                  <w:tcW w:w="892" w:type="pct"/>
                  <w:vAlign w:val="center"/>
                </w:tcPr>
                <w:p w14:paraId="50B40952">
                  <w:pPr>
                    <w:pStyle w:val="3"/>
                    <w:spacing w:line="240" w:lineRule="auto"/>
                    <w:ind w:firstLine="0" w:firstLineChars="0"/>
                    <w:jc w:val="center"/>
                    <w:rPr>
                      <w:rFonts w:hint="eastAsia"/>
                      <w:sz w:val="21"/>
                      <w:szCs w:val="21"/>
                    </w:rPr>
                  </w:pPr>
                  <w:r>
                    <w:rPr>
                      <w:rFonts w:hint="eastAsia"/>
                      <w:sz w:val="21"/>
                      <w:szCs w:val="21"/>
                    </w:rPr>
                    <w:t>三工河组一段二砂组、</w:t>
                  </w:r>
                  <w:bookmarkStart w:id="24" w:name="OLE_LINK1"/>
                  <w:r>
                    <w:rPr>
                      <w:rFonts w:hint="eastAsia"/>
                      <w:sz w:val="21"/>
                      <w:szCs w:val="21"/>
                    </w:rPr>
                    <w:t>三工河组一段一砂组</w:t>
                  </w:r>
                  <w:bookmarkEnd w:id="24"/>
                </w:p>
              </w:tc>
              <w:tc>
                <w:tcPr>
                  <w:tcW w:w="719" w:type="pct"/>
                  <w:vAlign w:val="center"/>
                </w:tcPr>
                <w:p w14:paraId="25D679B7">
                  <w:pPr>
                    <w:pStyle w:val="3"/>
                    <w:spacing w:line="240" w:lineRule="auto"/>
                    <w:ind w:firstLine="0" w:firstLineChars="0"/>
                    <w:jc w:val="center"/>
                    <w:rPr>
                      <w:rFonts w:hint="eastAsia"/>
                      <w:sz w:val="21"/>
                      <w:szCs w:val="21"/>
                    </w:rPr>
                  </w:pPr>
                  <w:r>
                    <w:rPr>
                      <w:rFonts w:hint="eastAsia"/>
                      <w:sz w:val="21"/>
                      <w:szCs w:val="21"/>
                    </w:rPr>
                    <w:t>进入八道湾组50m完钻</w:t>
                  </w:r>
                </w:p>
              </w:tc>
              <w:tc>
                <w:tcPr>
                  <w:tcW w:w="1493" w:type="pct"/>
                  <w:vAlign w:val="center"/>
                </w:tcPr>
                <w:p w14:paraId="30081CAD">
                  <w:pPr>
                    <w:pStyle w:val="3"/>
                    <w:spacing w:line="240" w:lineRule="auto"/>
                    <w:ind w:firstLine="0" w:firstLineChars="0"/>
                    <w:jc w:val="center"/>
                    <w:rPr>
                      <w:rFonts w:hint="eastAsia"/>
                      <w:sz w:val="21"/>
                      <w:szCs w:val="21"/>
                    </w:rPr>
                  </w:pPr>
                  <w:r>
                    <w:rPr>
                      <w:rFonts w:hint="eastAsia"/>
                      <w:sz w:val="21"/>
                      <w:szCs w:val="21"/>
                    </w:rPr>
                    <w:t>落实征12井三工河组一段二砂组岩性圈闭含油气范围，明确含油高度，兼探三工河组一砂组含油气情况</w:t>
                  </w:r>
                </w:p>
              </w:tc>
            </w:tr>
          </w:tbl>
          <w:p w14:paraId="4DC57CFA">
            <w:pPr>
              <w:pStyle w:val="113"/>
              <w:rPr>
                <w:rFonts w:hint="eastAsia"/>
              </w:rPr>
            </w:pPr>
          </w:p>
          <w:p w14:paraId="2C585146">
            <w:pPr>
              <w:pStyle w:val="113"/>
              <w:rPr>
                <w:rFonts w:hint="eastAsia"/>
                <w:bCs/>
              </w:rPr>
            </w:pPr>
            <w:r>
              <w:rPr>
                <w:rFonts w:hint="eastAsia"/>
                <w:bCs/>
              </w:rPr>
              <w:t>（2）井身结构</w:t>
            </w:r>
          </w:p>
          <w:p w14:paraId="5332A4B9">
            <w:pPr>
              <w:pStyle w:val="113"/>
              <w:rPr>
                <w:rFonts w:hint="eastAsia"/>
              </w:rPr>
            </w:pPr>
            <w:r>
              <w:rPr>
                <w:rFonts w:hint="eastAsia"/>
              </w:rPr>
              <w:t>根据本井的地层特点及目前钻井工艺技术状况、地层压力情况，依据有利于安全、优质、高效钻井和保护油气层的原则进行设计。本项目采用二开制井身结构，井身结构见</w:t>
            </w:r>
            <w:r>
              <w:fldChar w:fldCharType="begin"/>
            </w:r>
            <w:r>
              <w:instrText xml:space="preserve"> REF _Ref138672094 \h  \* MERGEFORMAT </w:instrText>
            </w:r>
            <w:r>
              <w:fldChar w:fldCharType="separate"/>
            </w:r>
            <w:r>
              <w:rPr>
                <w:rFonts w:hint="eastAsia"/>
              </w:rPr>
              <w:t>表14</w:t>
            </w:r>
            <w:r>
              <w:fldChar w:fldCharType="end"/>
            </w:r>
            <w:r>
              <w:rPr>
                <w:rFonts w:hint="eastAsia"/>
              </w:rPr>
              <w:t>及</w:t>
            </w:r>
            <w:r>
              <w:fldChar w:fldCharType="begin"/>
            </w:r>
            <w:r>
              <w:instrText xml:space="preserve"> REF _Ref38541967 \h  \* MERGEFORMAT </w:instrText>
            </w:r>
            <w:r>
              <w:fldChar w:fldCharType="separate"/>
            </w:r>
            <w:r>
              <w:rPr>
                <w:rFonts w:hint="eastAsia"/>
              </w:rPr>
              <w:t>图1</w:t>
            </w:r>
            <w:r>
              <w:fldChar w:fldCharType="end"/>
            </w:r>
            <w:r>
              <w:rPr>
                <w:rFonts w:hint="eastAsia"/>
              </w:rPr>
              <w:t>。</w:t>
            </w:r>
          </w:p>
          <w:p w14:paraId="58E6332F">
            <w:pPr>
              <w:pStyle w:val="12"/>
              <w:spacing w:before="120"/>
              <w:rPr>
                <w:rFonts w:hint="eastAsia" w:hAnsi="宋体"/>
                <w:snapToGrid w:val="0"/>
              </w:rPr>
            </w:pPr>
            <w:bookmarkStart w:id="25" w:name="_Ref138672094"/>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14</w:t>
            </w:r>
            <w:r>
              <w:rPr>
                <w:rFonts w:hAnsi="宋体"/>
              </w:rPr>
              <w:fldChar w:fldCharType="end"/>
            </w:r>
            <w:bookmarkEnd w:id="25"/>
            <w:r>
              <w:rPr>
                <w:rFonts w:hAnsi="宋体"/>
              </w:rPr>
              <w:t xml:space="preserve">  </w:t>
            </w:r>
            <w:r>
              <w:rPr>
                <w:rFonts w:hint="eastAsia" w:hAnsi="宋体"/>
                <w:snapToGrid w:val="0"/>
              </w:rPr>
              <w:t>井身结构情况一览表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159"/>
              <w:gridCol w:w="1038"/>
              <w:gridCol w:w="1524"/>
              <w:gridCol w:w="1219"/>
              <w:gridCol w:w="1156"/>
              <w:gridCol w:w="964"/>
            </w:tblGrid>
            <w:tr w14:paraId="333C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13" w:type="pct"/>
                  <w:tcMar>
                    <w:left w:w="28" w:type="dxa"/>
                    <w:right w:w="28" w:type="dxa"/>
                  </w:tcMar>
                  <w:vAlign w:val="center"/>
                </w:tcPr>
                <w:p w14:paraId="12467415">
                  <w:pPr>
                    <w:jc w:val="center"/>
                    <w:rPr>
                      <w:rFonts w:hint="eastAsia" w:ascii="宋体" w:hAnsi="宋体"/>
                      <w:szCs w:val="21"/>
                    </w:rPr>
                  </w:pPr>
                  <w:r>
                    <w:rPr>
                      <w:rFonts w:ascii="宋体" w:hAnsi="宋体"/>
                      <w:szCs w:val="21"/>
                    </w:rPr>
                    <w:t>开钻</w:t>
                  </w:r>
                </w:p>
                <w:p w14:paraId="33E01396">
                  <w:pPr>
                    <w:jc w:val="center"/>
                    <w:rPr>
                      <w:rFonts w:hint="eastAsia" w:ascii="宋体" w:hAnsi="宋体"/>
                      <w:szCs w:val="21"/>
                    </w:rPr>
                  </w:pPr>
                  <w:r>
                    <w:rPr>
                      <w:rFonts w:ascii="宋体" w:hAnsi="宋体"/>
                      <w:szCs w:val="21"/>
                    </w:rPr>
                    <w:t>顺序</w:t>
                  </w:r>
                </w:p>
              </w:tc>
              <w:tc>
                <w:tcPr>
                  <w:tcW w:w="736" w:type="pct"/>
                  <w:tcMar>
                    <w:left w:w="28" w:type="dxa"/>
                    <w:right w:w="28" w:type="dxa"/>
                  </w:tcMar>
                  <w:vAlign w:val="center"/>
                </w:tcPr>
                <w:p w14:paraId="365C1FAF">
                  <w:pPr>
                    <w:jc w:val="center"/>
                    <w:rPr>
                      <w:rFonts w:hint="eastAsia" w:ascii="宋体" w:hAnsi="宋体"/>
                      <w:szCs w:val="21"/>
                    </w:rPr>
                  </w:pPr>
                  <w:r>
                    <w:rPr>
                      <w:rFonts w:ascii="宋体" w:hAnsi="宋体"/>
                      <w:szCs w:val="21"/>
                    </w:rPr>
                    <w:t>钻头尺寸</w:t>
                  </w:r>
                </w:p>
                <w:p w14:paraId="07384D47">
                  <w:pPr>
                    <w:jc w:val="center"/>
                    <w:rPr>
                      <w:rFonts w:hint="eastAsia" w:ascii="宋体" w:hAnsi="宋体"/>
                      <w:szCs w:val="21"/>
                    </w:rPr>
                  </w:pPr>
                  <w:r>
                    <w:rPr>
                      <w:rFonts w:ascii="宋体" w:hAnsi="宋体"/>
                      <w:szCs w:val="21"/>
                    </w:rPr>
                    <w:t>（mm）</w:t>
                  </w:r>
                </w:p>
              </w:tc>
              <w:tc>
                <w:tcPr>
                  <w:tcW w:w="659" w:type="pct"/>
                  <w:tcMar>
                    <w:left w:w="28" w:type="dxa"/>
                    <w:right w:w="28" w:type="dxa"/>
                  </w:tcMar>
                  <w:vAlign w:val="center"/>
                </w:tcPr>
                <w:p w14:paraId="15F941F6">
                  <w:pPr>
                    <w:jc w:val="center"/>
                    <w:rPr>
                      <w:rFonts w:hint="eastAsia" w:ascii="宋体" w:hAnsi="宋体"/>
                      <w:szCs w:val="21"/>
                    </w:rPr>
                  </w:pPr>
                  <w:r>
                    <w:rPr>
                      <w:rFonts w:ascii="宋体" w:hAnsi="宋体"/>
                      <w:szCs w:val="21"/>
                    </w:rPr>
                    <w:t>井深</w:t>
                  </w:r>
                </w:p>
                <w:p w14:paraId="16643171">
                  <w:pPr>
                    <w:jc w:val="center"/>
                    <w:rPr>
                      <w:rFonts w:hint="eastAsia" w:ascii="宋体" w:hAnsi="宋体"/>
                      <w:szCs w:val="21"/>
                    </w:rPr>
                  </w:pPr>
                  <w:r>
                    <w:rPr>
                      <w:rFonts w:ascii="宋体" w:hAnsi="宋体"/>
                      <w:szCs w:val="21"/>
                    </w:rPr>
                    <w:t>（m）</w:t>
                  </w:r>
                </w:p>
              </w:tc>
              <w:tc>
                <w:tcPr>
                  <w:tcW w:w="968" w:type="pct"/>
                  <w:tcMar>
                    <w:left w:w="28" w:type="dxa"/>
                    <w:right w:w="28" w:type="dxa"/>
                  </w:tcMar>
                  <w:vAlign w:val="center"/>
                </w:tcPr>
                <w:p w14:paraId="1CC982EF">
                  <w:pPr>
                    <w:jc w:val="center"/>
                    <w:rPr>
                      <w:rFonts w:hint="eastAsia" w:ascii="宋体" w:hAnsi="宋体"/>
                      <w:szCs w:val="21"/>
                    </w:rPr>
                  </w:pPr>
                  <w:r>
                    <w:rPr>
                      <w:rFonts w:ascii="宋体" w:hAnsi="宋体"/>
                      <w:szCs w:val="21"/>
                    </w:rPr>
                    <w:t>套管尺寸</w:t>
                  </w:r>
                </w:p>
                <w:p w14:paraId="79B0DE37">
                  <w:pPr>
                    <w:jc w:val="center"/>
                    <w:rPr>
                      <w:rFonts w:hint="eastAsia" w:ascii="宋体" w:hAnsi="宋体"/>
                      <w:szCs w:val="21"/>
                    </w:rPr>
                  </w:pPr>
                  <w:r>
                    <w:rPr>
                      <w:rFonts w:ascii="宋体" w:hAnsi="宋体"/>
                      <w:szCs w:val="21"/>
                    </w:rPr>
                    <w:t>（mm）</w:t>
                  </w:r>
                </w:p>
              </w:tc>
              <w:tc>
                <w:tcPr>
                  <w:tcW w:w="774" w:type="pct"/>
                  <w:tcMar>
                    <w:left w:w="28" w:type="dxa"/>
                    <w:right w:w="28" w:type="dxa"/>
                  </w:tcMar>
                  <w:vAlign w:val="center"/>
                </w:tcPr>
                <w:p w14:paraId="1149EA8E">
                  <w:pPr>
                    <w:jc w:val="center"/>
                    <w:rPr>
                      <w:rFonts w:hint="eastAsia" w:ascii="宋体" w:hAnsi="宋体"/>
                      <w:szCs w:val="21"/>
                    </w:rPr>
                  </w:pPr>
                  <w:r>
                    <w:rPr>
                      <w:rFonts w:ascii="宋体" w:hAnsi="宋体"/>
                      <w:szCs w:val="21"/>
                    </w:rPr>
                    <w:t>套管下深</w:t>
                  </w:r>
                </w:p>
                <w:p w14:paraId="5BB805C1">
                  <w:pPr>
                    <w:jc w:val="center"/>
                    <w:rPr>
                      <w:rFonts w:hint="eastAsia" w:ascii="宋体" w:hAnsi="宋体"/>
                      <w:szCs w:val="21"/>
                    </w:rPr>
                  </w:pPr>
                  <w:r>
                    <w:rPr>
                      <w:rFonts w:ascii="宋体" w:hAnsi="宋体"/>
                      <w:szCs w:val="21"/>
                    </w:rPr>
                    <w:t>（m）</w:t>
                  </w:r>
                </w:p>
              </w:tc>
              <w:tc>
                <w:tcPr>
                  <w:tcW w:w="734" w:type="pct"/>
                  <w:tcMar>
                    <w:left w:w="28" w:type="dxa"/>
                    <w:right w:w="28" w:type="dxa"/>
                  </w:tcMar>
                  <w:vAlign w:val="center"/>
                </w:tcPr>
                <w:p w14:paraId="3DC1917C">
                  <w:pPr>
                    <w:jc w:val="center"/>
                    <w:rPr>
                      <w:rFonts w:hint="eastAsia" w:ascii="宋体" w:hAnsi="宋体"/>
                      <w:szCs w:val="21"/>
                    </w:rPr>
                  </w:pPr>
                  <w:r>
                    <w:rPr>
                      <w:rFonts w:ascii="宋体" w:hAnsi="宋体"/>
                      <w:szCs w:val="21"/>
                    </w:rPr>
                    <w:t>水泥封固段</w:t>
                  </w:r>
                </w:p>
                <w:p w14:paraId="45F709C1">
                  <w:pPr>
                    <w:jc w:val="center"/>
                    <w:rPr>
                      <w:rFonts w:hint="eastAsia" w:ascii="宋体" w:hAnsi="宋体"/>
                      <w:szCs w:val="21"/>
                    </w:rPr>
                  </w:pPr>
                  <w:r>
                    <w:rPr>
                      <w:rFonts w:ascii="宋体" w:hAnsi="宋体"/>
                      <w:szCs w:val="21"/>
                    </w:rPr>
                    <w:t>（m）</w:t>
                  </w:r>
                </w:p>
              </w:tc>
              <w:tc>
                <w:tcPr>
                  <w:tcW w:w="612" w:type="pct"/>
                  <w:vAlign w:val="center"/>
                </w:tcPr>
                <w:p w14:paraId="313E046F">
                  <w:pPr>
                    <w:jc w:val="center"/>
                    <w:rPr>
                      <w:rFonts w:hint="eastAsia" w:ascii="宋体" w:hAnsi="宋体"/>
                      <w:szCs w:val="21"/>
                    </w:rPr>
                  </w:pPr>
                  <w:r>
                    <w:rPr>
                      <w:rFonts w:ascii="宋体" w:hAnsi="宋体"/>
                      <w:szCs w:val="21"/>
                    </w:rPr>
                    <w:t>备注</w:t>
                  </w:r>
                </w:p>
              </w:tc>
            </w:tr>
            <w:tr w14:paraId="63B4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513" w:type="pct"/>
                  <w:tcMar>
                    <w:left w:w="28" w:type="dxa"/>
                    <w:right w:w="28" w:type="dxa"/>
                  </w:tcMar>
                  <w:vAlign w:val="center"/>
                </w:tcPr>
                <w:p w14:paraId="43BF4DF7">
                  <w:pPr>
                    <w:jc w:val="center"/>
                    <w:rPr>
                      <w:rFonts w:hint="eastAsia" w:ascii="宋体" w:hAnsi="宋体"/>
                      <w:szCs w:val="21"/>
                    </w:rPr>
                  </w:pPr>
                  <w:r>
                    <w:rPr>
                      <w:rFonts w:ascii="宋体" w:hAnsi="宋体"/>
                      <w:szCs w:val="21"/>
                    </w:rPr>
                    <w:t>导管</w:t>
                  </w:r>
                </w:p>
              </w:tc>
              <w:tc>
                <w:tcPr>
                  <w:tcW w:w="736" w:type="pct"/>
                  <w:tcMar>
                    <w:left w:w="28" w:type="dxa"/>
                    <w:right w:w="28" w:type="dxa"/>
                  </w:tcMar>
                  <w:vAlign w:val="center"/>
                </w:tcPr>
                <w:p w14:paraId="1D1ED0BA">
                  <w:pPr>
                    <w:jc w:val="center"/>
                    <w:rPr>
                      <w:rFonts w:hint="eastAsia" w:ascii="宋体" w:hAnsi="宋体"/>
                      <w:szCs w:val="21"/>
                    </w:rPr>
                  </w:pPr>
                  <w:r>
                    <w:rPr>
                      <w:rFonts w:hint="eastAsia" w:ascii="宋体" w:hAnsi="宋体"/>
                      <w:szCs w:val="21"/>
                    </w:rPr>
                    <w:t>-</w:t>
                  </w:r>
                </w:p>
              </w:tc>
              <w:tc>
                <w:tcPr>
                  <w:tcW w:w="659" w:type="pct"/>
                  <w:tcMar>
                    <w:left w:w="28" w:type="dxa"/>
                    <w:right w:w="28" w:type="dxa"/>
                  </w:tcMar>
                  <w:vAlign w:val="center"/>
                </w:tcPr>
                <w:p w14:paraId="423A3ACC">
                  <w:pPr>
                    <w:jc w:val="center"/>
                    <w:rPr>
                      <w:rFonts w:hint="eastAsia" w:ascii="宋体" w:hAnsi="宋体"/>
                      <w:szCs w:val="21"/>
                    </w:rPr>
                  </w:pPr>
                  <w:r>
                    <w:rPr>
                      <w:rFonts w:hint="eastAsia" w:ascii="宋体" w:hAnsi="宋体"/>
                      <w:szCs w:val="21"/>
                    </w:rPr>
                    <w:t>-</w:t>
                  </w:r>
                </w:p>
              </w:tc>
              <w:tc>
                <w:tcPr>
                  <w:tcW w:w="968" w:type="pct"/>
                  <w:tcMar>
                    <w:left w:w="28" w:type="dxa"/>
                    <w:right w:w="28" w:type="dxa"/>
                  </w:tcMar>
                  <w:vAlign w:val="center"/>
                </w:tcPr>
                <w:p w14:paraId="4EEE8C09">
                  <w:pPr>
                    <w:jc w:val="center"/>
                    <w:rPr>
                      <w:rFonts w:hint="eastAsia" w:ascii="宋体" w:hAnsi="宋体"/>
                      <w:szCs w:val="21"/>
                    </w:rPr>
                  </w:pPr>
                  <w:r>
                    <w:rPr>
                      <w:rFonts w:hint="eastAsia" w:ascii="宋体" w:hAnsi="宋体"/>
                      <w:szCs w:val="21"/>
                    </w:rPr>
                    <w:t>339.7</w:t>
                  </w:r>
                </w:p>
              </w:tc>
              <w:tc>
                <w:tcPr>
                  <w:tcW w:w="774" w:type="pct"/>
                  <w:tcMar>
                    <w:left w:w="28" w:type="dxa"/>
                    <w:right w:w="28" w:type="dxa"/>
                  </w:tcMar>
                  <w:vAlign w:val="center"/>
                </w:tcPr>
                <w:p w14:paraId="307F0CA3">
                  <w:pPr>
                    <w:jc w:val="center"/>
                    <w:rPr>
                      <w:rFonts w:hint="eastAsia" w:ascii="宋体" w:hAnsi="宋体"/>
                      <w:szCs w:val="21"/>
                    </w:rPr>
                  </w:pPr>
                  <w:r>
                    <w:rPr>
                      <w:rFonts w:ascii="宋体" w:hAnsi="宋体"/>
                      <w:szCs w:val="21"/>
                    </w:rPr>
                    <w:t>0～50</w:t>
                  </w:r>
                </w:p>
              </w:tc>
              <w:tc>
                <w:tcPr>
                  <w:tcW w:w="734" w:type="pct"/>
                  <w:tcMar>
                    <w:left w:w="28" w:type="dxa"/>
                    <w:right w:w="28" w:type="dxa"/>
                  </w:tcMar>
                  <w:vAlign w:val="center"/>
                </w:tcPr>
                <w:p w14:paraId="15149B1D">
                  <w:pPr>
                    <w:jc w:val="center"/>
                    <w:rPr>
                      <w:rFonts w:hint="eastAsia" w:ascii="宋体" w:hAnsi="宋体"/>
                      <w:szCs w:val="21"/>
                    </w:rPr>
                  </w:pPr>
                  <w:r>
                    <w:rPr>
                      <w:rFonts w:hint="eastAsia" w:ascii="宋体" w:hAnsi="宋体"/>
                      <w:szCs w:val="21"/>
                    </w:rPr>
                    <w:t>-</w:t>
                  </w:r>
                </w:p>
              </w:tc>
              <w:tc>
                <w:tcPr>
                  <w:tcW w:w="612" w:type="pct"/>
                  <w:vAlign w:val="center"/>
                </w:tcPr>
                <w:p w14:paraId="528F6F77">
                  <w:pPr>
                    <w:jc w:val="center"/>
                    <w:rPr>
                      <w:rFonts w:hint="eastAsia" w:ascii="宋体" w:hAnsi="宋体"/>
                      <w:szCs w:val="21"/>
                    </w:rPr>
                  </w:pPr>
                  <w:r>
                    <w:rPr>
                      <w:rFonts w:ascii="宋体" w:hAnsi="宋体"/>
                      <w:szCs w:val="21"/>
                    </w:rPr>
                    <w:t>钻前施工</w:t>
                  </w:r>
                </w:p>
              </w:tc>
            </w:tr>
            <w:tr w14:paraId="3339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513" w:type="pct"/>
                  <w:tcMar>
                    <w:left w:w="28" w:type="dxa"/>
                    <w:right w:w="28" w:type="dxa"/>
                  </w:tcMar>
                  <w:vAlign w:val="center"/>
                </w:tcPr>
                <w:p w14:paraId="0DE82562">
                  <w:pPr>
                    <w:jc w:val="center"/>
                    <w:rPr>
                      <w:rFonts w:hint="eastAsia" w:ascii="宋体" w:hAnsi="宋体"/>
                      <w:szCs w:val="21"/>
                    </w:rPr>
                  </w:pPr>
                  <w:r>
                    <w:rPr>
                      <w:rFonts w:ascii="宋体" w:hAnsi="宋体"/>
                      <w:szCs w:val="21"/>
                    </w:rPr>
                    <w:t>一开</w:t>
                  </w:r>
                </w:p>
              </w:tc>
              <w:tc>
                <w:tcPr>
                  <w:tcW w:w="736" w:type="pct"/>
                  <w:tcMar>
                    <w:left w:w="28" w:type="dxa"/>
                    <w:right w:w="28" w:type="dxa"/>
                  </w:tcMar>
                  <w:vAlign w:val="center"/>
                </w:tcPr>
                <w:p w14:paraId="1DEEE204">
                  <w:pPr>
                    <w:jc w:val="center"/>
                    <w:rPr>
                      <w:rFonts w:hint="eastAsia" w:ascii="宋体" w:hAnsi="宋体"/>
                      <w:szCs w:val="21"/>
                    </w:rPr>
                  </w:pPr>
                  <w:r>
                    <w:rPr>
                      <w:rFonts w:ascii="宋体" w:hAnsi="宋体"/>
                      <w:szCs w:val="21"/>
                    </w:rPr>
                    <w:t>3</w:t>
                  </w:r>
                  <w:r>
                    <w:rPr>
                      <w:rFonts w:hint="eastAsia" w:ascii="宋体" w:hAnsi="宋体"/>
                      <w:szCs w:val="21"/>
                    </w:rPr>
                    <w:t>11.2</w:t>
                  </w:r>
                </w:p>
              </w:tc>
              <w:tc>
                <w:tcPr>
                  <w:tcW w:w="659" w:type="pct"/>
                  <w:tcMar>
                    <w:left w:w="28" w:type="dxa"/>
                    <w:right w:w="28" w:type="dxa"/>
                  </w:tcMar>
                  <w:vAlign w:val="center"/>
                </w:tcPr>
                <w:p w14:paraId="70617CE1">
                  <w:pPr>
                    <w:jc w:val="center"/>
                    <w:rPr>
                      <w:rFonts w:hint="eastAsia" w:ascii="宋体" w:hAnsi="宋体"/>
                      <w:szCs w:val="21"/>
                    </w:rPr>
                  </w:pPr>
                  <w:r>
                    <w:rPr>
                      <w:rFonts w:ascii="宋体" w:hAnsi="宋体"/>
                      <w:szCs w:val="21"/>
                    </w:rPr>
                    <w:t>801</w:t>
                  </w:r>
                </w:p>
              </w:tc>
              <w:tc>
                <w:tcPr>
                  <w:tcW w:w="968" w:type="pct"/>
                  <w:tcMar>
                    <w:left w:w="28" w:type="dxa"/>
                    <w:right w:w="28" w:type="dxa"/>
                  </w:tcMar>
                  <w:vAlign w:val="center"/>
                </w:tcPr>
                <w:p w14:paraId="6700C43D">
                  <w:pPr>
                    <w:jc w:val="center"/>
                    <w:rPr>
                      <w:rFonts w:hint="eastAsia" w:ascii="宋体" w:hAnsi="宋体"/>
                      <w:szCs w:val="21"/>
                    </w:rPr>
                  </w:pPr>
                  <w:r>
                    <w:rPr>
                      <w:rFonts w:ascii="宋体" w:hAnsi="宋体"/>
                      <w:szCs w:val="21"/>
                    </w:rPr>
                    <w:t>2</w:t>
                  </w:r>
                  <w:r>
                    <w:rPr>
                      <w:rFonts w:hint="eastAsia" w:ascii="宋体" w:hAnsi="宋体"/>
                      <w:szCs w:val="21"/>
                    </w:rPr>
                    <w:t>44.5</w:t>
                  </w:r>
                </w:p>
              </w:tc>
              <w:tc>
                <w:tcPr>
                  <w:tcW w:w="774" w:type="pct"/>
                  <w:tcMar>
                    <w:left w:w="28" w:type="dxa"/>
                    <w:right w:w="28" w:type="dxa"/>
                  </w:tcMar>
                  <w:vAlign w:val="center"/>
                </w:tcPr>
                <w:p w14:paraId="237545C8">
                  <w:pPr>
                    <w:jc w:val="center"/>
                    <w:rPr>
                      <w:rFonts w:hint="eastAsia" w:ascii="宋体" w:hAnsi="宋体"/>
                      <w:szCs w:val="21"/>
                    </w:rPr>
                  </w:pPr>
                  <w:r>
                    <w:rPr>
                      <w:rFonts w:ascii="宋体" w:hAnsi="宋体"/>
                      <w:szCs w:val="21"/>
                    </w:rPr>
                    <w:t>0～800</w:t>
                  </w:r>
                </w:p>
              </w:tc>
              <w:tc>
                <w:tcPr>
                  <w:tcW w:w="734" w:type="pct"/>
                  <w:tcMar>
                    <w:left w:w="28" w:type="dxa"/>
                    <w:right w:w="28" w:type="dxa"/>
                  </w:tcMar>
                  <w:vAlign w:val="center"/>
                </w:tcPr>
                <w:p w14:paraId="6502D987">
                  <w:pPr>
                    <w:jc w:val="center"/>
                    <w:rPr>
                      <w:rFonts w:hint="eastAsia" w:ascii="宋体" w:hAnsi="宋体"/>
                      <w:szCs w:val="21"/>
                    </w:rPr>
                  </w:pPr>
                  <w:r>
                    <w:rPr>
                      <w:rFonts w:ascii="宋体" w:hAnsi="宋体"/>
                      <w:szCs w:val="21"/>
                    </w:rPr>
                    <w:t>0～801</w:t>
                  </w:r>
                </w:p>
              </w:tc>
              <w:tc>
                <w:tcPr>
                  <w:tcW w:w="612" w:type="pct"/>
                  <w:vAlign w:val="center"/>
                </w:tcPr>
                <w:p w14:paraId="39600202">
                  <w:pPr>
                    <w:jc w:val="center"/>
                    <w:rPr>
                      <w:rFonts w:hint="eastAsia" w:ascii="宋体" w:hAnsi="宋体"/>
                      <w:szCs w:val="21"/>
                    </w:rPr>
                  </w:pPr>
                  <w:r>
                    <w:rPr>
                      <w:rFonts w:hint="eastAsia" w:ascii="宋体" w:hAnsi="宋体"/>
                      <w:szCs w:val="21"/>
                    </w:rPr>
                    <w:t>-</w:t>
                  </w:r>
                </w:p>
              </w:tc>
            </w:tr>
            <w:tr w14:paraId="077E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13" w:type="pct"/>
                  <w:tcMar>
                    <w:left w:w="28" w:type="dxa"/>
                    <w:right w:w="28" w:type="dxa"/>
                  </w:tcMar>
                  <w:vAlign w:val="center"/>
                </w:tcPr>
                <w:p w14:paraId="4FFE3A1D">
                  <w:pPr>
                    <w:jc w:val="center"/>
                    <w:rPr>
                      <w:rFonts w:hint="eastAsia" w:ascii="宋体" w:hAnsi="宋体"/>
                      <w:szCs w:val="21"/>
                    </w:rPr>
                  </w:pPr>
                  <w:r>
                    <w:rPr>
                      <w:rFonts w:hint="eastAsia" w:ascii="宋体" w:hAnsi="宋体"/>
                      <w:szCs w:val="21"/>
                    </w:rPr>
                    <w:t>二</w:t>
                  </w:r>
                  <w:r>
                    <w:rPr>
                      <w:rFonts w:ascii="宋体" w:hAnsi="宋体"/>
                      <w:szCs w:val="21"/>
                    </w:rPr>
                    <w:t>开</w:t>
                  </w:r>
                </w:p>
              </w:tc>
              <w:tc>
                <w:tcPr>
                  <w:tcW w:w="736" w:type="pct"/>
                  <w:tcMar>
                    <w:left w:w="28" w:type="dxa"/>
                    <w:right w:w="28" w:type="dxa"/>
                  </w:tcMar>
                  <w:vAlign w:val="center"/>
                </w:tcPr>
                <w:p w14:paraId="67083E4E">
                  <w:pPr>
                    <w:jc w:val="center"/>
                    <w:rPr>
                      <w:rFonts w:hint="eastAsia" w:ascii="宋体" w:hAnsi="宋体"/>
                      <w:szCs w:val="21"/>
                    </w:rPr>
                  </w:pPr>
                  <w:r>
                    <w:rPr>
                      <w:rFonts w:ascii="宋体" w:hAnsi="宋体"/>
                      <w:szCs w:val="21"/>
                    </w:rPr>
                    <w:t>2</w:t>
                  </w:r>
                  <w:r>
                    <w:rPr>
                      <w:rFonts w:hint="eastAsia" w:ascii="宋体" w:hAnsi="宋体"/>
                      <w:szCs w:val="21"/>
                    </w:rPr>
                    <w:t>15.9</w:t>
                  </w:r>
                </w:p>
              </w:tc>
              <w:tc>
                <w:tcPr>
                  <w:tcW w:w="659" w:type="pct"/>
                  <w:tcMar>
                    <w:left w:w="28" w:type="dxa"/>
                    <w:right w:w="28" w:type="dxa"/>
                  </w:tcMar>
                  <w:vAlign w:val="center"/>
                </w:tcPr>
                <w:p w14:paraId="424B1306">
                  <w:pPr>
                    <w:jc w:val="center"/>
                    <w:rPr>
                      <w:rFonts w:hint="eastAsia" w:ascii="宋体" w:hAnsi="宋体"/>
                      <w:szCs w:val="21"/>
                    </w:rPr>
                  </w:pPr>
                  <w:r>
                    <w:rPr>
                      <w:rFonts w:hint="eastAsia" w:ascii="宋体" w:hAnsi="宋体"/>
                      <w:szCs w:val="21"/>
                    </w:rPr>
                    <w:t>4720</w:t>
                  </w:r>
                </w:p>
              </w:tc>
              <w:tc>
                <w:tcPr>
                  <w:tcW w:w="968" w:type="pct"/>
                  <w:tcMar>
                    <w:left w:w="28" w:type="dxa"/>
                    <w:right w:w="28" w:type="dxa"/>
                  </w:tcMar>
                  <w:vAlign w:val="center"/>
                </w:tcPr>
                <w:p w14:paraId="55259B1B">
                  <w:pPr>
                    <w:jc w:val="center"/>
                    <w:rPr>
                      <w:rFonts w:hint="eastAsia" w:ascii="宋体" w:hAnsi="宋体"/>
                      <w:szCs w:val="21"/>
                    </w:rPr>
                  </w:pPr>
                  <w:r>
                    <w:rPr>
                      <w:rFonts w:ascii="宋体" w:hAnsi="宋体"/>
                      <w:szCs w:val="21"/>
                    </w:rPr>
                    <w:t>1</w:t>
                  </w:r>
                  <w:r>
                    <w:rPr>
                      <w:rFonts w:hint="eastAsia" w:ascii="宋体" w:hAnsi="宋体"/>
                      <w:szCs w:val="21"/>
                    </w:rPr>
                    <w:t>39.7</w:t>
                  </w:r>
                </w:p>
              </w:tc>
              <w:tc>
                <w:tcPr>
                  <w:tcW w:w="774" w:type="pct"/>
                  <w:tcMar>
                    <w:left w:w="28" w:type="dxa"/>
                    <w:right w:w="28" w:type="dxa"/>
                  </w:tcMar>
                  <w:vAlign w:val="center"/>
                </w:tcPr>
                <w:p w14:paraId="1EBC310E">
                  <w:pPr>
                    <w:jc w:val="center"/>
                    <w:rPr>
                      <w:rFonts w:hint="eastAsia" w:ascii="宋体" w:hAnsi="宋体"/>
                      <w:szCs w:val="21"/>
                    </w:rPr>
                  </w:pPr>
                  <w:r>
                    <w:rPr>
                      <w:rFonts w:ascii="宋体" w:hAnsi="宋体"/>
                      <w:szCs w:val="21"/>
                    </w:rPr>
                    <w:t>0～</w:t>
                  </w:r>
                  <w:r>
                    <w:rPr>
                      <w:rFonts w:hint="eastAsia" w:ascii="宋体" w:hAnsi="宋体"/>
                      <w:szCs w:val="21"/>
                    </w:rPr>
                    <w:t>4717</w:t>
                  </w:r>
                </w:p>
              </w:tc>
              <w:tc>
                <w:tcPr>
                  <w:tcW w:w="734" w:type="pct"/>
                  <w:tcMar>
                    <w:left w:w="28" w:type="dxa"/>
                    <w:right w:w="28" w:type="dxa"/>
                  </w:tcMar>
                  <w:vAlign w:val="center"/>
                </w:tcPr>
                <w:p w14:paraId="34B29C2F">
                  <w:pPr>
                    <w:jc w:val="center"/>
                    <w:rPr>
                      <w:rFonts w:hint="eastAsia" w:ascii="宋体" w:hAnsi="宋体"/>
                      <w:szCs w:val="21"/>
                    </w:rPr>
                  </w:pPr>
                  <w:r>
                    <w:rPr>
                      <w:rFonts w:ascii="宋体" w:hAnsi="宋体"/>
                      <w:szCs w:val="21"/>
                    </w:rPr>
                    <w:t>0～</w:t>
                  </w:r>
                  <w:r>
                    <w:rPr>
                      <w:rFonts w:hint="eastAsia" w:ascii="宋体" w:hAnsi="宋体"/>
                      <w:szCs w:val="21"/>
                    </w:rPr>
                    <w:t>4717</w:t>
                  </w:r>
                </w:p>
              </w:tc>
              <w:tc>
                <w:tcPr>
                  <w:tcW w:w="612" w:type="pct"/>
                  <w:vAlign w:val="center"/>
                </w:tcPr>
                <w:p w14:paraId="431E9675">
                  <w:pPr>
                    <w:jc w:val="center"/>
                    <w:rPr>
                      <w:rFonts w:hint="eastAsia" w:ascii="宋体" w:hAnsi="宋体"/>
                      <w:szCs w:val="21"/>
                    </w:rPr>
                  </w:pPr>
                  <w:r>
                    <w:rPr>
                      <w:rFonts w:hint="eastAsia" w:ascii="宋体" w:hAnsi="宋体"/>
                      <w:szCs w:val="21"/>
                    </w:rPr>
                    <w:t>-</w:t>
                  </w:r>
                </w:p>
              </w:tc>
            </w:tr>
          </w:tbl>
          <w:p w14:paraId="2AC1B283"/>
          <w:p w14:paraId="63EA0F2C"/>
          <w:p w14:paraId="2555050B"/>
          <w:p w14:paraId="0092A381">
            <w:pPr>
              <w:jc w:val="center"/>
              <w:rPr>
                <w:rFonts w:hint="eastAsia" w:ascii="宋体" w:hAnsi="宋体"/>
              </w:rPr>
            </w:pPr>
            <w:r>
              <w:rPr>
                <w:rFonts w:hint="eastAsia"/>
              </w:rPr>
              <w:drawing>
                <wp:inline distT="0" distB="0" distL="0" distR="0">
                  <wp:extent cx="4679950" cy="4932680"/>
                  <wp:effectExtent l="19050" t="19050" r="25400" b="20320"/>
                  <wp:docPr id="3" name="图片 79" descr="征121_井身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9" descr="征121_井身结构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80541" cy="4933171"/>
                          </a:xfrm>
                          <a:prstGeom prst="rect">
                            <a:avLst/>
                          </a:prstGeom>
                          <a:noFill/>
                          <a:ln>
                            <a:solidFill>
                              <a:schemeClr val="tx1"/>
                            </a:solidFill>
                          </a:ln>
                          <a:effectLst/>
                        </pic:spPr>
                      </pic:pic>
                    </a:graphicData>
                  </a:graphic>
                </wp:inline>
              </w:drawing>
            </w:r>
          </w:p>
          <w:p w14:paraId="149731EE">
            <w:pPr>
              <w:pStyle w:val="12"/>
              <w:spacing w:before="120"/>
              <w:rPr>
                <w:rFonts w:hint="eastAsia" w:hAnsi="宋体"/>
                <w:snapToGrid w:val="0"/>
                <w:kern w:val="0"/>
                <w:szCs w:val="21"/>
              </w:rPr>
            </w:pPr>
            <w:bookmarkStart w:id="26" w:name="_Ref38541967"/>
            <w:r>
              <w:rPr>
                <w:rFonts w:hint="eastAsia" w:hAnsi="宋体"/>
              </w:rPr>
              <w:t>图</w:t>
            </w:r>
            <w:r>
              <w:rPr>
                <w:rFonts w:hAnsi="宋体"/>
              </w:rPr>
              <w:fldChar w:fldCharType="begin"/>
            </w:r>
            <w:r>
              <w:rPr>
                <w:rFonts w:hAnsi="宋体"/>
              </w:rPr>
              <w:instrText xml:space="preserve"> </w:instrText>
            </w:r>
            <w:r>
              <w:rPr>
                <w:rFonts w:hint="eastAsia" w:hAnsi="宋体"/>
              </w:rPr>
              <w:instrText xml:space="preserve">SEQ 图 \* ARABIC</w:instrText>
            </w:r>
            <w:r>
              <w:rPr>
                <w:rFonts w:hAnsi="宋体"/>
              </w:rPr>
              <w:instrText xml:space="preserve"> </w:instrText>
            </w:r>
            <w:r>
              <w:rPr>
                <w:rFonts w:hAnsi="宋体"/>
              </w:rPr>
              <w:fldChar w:fldCharType="separate"/>
            </w:r>
            <w:r>
              <w:rPr>
                <w:rFonts w:hint="eastAsia" w:hAnsi="宋体"/>
              </w:rPr>
              <w:t>1</w:t>
            </w:r>
            <w:r>
              <w:rPr>
                <w:rFonts w:hAnsi="宋体"/>
              </w:rPr>
              <w:fldChar w:fldCharType="end"/>
            </w:r>
            <w:bookmarkEnd w:id="26"/>
            <w:r>
              <w:rPr>
                <w:rFonts w:hAnsi="宋体"/>
              </w:rPr>
              <w:t xml:space="preserve">  </w:t>
            </w:r>
            <w:r>
              <w:rPr>
                <w:rFonts w:hAnsi="宋体"/>
                <w:snapToGrid w:val="0"/>
                <w:kern w:val="0"/>
                <w:szCs w:val="21"/>
              </w:rPr>
              <w:t>钻井井</w:t>
            </w:r>
            <w:r>
              <w:rPr>
                <w:rFonts w:hint="eastAsia" w:hAnsi="宋体"/>
                <w:snapToGrid w:val="0"/>
                <w:kern w:val="0"/>
                <w:szCs w:val="21"/>
              </w:rPr>
              <w:t>身结构图</w:t>
            </w:r>
          </w:p>
          <w:p w14:paraId="0763356E">
            <w:pPr>
              <w:pStyle w:val="113"/>
              <w:rPr>
                <w:rFonts w:hint="eastAsia"/>
              </w:rPr>
            </w:pPr>
            <w:r>
              <w:rPr>
                <w:rFonts w:hint="eastAsia"/>
              </w:rPr>
              <w:t>4）钻井主要设备</w:t>
            </w:r>
          </w:p>
          <w:p w14:paraId="04058442">
            <w:pPr>
              <w:pStyle w:val="113"/>
              <w:rPr>
                <w:rFonts w:hint="eastAsia"/>
              </w:rPr>
            </w:pPr>
            <w:r>
              <w:rPr>
                <w:rFonts w:hint="eastAsia"/>
              </w:rPr>
              <w:t>依据钻机负荷的选择原则，本次选用钻井设备为</w:t>
            </w:r>
            <w:r>
              <w:t>50</w:t>
            </w:r>
            <w:r>
              <w:rPr>
                <w:rFonts w:hint="eastAsia"/>
              </w:rPr>
              <w:t>型钻机，钻井主要设备见</w:t>
            </w:r>
            <w:r>
              <w:fldChar w:fldCharType="begin"/>
            </w:r>
            <w:r>
              <w:instrText xml:space="preserve"> </w:instrText>
            </w:r>
            <w:r>
              <w:rPr>
                <w:rFonts w:hint="eastAsia"/>
              </w:rPr>
              <w:instrText xml:space="preserve">REF _Ref138672116 \h</w:instrText>
            </w:r>
            <w:r>
              <w:instrText xml:space="preserve">  \* MERGEFORMAT </w:instrText>
            </w:r>
            <w:r>
              <w:fldChar w:fldCharType="separate"/>
            </w:r>
            <w:r>
              <w:rPr>
                <w:rFonts w:hint="eastAsia"/>
              </w:rPr>
              <w:t>表15</w:t>
            </w:r>
            <w:r>
              <w:fldChar w:fldCharType="end"/>
            </w:r>
            <w:r>
              <w:rPr>
                <w:rFonts w:hint="eastAsia"/>
              </w:rPr>
              <w:t>。</w:t>
            </w:r>
          </w:p>
          <w:p w14:paraId="62AF9827">
            <w:pPr>
              <w:pStyle w:val="12"/>
              <w:spacing w:before="120"/>
              <w:rPr>
                <w:rFonts w:hint="eastAsia" w:hAnsi="宋体"/>
                <w:snapToGrid w:val="0"/>
              </w:rPr>
            </w:pPr>
            <w:bookmarkStart w:id="27" w:name="_Ref138672116"/>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15</w:t>
            </w:r>
            <w:r>
              <w:rPr>
                <w:rFonts w:hAnsi="宋体"/>
              </w:rPr>
              <w:fldChar w:fldCharType="end"/>
            </w:r>
            <w:bookmarkEnd w:id="27"/>
            <w:r>
              <w:rPr>
                <w:rFonts w:hAnsi="宋体"/>
              </w:rPr>
              <w:t xml:space="preserve">  </w:t>
            </w:r>
            <w:r>
              <w:rPr>
                <w:rFonts w:hint="eastAsia" w:hAnsi="宋体"/>
                <w:snapToGrid w:val="0"/>
              </w:rPr>
              <w:t>钻井期主要设备统计表</w:t>
            </w:r>
          </w:p>
          <w:tbl>
            <w:tblPr>
              <w:tblStyle w:val="29"/>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318"/>
              <w:gridCol w:w="4001"/>
              <w:gridCol w:w="1156"/>
              <w:gridCol w:w="735"/>
            </w:tblGrid>
            <w:tr w14:paraId="4E76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1" w:type="pct"/>
                  <w:vAlign w:val="center"/>
                </w:tcPr>
                <w:p w14:paraId="056CECE5">
                  <w:pPr>
                    <w:pStyle w:val="87"/>
                    <w:rPr>
                      <w:rFonts w:hint="eastAsia" w:hAnsi="宋体" w:cs="宋体"/>
                    </w:rPr>
                  </w:pPr>
                  <w:r>
                    <w:rPr>
                      <w:rFonts w:hint="eastAsia" w:hAnsi="宋体" w:cs="宋体"/>
                    </w:rPr>
                    <w:t>序号</w:t>
                  </w:r>
                </w:p>
              </w:tc>
              <w:tc>
                <w:tcPr>
                  <w:tcW w:w="837" w:type="pct"/>
                  <w:vAlign w:val="center"/>
                </w:tcPr>
                <w:p w14:paraId="3EC8CB62">
                  <w:pPr>
                    <w:pStyle w:val="87"/>
                    <w:rPr>
                      <w:rFonts w:hint="eastAsia" w:hAnsi="宋体" w:cs="宋体"/>
                    </w:rPr>
                  </w:pPr>
                  <w:r>
                    <w:rPr>
                      <w:rFonts w:hint="eastAsia" w:hAnsi="宋体" w:cs="宋体"/>
                    </w:rPr>
                    <w:t>设备名称</w:t>
                  </w:r>
                </w:p>
              </w:tc>
              <w:tc>
                <w:tcPr>
                  <w:tcW w:w="2540" w:type="pct"/>
                  <w:vAlign w:val="center"/>
                </w:tcPr>
                <w:p w14:paraId="382F3F4D">
                  <w:pPr>
                    <w:pStyle w:val="87"/>
                    <w:rPr>
                      <w:rFonts w:hint="eastAsia" w:hAnsi="宋体" w:cs="宋体"/>
                    </w:rPr>
                  </w:pPr>
                  <w:r>
                    <w:rPr>
                      <w:rFonts w:hint="eastAsia" w:hAnsi="宋体" w:cs="宋体"/>
                    </w:rPr>
                    <w:t>型号</w:t>
                  </w:r>
                </w:p>
              </w:tc>
              <w:tc>
                <w:tcPr>
                  <w:tcW w:w="734" w:type="pct"/>
                  <w:vAlign w:val="center"/>
                </w:tcPr>
                <w:p w14:paraId="079C3881">
                  <w:pPr>
                    <w:pStyle w:val="87"/>
                    <w:rPr>
                      <w:rFonts w:hint="eastAsia" w:hAnsi="宋体" w:cs="宋体"/>
                    </w:rPr>
                  </w:pPr>
                  <w:r>
                    <w:rPr>
                      <w:rFonts w:hint="eastAsia" w:hAnsi="宋体" w:cs="宋体"/>
                    </w:rPr>
                    <w:t>主要参数</w:t>
                  </w:r>
                </w:p>
              </w:tc>
              <w:tc>
                <w:tcPr>
                  <w:tcW w:w="466" w:type="pct"/>
                  <w:vAlign w:val="center"/>
                </w:tcPr>
                <w:p w14:paraId="0F3063F0">
                  <w:pPr>
                    <w:pStyle w:val="87"/>
                    <w:rPr>
                      <w:rFonts w:hint="eastAsia" w:hAnsi="宋体" w:cs="宋体"/>
                    </w:rPr>
                  </w:pPr>
                  <w:r>
                    <w:rPr>
                      <w:rFonts w:hint="eastAsia" w:hAnsi="宋体" w:cs="宋体"/>
                    </w:rPr>
                    <w:t>备注</w:t>
                  </w:r>
                </w:p>
              </w:tc>
            </w:tr>
            <w:tr w14:paraId="3413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3B0D46EF">
                  <w:pPr>
                    <w:pStyle w:val="87"/>
                    <w:rPr>
                      <w:rFonts w:hint="eastAsia" w:hAnsi="宋体" w:cs="宋体"/>
                    </w:rPr>
                  </w:pPr>
                  <w:r>
                    <w:rPr>
                      <w:rFonts w:hint="eastAsia" w:hAnsi="宋体" w:cs="宋体"/>
                    </w:rPr>
                    <w:t>1</w:t>
                  </w:r>
                </w:p>
              </w:tc>
              <w:tc>
                <w:tcPr>
                  <w:tcW w:w="837" w:type="pct"/>
                  <w:vAlign w:val="center"/>
                </w:tcPr>
                <w:p w14:paraId="07671F09">
                  <w:pPr>
                    <w:pStyle w:val="87"/>
                    <w:rPr>
                      <w:rFonts w:hint="eastAsia" w:hAnsi="宋体" w:cs="宋体"/>
                    </w:rPr>
                  </w:pPr>
                  <w:r>
                    <w:rPr>
                      <w:rFonts w:hint="eastAsia" w:hAnsi="宋体" w:cs="宋体"/>
                    </w:rPr>
                    <w:t>天车</w:t>
                  </w:r>
                </w:p>
              </w:tc>
              <w:tc>
                <w:tcPr>
                  <w:tcW w:w="2540" w:type="pct"/>
                  <w:vAlign w:val="center"/>
                </w:tcPr>
                <w:p w14:paraId="1A1E5871">
                  <w:pPr>
                    <w:pStyle w:val="87"/>
                    <w:rPr>
                      <w:rFonts w:hint="eastAsia" w:hAnsi="宋体" w:cs="宋体"/>
                    </w:rPr>
                  </w:pPr>
                  <w:r>
                    <w:rPr>
                      <w:rFonts w:hint="eastAsia" w:hAnsi="宋体" w:cs="宋体"/>
                    </w:rPr>
                    <w:t>最大静负荷3150kN</w:t>
                  </w:r>
                </w:p>
              </w:tc>
              <w:tc>
                <w:tcPr>
                  <w:tcW w:w="734" w:type="pct"/>
                  <w:vAlign w:val="center"/>
                </w:tcPr>
                <w:p w14:paraId="1933950F">
                  <w:pPr>
                    <w:pStyle w:val="87"/>
                    <w:rPr>
                      <w:rFonts w:hint="eastAsia" w:hAnsi="宋体" w:cs="宋体"/>
                    </w:rPr>
                  </w:pPr>
                  <w:r>
                    <w:rPr>
                      <w:rFonts w:hint="eastAsia" w:hAnsi="宋体" w:cs="宋体"/>
                    </w:rPr>
                    <w:t>台</w:t>
                  </w:r>
                </w:p>
              </w:tc>
              <w:tc>
                <w:tcPr>
                  <w:tcW w:w="466" w:type="pct"/>
                  <w:vAlign w:val="center"/>
                </w:tcPr>
                <w:p w14:paraId="6AEA2827">
                  <w:pPr>
                    <w:pStyle w:val="87"/>
                    <w:rPr>
                      <w:rFonts w:hint="eastAsia" w:hAnsi="宋体" w:cs="宋体"/>
                    </w:rPr>
                  </w:pPr>
                  <w:r>
                    <w:rPr>
                      <w:rFonts w:hint="eastAsia" w:hAnsi="宋体" w:cs="宋体"/>
                    </w:rPr>
                    <w:t>1</w:t>
                  </w:r>
                </w:p>
              </w:tc>
            </w:tr>
            <w:tr w14:paraId="7152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656AD96F">
                  <w:pPr>
                    <w:pStyle w:val="87"/>
                    <w:rPr>
                      <w:rFonts w:hint="eastAsia" w:hAnsi="宋体" w:cs="宋体"/>
                    </w:rPr>
                  </w:pPr>
                  <w:r>
                    <w:rPr>
                      <w:rFonts w:hint="eastAsia" w:hAnsi="宋体" w:cs="宋体"/>
                    </w:rPr>
                    <w:t>2</w:t>
                  </w:r>
                </w:p>
              </w:tc>
              <w:tc>
                <w:tcPr>
                  <w:tcW w:w="837" w:type="pct"/>
                  <w:vAlign w:val="center"/>
                </w:tcPr>
                <w:p w14:paraId="4F245DFA">
                  <w:pPr>
                    <w:pStyle w:val="87"/>
                    <w:rPr>
                      <w:rFonts w:hint="eastAsia" w:hAnsi="宋体" w:cs="宋体"/>
                    </w:rPr>
                  </w:pPr>
                  <w:r>
                    <w:rPr>
                      <w:rFonts w:hint="eastAsia" w:hAnsi="宋体" w:cs="宋体"/>
                    </w:rPr>
                    <w:t>游车大钩</w:t>
                  </w:r>
                </w:p>
              </w:tc>
              <w:tc>
                <w:tcPr>
                  <w:tcW w:w="2540" w:type="pct"/>
                  <w:vAlign w:val="center"/>
                </w:tcPr>
                <w:p w14:paraId="413613D1">
                  <w:pPr>
                    <w:pStyle w:val="87"/>
                    <w:rPr>
                      <w:rFonts w:hint="eastAsia" w:hAnsi="宋体" w:cs="宋体"/>
                    </w:rPr>
                  </w:pPr>
                  <w:r>
                    <w:rPr>
                      <w:rFonts w:hint="eastAsia" w:hAnsi="宋体" w:cs="宋体"/>
                    </w:rPr>
                    <w:t>最大钩载3150kN</w:t>
                  </w:r>
                </w:p>
              </w:tc>
              <w:tc>
                <w:tcPr>
                  <w:tcW w:w="734" w:type="pct"/>
                  <w:vAlign w:val="center"/>
                </w:tcPr>
                <w:p w14:paraId="52A30427">
                  <w:pPr>
                    <w:pStyle w:val="87"/>
                    <w:rPr>
                      <w:rFonts w:hint="eastAsia" w:hAnsi="宋体" w:cs="宋体"/>
                    </w:rPr>
                  </w:pPr>
                  <w:r>
                    <w:rPr>
                      <w:rFonts w:hint="eastAsia" w:hAnsi="宋体" w:cs="宋体"/>
                    </w:rPr>
                    <w:t>台</w:t>
                  </w:r>
                </w:p>
              </w:tc>
              <w:tc>
                <w:tcPr>
                  <w:tcW w:w="466" w:type="pct"/>
                  <w:vAlign w:val="center"/>
                </w:tcPr>
                <w:p w14:paraId="52E33418">
                  <w:pPr>
                    <w:pStyle w:val="87"/>
                    <w:rPr>
                      <w:rFonts w:hint="eastAsia" w:hAnsi="宋体" w:cs="宋体"/>
                    </w:rPr>
                  </w:pPr>
                  <w:r>
                    <w:rPr>
                      <w:rFonts w:hint="eastAsia" w:hAnsi="宋体" w:cs="宋体"/>
                    </w:rPr>
                    <w:t>1</w:t>
                  </w:r>
                </w:p>
              </w:tc>
            </w:tr>
            <w:tr w14:paraId="3BBD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7E70A1E3">
                  <w:pPr>
                    <w:pStyle w:val="87"/>
                    <w:rPr>
                      <w:rFonts w:hint="eastAsia" w:hAnsi="宋体" w:cs="宋体"/>
                    </w:rPr>
                  </w:pPr>
                  <w:r>
                    <w:rPr>
                      <w:rFonts w:hint="eastAsia" w:hAnsi="宋体" w:cs="宋体"/>
                    </w:rPr>
                    <w:t>3</w:t>
                  </w:r>
                </w:p>
              </w:tc>
              <w:tc>
                <w:tcPr>
                  <w:tcW w:w="837" w:type="pct"/>
                  <w:vAlign w:val="center"/>
                </w:tcPr>
                <w:p w14:paraId="41FF6FD6">
                  <w:pPr>
                    <w:pStyle w:val="87"/>
                    <w:rPr>
                      <w:rFonts w:hint="eastAsia" w:hAnsi="宋体" w:cs="宋体"/>
                    </w:rPr>
                  </w:pPr>
                  <w:r>
                    <w:rPr>
                      <w:rFonts w:hint="eastAsia" w:hAnsi="宋体" w:cs="宋体"/>
                    </w:rPr>
                    <w:t>水龙头</w:t>
                  </w:r>
                </w:p>
              </w:tc>
              <w:tc>
                <w:tcPr>
                  <w:tcW w:w="2540" w:type="pct"/>
                  <w:vAlign w:val="center"/>
                </w:tcPr>
                <w:p w14:paraId="7F722DA5">
                  <w:pPr>
                    <w:pStyle w:val="87"/>
                    <w:rPr>
                      <w:rFonts w:hint="eastAsia" w:hAnsi="宋体" w:cs="宋体"/>
                    </w:rPr>
                  </w:pPr>
                  <w:r>
                    <w:rPr>
                      <w:rFonts w:hint="eastAsia" w:hAnsi="宋体" w:cs="宋体"/>
                    </w:rPr>
                    <w:t>最大静负荷4500kN，最高工作压力34MPa，中心管内径75mm</w:t>
                  </w:r>
                </w:p>
              </w:tc>
              <w:tc>
                <w:tcPr>
                  <w:tcW w:w="734" w:type="pct"/>
                  <w:vAlign w:val="center"/>
                </w:tcPr>
                <w:p w14:paraId="5A4E0907">
                  <w:pPr>
                    <w:pStyle w:val="87"/>
                    <w:rPr>
                      <w:rFonts w:hint="eastAsia" w:hAnsi="宋体" w:cs="宋体"/>
                    </w:rPr>
                  </w:pPr>
                  <w:r>
                    <w:rPr>
                      <w:rFonts w:hint="eastAsia" w:hAnsi="宋体" w:cs="宋体"/>
                    </w:rPr>
                    <w:t>台</w:t>
                  </w:r>
                </w:p>
              </w:tc>
              <w:tc>
                <w:tcPr>
                  <w:tcW w:w="466" w:type="pct"/>
                  <w:vAlign w:val="center"/>
                </w:tcPr>
                <w:p w14:paraId="7EBD3592">
                  <w:pPr>
                    <w:pStyle w:val="87"/>
                    <w:rPr>
                      <w:rFonts w:hint="eastAsia" w:hAnsi="宋体" w:cs="宋体"/>
                    </w:rPr>
                  </w:pPr>
                  <w:r>
                    <w:rPr>
                      <w:rFonts w:hint="eastAsia" w:hAnsi="宋体" w:cs="宋体"/>
                    </w:rPr>
                    <w:t>1</w:t>
                  </w:r>
                </w:p>
              </w:tc>
            </w:tr>
            <w:tr w14:paraId="73F8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5EE93819">
                  <w:pPr>
                    <w:pStyle w:val="87"/>
                    <w:rPr>
                      <w:rFonts w:hint="eastAsia" w:hAnsi="宋体" w:cs="宋体"/>
                    </w:rPr>
                  </w:pPr>
                  <w:r>
                    <w:rPr>
                      <w:rFonts w:hint="eastAsia" w:hAnsi="宋体" w:cs="宋体"/>
                    </w:rPr>
                    <w:t>4</w:t>
                  </w:r>
                </w:p>
              </w:tc>
              <w:tc>
                <w:tcPr>
                  <w:tcW w:w="837" w:type="pct"/>
                  <w:vAlign w:val="center"/>
                </w:tcPr>
                <w:p w14:paraId="3419FFD5">
                  <w:pPr>
                    <w:pStyle w:val="87"/>
                    <w:rPr>
                      <w:rFonts w:hint="eastAsia" w:hAnsi="宋体" w:cs="宋体"/>
                    </w:rPr>
                  </w:pPr>
                  <w:r>
                    <w:rPr>
                      <w:rFonts w:hint="eastAsia" w:hAnsi="宋体" w:cs="宋体"/>
                    </w:rPr>
                    <w:t>转 盘</w:t>
                  </w:r>
                </w:p>
              </w:tc>
              <w:tc>
                <w:tcPr>
                  <w:tcW w:w="2540" w:type="pct"/>
                  <w:vAlign w:val="center"/>
                </w:tcPr>
                <w:p w14:paraId="647865AB">
                  <w:pPr>
                    <w:pStyle w:val="87"/>
                    <w:rPr>
                      <w:rFonts w:hint="eastAsia" w:hAnsi="宋体" w:cs="宋体"/>
                    </w:rPr>
                  </w:pPr>
                  <w:r>
                    <w:rPr>
                      <w:rFonts w:hint="eastAsia" w:hAnsi="宋体" w:cs="宋体"/>
                    </w:rPr>
                    <w:t>最大静负荷与通孔直径分别为：4500kN，700mm</w:t>
                  </w:r>
                </w:p>
              </w:tc>
              <w:tc>
                <w:tcPr>
                  <w:tcW w:w="734" w:type="pct"/>
                  <w:vAlign w:val="center"/>
                </w:tcPr>
                <w:p w14:paraId="79E14269">
                  <w:pPr>
                    <w:pStyle w:val="87"/>
                    <w:rPr>
                      <w:rFonts w:hint="eastAsia" w:hAnsi="宋体" w:cs="宋体"/>
                    </w:rPr>
                  </w:pPr>
                  <w:r>
                    <w:rPr>
                      <w:rFonts w:hint="eastAsia" w:hAnsi="宋体" w:cs="宋体"/>
                    </w:rPr>
                    <w:t>台</w:t>
                  </w:r>
                </w:p>
              </w:tc>
              <w:tc>
                <w:tcPr>
                  <w:tcW w:w="466" w:type="pct"/>
                  <w:vAlign w:val="center"/>
                </w:tcPr>
                <w:p w14:paraId="51BDA88F">
                  <w:pPr>
                    <w:pStyle w:val="87"/>
                    <w:rPr>
                      <w:rFonts w:hint="eastAsia" w:hAnsi="宋体" w:cs="宋体"/>
                    </w:rPr>
                  </w:pPr>
                  <w:r>
                    <w:rPr>
                      <w:rFonts w:hint="eastAsia" w:hAnsi="宋体" w:cs="宋体"/>
                    </w:rPr>
                    <w:t>1</w:t>
                  </w:r>
                </w:p>
              </w:tc>
            </w:tr>
            <w:tr w14:paraId="1C57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1A3631BE">
                  <w:pPr>
                    <w:pStyle w:val="87"/>
                    <w:rPr>
                      <w:rFonts w:hint="eastAsia" w:hAnsi="宋体" w:cs="宋体"/>
                    </w:rPr>
                  </w:pPr>
                  <w:r>
                    <w:rPr>
                      <w:rFonts w:hint="eastAsia" w:hAnsi="宋体" w:cs="宋体"/>
                    </w:rPr>
                    <w:t>5</w:t>
                  </w:r>
                </w:p>
              </w:tc>
              <w:tc>
                <w:tcPr>
                  <w:tcW w:w="837" w:type="pct"/>
                  <w:vAlign w:val="center"/>
                </w:tcPr>
                <w:p w14:paraId="2C1F1812">
                  <w:pPr>
                    <w:pStyle w:val="87"/>
                    <w:rPr>
                      <w:rFonts w:hint="eastAsia" w:hAnsi="宋体" w:cs="宋体"/>
                    </w:rPr>
                  </w:pPr>
                  <w:r>
                    <w:rPr>
                      <w:rFonts w:hint="eastAsia" w:hAnsi="宋体" w:cs="宋体"/>
                    </w:rPr>
                    <w:t>绞车</w:t>
                  </w:r>
                </w:p>
              </w:tc>
              <w:tc>
                <w:tcPr>
                  <w:tcW w:w="2540" w:type="pct"/>
                  <w:vAlign w:val="center"/>
                </w:tcPr>
                <w:p w14:paraId="3FEB4068">
                  <w:pPr>
                    <w:pStyle w:val="87"/>
                    <w:rPr>
                      <w:rFonts w:hint="eastAsia" w:hAnsi="宋体" w:cs="宋体"/>
                    </w:rPr>
                  </w:pPr>
                  <w:r>
                    <w:rPr>
                      <w:rFonts w:hint="eastAsia" w:hAnsi="宋体" w:cs="宋体"/>
                    </w:rPr>
                    <w:t>额定输入功率1100kW，最大快绳拉力 350kN</w:t>
                  </w:r>
                </w:p>
              </w:tc>
              <w:tc>
                <w:tcPr>
                  <w:tcW w:w="734" w:type="pct"/>
                  <w:vAlign w:val="center"/>
                </w:tcPr>
                <w:p w14:paraId="3F12B5C4">
                  <w:pPr>
                    <w:pStyle w:val="87"/>
                    <w:rPr>
                      <w:rFonts w:hint="eastAsia" w:hAnsi="宋体" w:cs="宋体"/>
                    </w:rPr>
                  </w:pPr>
                  <w:r>
                    <w:rPr>
                      <w:rFonts w:hint="eastAsia" w:hAnsi="宋体" w:cs="宋体"/>
                    </w:rPr>
                    <w:t>台</w:t>
                  </w:r>
                </w:p>
              </w:tc>
              <w:tc>
                <w:tcPr>
                  <w:tcW w:w="466" w:type="pct"/>
                  <w:vAlign w:val="center"/>
                </w:tcPr>
                <w:p w14:paraId="4BD3EDD4">
                  <w:pPr>
                    <w:pStyle w:val="87"/>
                    <w:rPr>
                      <w:rFonts w:hint="eastAsia" w:hAnsi="宋体" w:cs="宋体"/>
                    </w:rPr>
                  </w:pPr>
                  <w:r>
                    <w:rPr>
                      <w:rFonts w:hint="eastAsia" w:hAnsi="宋体" w:cs="宋体"/>
                    </w:rPr>
                    <w:t>1</w:t>
                  </w:r>
                </w:p>
              </w:tc>
            </w:tr>
            <w:tr w14:paraId="6B94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6D3D9254">
                  <w:pPr>
                    <w:pStyle w:val="87"/>
                    <w:rPr>
                      <w:rFonts w:hint="eastAsia" w:hAnsi="宋体" w:cs="宋体"/>
                    </w:rPr>
                  </w:pPr>
                  <w:r>
                    <w:rPr>
                      <w:rFonts w:hint="eastAsia" w:hAnsi="宋体" w:cs="宋体"/>
                    </w:rPr>
                    <w:t>6</w:t>
                  </w:r>
                </w:p>
              </w:tc>
              <w:tc>
                <w:tcPr>
                  <w:tcW w:w="837" w:type="pct"/>
                  <w:vAlign w:val="center"/>
                </w:tcPr>
                <w:p w14:paraId="6E23A4C3">
                  <w:pPr>
                    <w:pStyle w:val="87"/>
                    <w:rPr>
                      <w:rFonts w:hint="eastAsia" w:hAnsi="宋体" w:cs="宋体"/>
                    </w:rPr>
                  </w:pPr>
                  <w:r>
                    <w:rPr>
                      <w:rFonts w:hint="eastAsia" w:hAnsi="宋体" w:cs="宋体"/>
                    </w:rPr>
                    <w:t>井架</w:t>
                  </w:r>
                </w:p>
              </w:tc>
              <w:tc>
                <w:tcPr>
                  <w:tcW w:w="2540" w:type="pct"/>
                  <w:vAlign w:val="center"/>
                </w:tcPr>
                <w:p w14:paraId="6874BD9B">
                  <w:pPr>
                    <w:pStyle w:val="87"/>
                    <w:rPr>
                      <w:rFonts w:hint="eastAsia" w:hAnsi="宋体" w:cs="宋体"/>
                    </w:rPr>
                  </w:pPr>
                  <w:r>
                    <w:rPr>
                      <w:rFonts w:hint="eastAsia" w:hAnsi="宋体" w:cs="宋体"/>
                    </w:rPr>
                    <w:t>最大静负荷3150kN</w:t>
                  </w:r>
                </w:p>
              </w:tc>
              <w:tc>
                <w:tcPr>
                  <w:tcW w:w="734" w:type="pct"/>
                  <w:vAlign w:val="center"/>
                </w:tcPr>
                <w:p w14:paraId="619ACB62">
                  <w:pPr>
                    <w:pStyle w:val="87"/>
                    <w:rPr>
                      <w:rFonts w:hint="eastAsia" w:hAnsi="宋体" w:cs="宋体"/>
                    </w:rPr>
                  </w:pPr>
                  <w:r>
                    <w:rPr>
                      <w:rFonts w:hint="eastAsia" w:hAnsi="宋体" w:cs="宋体"/>
                    </w:rPr>
                    <w:t>套</w:t>
                  </w:r>
                </w:p>
              </w:tc>
              <w:tc>
                <w:tcPr>
                  <w:tcW w:w="466" w:type="pct"/>
                  <w:vAlign w:val="center"/>
                </w:tcPr>
                <w:p w14:paraId="0A7953E9">
                  <w:pPr>
                    <w:pStyle w:val="87"/>
                    <w:rPr>
                      <w:rFonts w:hint="eastAsia" w:hAnsi="宋体" w:cs="宋体"/>
                    </w:rPr>
                  </w:pPr>
                  <w:r>
                    <w:rPr>
                      <w:rFonts w:hint="eastAsia" w:hAnsi="宋体" w:cs="宋体"/>
                    </w:rPr>
                    <w:t>1</w:t>
                  </w:r>
                </w:p>
              </w:tc>
            </w:tr>
            <w:tr w14:paraId="5E5E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42EE23DE">
                  <w:pPr>
                    <w:pStyle w:val="87"/>
                    <w:rPr>
                      <w:rFonts w:hint="eastAsia" w:hAnsi="宋体" w:cs="宋体"/>
                    </w:rPr>
                  </w:pPr>
                  <w:r>
                    <w:rPr>
                      <w:rFonts w:hint="eastAsia" w:hAnsi="宋体" w:cs="宋体"/>
                    </w:rPr>
                    <w:t>7</w:t>
                  </w:r>
                </w:p>
              </w:tc>
              <w:tc>
                <w:tcPr>
                  <w:tcW w:w="837" w:type="pct"/>
                  <w:vAlign w:val="center"/>
                </w:tcPr>
                <w:p w14:paraId="44E2DCFB">
                  <w:pPr>
                    <w:pStyle w:val="87"/>
                    <w:rPr>
                      <w:rFonts w:hint="eastAsia" w:hAnsi="宋体" w:cs="宋体"/>
                    </w:rPr>
                  </w:pPr>
                  <w:r>
                    <w:rPr>
                      <w:rFonts w:hint="eastAsia" w:hAnsi="宋体" w:cs="宋体"/>
                    </w:rPr>
                    <w:t>井架底座</w:t>
                  </w:r>
                </w:p>
              </w:tc>
              <w:tc>
                <w:tcPr>
                  <w:tcW w:w="2540" w:type="pct"/>
                  <w:vAlign w:val="center"/>
                </w:tcPr>
                <w:p w14:paraId="4E446126">
                  <w:pPr>
                    <w:pStyle w:val="87"/>
                    <w:rPr>
                      <w:rFonts w:hint="eastAsia" w:hAnsi="宋体" w:cs="宋体"/>
                    </w:rPr>
                  </w:pPr>
                  <w:r>
                    <w:rPr>
                      <w:rFonts w:hint="eastAsia" w:hAnsi="宋体" w:cs="宋体"/>
                    </w:rPr>
                    <w:t>钻台面高度≥7.5m，转盘梁最大静载荷3150kN</w:t>
                  </w:r>
                </w:p>
              </w:tc>
              <w:tc>
                <w:tcPr>
                  <w:tcW w:w="734" w:type="pct"/>
                  <w:vAlign w:val="center"/>
                </w:tcPr>
                <w:p w14:paraId="304FD216">
                  <w:pPr>
                    <w:pStyle w:val="87"/>
                    <w:rPr>
                      <w:rFonts w:hint="eastAsia" w:hAnsi="宋体" w:cs="宋体"/>
                    </w:rPr>
                  </w:pPr>
                  <w:r>
                    <w:rPr>
                      <w:rFonts w:hint="eastAsia" w:hAnsi="宋体" w:cs="宋体"/>
                    </w:rPr>
                    <w:t>套</w:t>
                  </w:r>
                </w:p>
              </w:tc>
              <w:tc>
                <w:tcPr>
                  <w:tcW w:w="466" w:type="pct"/>
                  <w:vAlign w:val="center"/>
                </w:tcPr>
                <w:p w14:paraId="013B6353">
                  <w:pPr>
                    <w:pStyle w:val="87"/>
                    <w:rPr>
                      <w:rFonts w:hint="eastAsia" w:hAnsi="宋体" w:cs="宋体"/>
                    </w:rPr>
                  </w:pPr>
                  <w:r>
                    <w:rPr>
                      <w:rFonts w:hint="eastAsia" w:hAnsi="宋体" w:cs="宋体"/>
                    </w:rPr>
                    <w:t>1</w:t>
                  </w:r>
                </w:p>
              </w:tc>
            </w:tr>
            <w:tr w14:paraId="51B9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580B885F">
                  <w:pPr>
                    <w:pStyle w:val="87"/>
                    <w:rPr>
                      <w:rFonts w:hint="eastAsia" w:hAnsi="宋体" w:cs="宋体"/>
                    </w:rPr>
                  </w:pPr>
                  <w:r>
                    <w:rPr>
                      <w:rFonts w:hint="eastAsia" w:hAnsi="宋体" w:cs="宋体"/>
                    </w:rPr>
                    <w:t>8</w:t>
                  </w:r>
                </w:p>
              </w:tc>
              <w:tc>
                <w:tcPr>
                  <w:tcW w:w="837" w:type="pct"/>
                  <w:vAlign w:val="center"/>
                </w:tcPr>
                <w:p w14:paraId="4D7B8C5D">
                  <w:pPr>
                    <w:pStyle w:val="87"/>
                    <w:rPr>
                      <w:rFonts w:hint="eastAsia" w:hAnsi="宋体" w:cs="宋体"/>
                    </w:rPr>
                  </w:pPr>
                  <w:r>
                    <w:rPr>
                      <w:rFonts w:hint="eastAsia" w:hAnsi="宋体" w:cs="宋体"/>
                    </w:rPr>
                    <w:t>动力系统</w:t>
                  </w:r>
                </w:p>
              </w:tc>
              <w:tc>
                <w:tcPr>
                  <w:tcW w:w="2540" w:type="pct"/>
                  <w:vAlign w:val="center"/>
                </w:tcPr>
                <w:p w14:paraId="17C49C30">
                  <w:pPr>
                    <w:pStyle w:val="87"/>
                    <w:rPr>
                      <w:rFonts w:hint="eastAsia" w:hAnsi="宋体" w:cs="宋体"/>
                    </w:rPr>
                  </w:pPr>
                  <w:r>
                    <w:rPr>
                      <w:rFonts w:hint="eastAsia" w:hAnsi="宋体" w:cs="宋体"/>
                    </w:rPr>
                    <w:t>柴油机或柴油发电机组单台功率不小于800kW</w:t>
                  </w:r>
                </w:p>
              </w:tc>
              <w:tc>
                <w:tcPr>
                  <w:tcW w:w="734" w:type="pct"/>
                  <w:vAlign w:val="center"/>
                </w:tcPr>
                <w:p w14:paraId="6CA88D17">
                  <w:pPr>
                    <w:pStyle w:val="87"/>
                    <w:rPr>
                      <w:rFonts w:hint="eastAsia" w:hAnsi="宋体" w:cs="宋体"/>
                    </w:rPr>
                  </w:pPr>
                  <w:r>
                    <w:rPr>
                      <w:rFonts w:hint="eastAsia" w:hAnsi="宋体" w:cs="宋体"/>
                    </w:rPr>
                    <w:t>台</w:t>
                  </w:r>
                </w:p>
              </w:tc>
              <w:tc>
                <w:tcPr>
                  <w:tcW w:w="466" w:type="pct"/>
                  <w:vAlign w:val="center"/>
                </w:tcPr>
                <w:p w14:paraId="19399947">
                  <w:pPr>
                    <w:pStyle w:val="87"/>
                    <w:rPr>
                      <w:rFonts w:hint="eastAsia" w:hAnsi="宋体" w:cs="宋体"/>
                    </w:rPr>
                  </w:pPr>
                  <w:r>
                    <w:rPr>
                      <w:rFonts w:hint="eastAsia" w:hAnsi="宋体" w:cs="宋体"/>
                    </w:rPr>
                    <w:t>3</w:t>
                  </w:r>
                </w:p>
              </w:tc>
            </w:tr>
            <w:tr w14:paraId="5640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675BC5B3">
                  <w:pPr>
                    <w:pStyle w:val="87"/>
                    <w:rPr>
                      <w:rFonts w:hint="eastAsia" w:hAnsi="宋体" w:cs="宋体"/>
                    </w:rPr>
                  </w:pPr>
                  <w:r>
                    <w:rPr>
                      <w:rFonts w:hint="eastAsia" w:hAnsi="宋体" w:cs="宋体"/>
                    </w:rPr>
                    <w:t>9</w:t>
                  </w:r>
                </w:p>
              </w:tc>
              <w:tc>
                <w:tcPr>
                  <w:tcW w:w="837" w:type="pct"/>
                  <w:vAlign w:val="center"/>
                </w:tcPr>
                <w:p w14:paraId="46BC45CF">
                  <w:pPr>
                    <w:pStyle w:val="87"/>
                    <w:rPr>
                      <w:rFonts w:hint="eastAsia" w:hAnsi="宋体" w:cs="宋体"/>
                    </w:rPr>
                  </w:pPr>
                  <w:r>
                    <w:rPr>
                      <w:rFonts w:hint="eastAsia" w:hAnsi="宋体" w:cs="宋体"/>
                    </w:rPr>
                    <w:t>泥浆泵</w:t>
                  </w:r>
                </w:p>
              </w:tc>
              <w:tc>
                <w:tcPr>
                  <w:tcW w:w="2540" w:type="pct"/>
                  <w:vAlign w:val="center"/>
                </w:tcPr>
                <w:p w14:paraId="3FCEF19D">
                  <w:pPr>
                    <w:pStyle w:val="87"/>
                    <w:rPr>
                      <w:rFonts w:hint="eastAsia" w:hAnsi="宋体" w:cs="宋体"/>
                    </w:rPr>
                  </w:pPr>
                  <w:r>
                    <w:rPr>
                      <w:rFonts w:hint="eastAsia" w:hAnsi="宋体" w:cs="宋体"/>
                    </w:rPr>
                    <w:t>单台功率不小于960kW（1300HP），最大泵压35MPa</w:t>
                  </w:r>
                </w:p>
              </w:tc>
              <w:tc>
                <w:tcPr>
                  <w:tcW w:w="734" w:type="pct"/>
                  <w:vAlign w:val="center"/>
                </w:tcPr>
                <w:p w14:paraId="0117DE98">
                  <w:pPr>
                    <w:pStyle w:val="87"/>
                    <w:rPr>
                      <w:rFonts w:hint="eastAsia" w:hAnsi="宋体" w:cs="宋体"/>
                    </w:rPr>
                  </w:pPr>
                  <w:r>
                    <w:rPr>
                      <w:rFonts w:hint="eastAsia" w:hAnsi="宋体" w:cs="宋体"/>
                    </w:rPr>
                    <w:t>台</w:t>
                  </w:r>
                </w:p>
              </w:tc>
              <w:tc>
                <w:tcPr>
                  <w:tcW w:w="466" w:type="pct"/>
                  <w:vAlign w:val="center"/>
                </w:tcPr>
                <w:p w14:paraId="0BC3166F">
                  <w:pPr>
                    <w:pStyle w:val="87"/>
                    <w:rPr>
                      <w:rFonts w:hint="eastAsia" w:hAnsi="宋体" w:cs="宋体"/>
                    </w:rPr>
                  </w:pPr>
                  <w:r>
                    <w:rPr>
                      <w:rFonts w:hint="eastAsia" w:hAnsi="宋体" w:cs="宋体"/>
                    </w:rPr>
                    <w:t>2</w:t>
                  </w:r>
                </w:p>
              </w:tc>
            </w:tr>
            <w:tr w14:paraId="6C10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7C4C031C">
                  <w:pPr>
                    <w:pStyle w:val="87"/>
                    <w:rPr>
                      <w:rFonts w:hint="eastAsia" w:hAnsi="宋体" w:cs="宋体"/>
                    </w:rPr>
                  </w:pPr>
                  <w:r>
                    <w:rPr>
                      <w:rFonts w:hint="eastAsia" w:hAnsi="宋体" w:cs="宋体"/>
                    </w:rPr>
                    <w:t>10</w:t>
                  </w:r>
                </w:p>
              </w:tc>
              <w:tc>
                <w:tcPr>
                  <w:tcW w:w="837" w:type="pct"/>
                  <w:vAlign w:val="center"/>
                </w:tcPr>
                <w:p w14:paraId="0B203F6A">
                  <w:pPr>
                    <w:pStyle w:val="87"/>
                    <w:rPr>
                      <w:rFonts w:hint="eastAsia" w:hAnsi="宋体" w:cs="宋体"/>
                    </w:rPr>
                  </w:pPr>
                  <w:r>
                    <w:rPr>
                      <w:rFonts w:hint="eastAsia" w:hAnsi="宋体" w:cs="宋体"/>
                    </w:rPr>
                    <w:t>钻井液</w:t>
                  </w:r>
                </w:p>
                <w:p w14:paraId="6F2D6AE5">
                  <w:pPr>
                    <w:pStyle w:val="87"/>
                    <w:rPr>
                      <w:rFonts w:hint="eastAsia" w:hAnsi="宋体" w:cs="宋体"/>
                    </w:rPr>
                  </w:pPr>
                  <w:r>
                    <w:rPr>
                      <w:rFonts w:hint="eastAsia" w:hAnsi="宋体" w:cs="宋体"/>
                    </w:rPr>
                    <w:t>循环罐</w:t>
                  </w:r>
                </w:p>
              </w:tc>
              <w:tc>
                <w:tcPr>
                  <w:tcW w:w="2540" w:type="pct"/>
                  <w:vAlign w:val="center"/>
                </w:tcPr>
                <w:p w14:paraId="3C6AC588">
                  <w:pPr>
                    <w:pStyle w:val="87"/>
                    <w:rPr>
                      <w:rFonts w:hint="eastAsia" w:hAnsi="宋体" w:cs="宋体"/>
                    </w:rPr>
                  </w:pPr>
                  <w:r>
                    <w:rPr>
                      <w:rFonts w:hint="eastAsia" w:hAnsi="宋体" w:cs="宋体"/>
                    </w:rPr>
                    <w:t>含搅拌机，单罐有效容积不小于30m</w:t>
                  </w:r>
                  <w:r>
                    <w:rPr>
                      <w:rFonts w:hint="eastAsia" w:hAnsi="宋体" w:cs="宋体"/>
                      <w:vertAlign w:val="superscript"/>
                    </w:rPr>
                    <w:t>3</w:t>
                  </w:r>
                  <w:r>
                    <w:rPr>
                      <w:rFonts w:hint="eastAsia" w:hAnsi="宋体" w:cs="宋体"/>
                    </w:rPr>
                    <w:t xml:space="preserve">， </w:t>
                  </w:r>
                </w:p>
              </w:tc>
              <w:tc>
                <w:tcPr>
                  <w:tcW w:w="734" w:type="pct"/>
                  <w:vAlign w:val="center"/>
                </w:tcPr>
                <w:p w14:paraId="6728D370">
                  <w:pPr>
                    <w:pStyle w:val="87"/>
                    <w:rPr>
                      <w:rFonts w:hint="eastAsia" w:hAnsi="宋体" w:cs="宋体"/>
                    </w:rPr>
                  </w:pPr>
                  <w:r>
                    <w:rPr>
                      <w:rFonts w:hint="eastAsia" w:hAnsi="宋体" w:cs="宋体"/>
                    </w:rPr>
                    <w:t>个</w:t>
                  </w:r>
                </w:p>
              </w:tc>
              <w:tc>
                <w:tcPr>
                  <w:tcW w:w="466" w:type="pct"/>
                  <w:vAlign w:val="center"/>
                </w:tcPr>
                <w:p w14:paraId="24445225">
                  <w:pPr>
                    <w:pStyle w:val="87"/>
                    <w:rPr>
                      <w:rFonts w:hint="eastAsia" w:hAnsi="宋体" w:cs="宋体"/>
                    </w:rPr>
                  </w:pPr>
                  <w:r>
                    <w:rPr>
                      <w:rFonts w:hint="eastAsia" w:hAnsi="宋体" w:cs="宋体"/>
                    </w:rPr>
                    <w:t>4</w:t>
                  </w:r>
                </w:p>
              </w:tc>
            </w:tr>
            <w:tr w14:paraId="00C5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4215844C">
                  <w:pPr>
                    <w:pStyle w:val="87"/>
                    <w:rPr>
                      <w:rFonts w:hint="eastAsia" w:hAnsi="宋体" w:cs="宋体"/>
                    </w:rPr>
                  </w:pPr>
                  <w:r>
                    <w:rPr>
                      <w:rFonts w:hint="eastAsia" w:hAnsi="宋体" w:cs="宋体"/>
                    </w:rPr>
                    <w:t>11</w:t>
                  </w:r>
                </w:p>
              </w:tc>
              <w:tc>
                <w:tcPr>
                  <w:tcW w:w="837" w:type="pct"/>
                  <w:vAlign w:val="center"/>
                </w:tcPr>
                <w:p w14:paraId="4E812A8E">
                  <w:pPr>
                    <w:pStyle w:val="87"/>
                    <w:rPr>
                      <w:rFonts w:hint="eastAsia" w:hAnsi="宋体" w:cs="宋体"/>
                    </w:rPr>
                  </w:pPr>
                  <w:r>
                    <w:rPr>
                      <w:rFonts w:hint="eastAsia" w:hAnsi="宋体" w:cs="宋体"/>
                    </w:rPr>
                    <w:t>振动筛</w:t>
                  </w:r>
                </w:p>
              </w:tc>
              <w:tc>
                <w:tcPr>
                  <w:tcW w:w="2540" w:type="pct"/>
                  <w:vAlign w:val="center"/>
                </w:tcPr>
                <w:p w14:paraId="4C4A6659">
                  <w:pPr>
                    <w:pStyle w:val="87"/>
                    <w:rPr>
                      <w:rFonts w:hint="eastAsia" w:hAnsi="宋体" w:cs="宋体"/>
                    </w:rPr>
                  </w:pPr>
                </w:p>
              </w:tc>
              <w:tc>
                <w:tcPr>
                  <w:tcW w:w="734" w:type="pct"/>
                  <w:vAlign w:val="center"/>
                </w:tcPr>
                <w:p w14:paraId="5D453939">
                  <w:pPr>
                    <w:pStyle w:val="87"/>
                    <w:rPr>
                      <w:rFonts w:hint="eastAsia" w:hAnsi="宋体" w:cs="宋体"/>
                    </w:rPr>
                  </w:pPr>
                  <w:r>
                    <w:rPr>
                      <w:rFonts w:hint="eastAsia" w:hAnsi="宋体" w:cs="宋体"/>
                    </w:rPr>
                    <w:t>套</w:t>
                  </w:r>
                </w:p>
              </w:tc>
              <w:tc>
                <w:tcPr>
                  <w:tcW w:w="466" w:type="pct"/>
                  <w:vAlign w:val="center"/>
                </w:tcPr>
                <w:p w14:paraId="43B13831">
                  <w:pPr>
                    <w:pStyle w:val="87"/>
                    <w:rPr>
                      <w:rFonts w:hint="eastAsia" w:hAnsi="宋体" w:cs="宋体"/>
                    </w:rPr>
                  </w:pPr>
                  <w:r>
                    <w:rPr>
                      <w:rFonts w:hint="eastAsia" w:hAnsi="宋体" w:cs="宋体"/>
                    </w:rPr>
                    <w:t>1</w:t>
                  </w:r>
                </w:p>
              </w:tc>
            </w:tr>
            <w:tr w14:paraId="2500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35B12514">
                  <w:pPr>
                    <w:pStyle w:val="87"/>
                    <w:rPr>
                      <w:rFonts w:hint="eastAsia" w:hAnsi="宋体" w:cs="宋体"/>
                    </w:rPr>
                  </w:pPr>
                  <w:r>
                    <w:rPr>
                      <w:rFonts w:hint="eastAsia" w:hAnsi="宋体" w:cs="宋体"/>
                    </w:rPr>
                    <w:t>12</w:t>
                  </w:r>
                </w:p>
              </w:tc>
              <w:tc>
                <w:tcPr>
                  <w:tcW w:w="837" w:type="pct"/>
                  <w:vAlign w:val="center"/>
                </w:tcPr>
                <w:p w14:paraId="67E83E44">
                  <w:pPr>
                    <w:pStyle w:val="87"/>
                    <w:rPr>
                      <w:rFonts w:hint="eastAsia" w:hAnsi="宋体" w:cs="宋体"/>
                    </w:rPr>
                  </w:pPr>
                  <w:r>
                    <w:rPr>
                      <w:rFonts w:hint="eastAsia" w:hAnsi="宋体" w:cs="宋体"/>
                    </w:rPr>
                    <w:t>除砂器</w:t>
                  </w:r>
                </w:p>
              </w:tc>
              <w:tc>
                <w:tcPr>
                  <w:tcW w:w="2540" w:type="pct"/>
                  <w:vAlign w:val="center"/>
                </w:tcPr>
                <w:p w14:paraId="53A99F61">
                  <w:pPr>
                    <w:pStyle w:val="87"/>
                    <w:rPr>
                      <w:rFonts w:hint="eastAsia" w:hAnsi="宋体" w:cs="宋体"/>
                    </w:rPr>
                  </w:pPr>
                </w:p>
              </w:tc>
              <w:tc>
                <w:tcPr>
                  <w:tcW w:w="734" w:type="pct"/>
                  <w:vAlign w:val="center"/>
                </w:tcPr>
                <w:p w14:paraId="2D541C90">
                  <w:pPr>
                    <w:pStyle w:val="87"/>
                    <w:rPr>
                      <w:rFonts w:hint="eastAsia" w:hAnsi="宋体" w:cs="宋体"/>
                    </w:rPr>
                  </w:pPr>
                  <w:r>
                    <w:rPr>
                      <w:rFonts w:hint="eastAsia" w:hAnsi="宋体" w:cs="宋体"/>
                    </w:rPr>
                    <w:t>台</w:t>
                  </w:r>
                </w:p>
              </w:tc>
              <w:tc>
                <w:tcPr>
                  <w:tcW w:w="466" w:type="pct"/>
                  <w:vAlign w:val="center"/>
                </w:tcPr>
                <w:p w14:paraId="0ED88F5D">
                  <w:pPr>
                    <w:pStyle w:val="87"/>
                    <w:rPr>
                      <w:rFonts w:hint="eastAsia" w:hAnsi="宋体" w:cs="宋体"/>
                    </w:rPr>
                  </w:pPr>
                  <w:r>
                    <w:rPr>
                      <w:rFonts w:hint="eastAsia" w:hAnsi="宋体" w:cs="宋体"/>
                    </w:rPr>
                    <w:t>1</w:t>
                  </w:r>
                </w:p>
              </w:tc>
            </w:tr>
            <w:tr w14:paraId="02F5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2631D03E">
                  <w:pPr>
                    <w:pStyle w:val="87"/>
                    <w:rPr>
                      <w:rFonts w:hint="eastAsia" w:hAnsi="宋体" w:cs="宋体"/>
                    </w:rPr>
                  </w:pPr>
                  <w:r>
                    <w:rPr>
                      <w:rFonts w:hint="eastAsia" w:hAnsi="宋体" w:cs="宋体"/>
                    </w:rPr>
                    <w:t>13</w:t>
                  </w:r>
                </w:p>
              </w:tc>
              <w:tc>
                <w:tcPr>
                  <w:tcW w:w="837" w:type="pct"/>
                  <w:vAlign w:val="center"/>
                </w:tcPr>
                <w:p w14:paraId="600E9929">
                  <w:pPr>
                    <w:pStyle w:val="87"/>
                    <w:rPr>
                      <w:rFonts w:hint="eastAsia" w:hAnsi="宋体" w:cs="宋体"/>
                    </w:rPr>
                  </w:pPr>
                  <w:r>
                    <w:rPr>
                      <w:rFonts w:hint="eastAsia" w:hAnsi="宋体" w:cs="宋体"/>
                    </w:rPr>
                    <w:t>离心机</w:t>
                  </w:r>
                </w:p>
              </w:tc>
              <w:tc>
                <w:tcPr>
                  <w:tcW w:w="2540" w:type="pct"/>
                  <w:vAlign w:val="center"/>
                </w:tcPr>
                <w:p w14:paraId="2B16B467">
                  <w:pPr>
                    <w:pStyle w:val="87"/>
                    <w:rPr>
                      <w:rFonts w:hint="eastAsia" w:hAnsi="宋体" w:cs="宋体"/>
                    </w:rPr>
                  </w:pPr>
                </w:p>
              </w:tc>
              <w:tc>
                <w:tcPr>
                  <w:tcW w:w="734" w:type="pct"/>
                  <w:vAlign w:val="center"/>
                </w:tcPr>
                <w:p w14:paraId="2113AC96">
                  <w:pPr>
                    <w:pStyle w:val="87"/>
                    <w:rPr>
                      <w:rFonts w:hint="eastAsia" w:hAnsi="宋体" w:cs="宋体"/>
                    </w:rPr>
                  </w:pPr>
                  <w:r>
                    <w:rPr>
                      <w:rFonts w:hint="eastAsia" w:hAnsi="宋体" w:cs="宋体"/>
                    </w:rPr>
                    <w:t>台</w:t>
                  </w:r>
                </w:p>
              </w:tc>
              <w:tc>
                <w:tcPr>
                  <w:tcW w:w="466" w:type="pct"/>
                  <w:vAlign w:val="center"/>
                </w:tcPr>
                <w:p w14:paraId="0AD0AFD1">
                  <w:pPr>
                    <w:pStyle w:val="87"/>
                    <w:rPr>
                      <w:rFonts w:hint="eastAsia" w:hAnsi="宋体" w:cs="宋体"/>
                    </w:rPr>
                  </w:pPr>
                  <w:r>
                    <w:rPr>
                      <w:rFonts w:hint="eastAsia" w:hAnsi="宋体" w:cs="宋体"/>
                    </w:rPr>
                    <w:t>1～2</w:t>
                  </w:r>
                </w:p>
              </w:tc>
            </w:tr>
            <w:tr w14:paraId="28CC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22A25C11">
                  <w:pPr>
                    <w:pStyle w:val="87"/>
                    <w:rPr>
                      <w:rFonts w:hint="eastAsia" w:hAnsi="宋体" w:cs="宋体"/>
                    </w:rPr>
                  </w:pPr>
                  <w:r>
                    <w:rPr>
                      <w:rFonts w:hint="eastAsia" w:hAnsi="宋体" w:cs="宋体"/>
                    </w:rPr>
                    <w:t>14</w:t>
                  </w:r>
                </w:p>
              </w:tc>
              <w:tc>
                <w:tcPr>
                  <w:tcW w:w="837" w:type="pct"/>
                  <w:vAlign w:val="center"/>
                </w:tcPr>
                <w:p w14:paraId="49B2BD43">
                  <w:pPr>
                    <w:pStyle w:val="87"/>
                    <w:rPr>
                      <w:rFonts w:hint="eastAsia" w:hAnsi="宋体" w:cs="宋体"/>
                    </w:rPr>
                  </w:pPr>
                  <w:r>
                    <w:rPr>
                      <w:rFonts w:hint="eastAsia" w:hAnsi="宋体" w:cs="宋体"/>
                    </w:rPr>
                    <w:t>钻井参数仪</w:t>
                  </w:r>
                </w:p>
              </w:tc>
              <w:tc>
                <w:tcPr>
                  <w:tcW w:w="2540" w:type="pct"/>
                  <w:vAlign w:val="center"/>
                </w:tcPr>
                <w:p w14:paraId="69138FF3">
                  <w:pPr>
                    <w:pStyle w:val="87"/>
                    <w:rPr>
                      <w:rFonts w:hint="eastAsia" w:hAnsi="宋体" w:cs="宋体"/>
                    </w:rPr>
                  </w:pPr>
                </w:p>
              </w:tc>
              <w:tc>
                <w:tcPr>
                  <w:tcW w:w="734" w:type="pct"/>
                  <w:vAlign w:val="center"/>
                </w:tcPr>
                <w:p w14:paraId="2E864A99">
                  <w:pPr>
                    <w:pStyle w:val="87"/>
                    <w:rPr>
                      <w:rFonts w:hint="eastAsia" w:hAnsi="宋体" w:cs="宋体"/>
                    </w:rPr>
                  </w:pPr>
                  <w:r>
                    <w:rPr>
                      <w:rFonts w:hint="eastAsia" w:hAnsi="宋体" w:cs="宋体"/>
                    </w:rPr>
                    <w:t>套</w:t>
                  </w:r>
                </w:p>
              </w:tc>
              <w:tc>
                <w:tcPr>
                  <w:tcW w:w="466" w:type="pct"/>
                  <w:vAlign w:val="center"/>
                </w:tcPr>
                <w:p w14:paraId="70E8A9F1">
                  <w:pPr>
                    <w:pStyle w:val="87"/>
                    <w:rPr>
                      <w:rFonts w:hint="eastAsia" w:hAnsi="宋体" w:cs="宋体"/>
                    </w:rPr>
                  </w:pPr>
                  <w:r>
                    <w:rPr>
                      <w:rFonts w:hint="eastAsia" w:hAnsi="宋体" w:cs="宋体"/>
                    </w:rPr>
                    <w:t>1</w:t>
                  </w:r>
                </w:p>
              </w:tc>
            </w:tr>
            <w:tr w14:paraId="5F7B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14:paraId="491733FB">
                  <w:pPr>
                    <w:pStyle w:val="87"/>
                    <w:rPr>
                      <w:rFonts w:hint="eastAsia" w:hAnsi="宋体" w:cs="宋体"/>
                    </w:rPr>
                  </w:pPr>
                  <w:r>
                    <w:rPr>
                      <w:rFonts w:hint="eastAsia" w:hAnsi="宋体" w:cs="宋体"/>
                    </w:rPr>
                    <w:t>15</w:t>
                  </w:r>
                </w:p>
              </w:tc>
              <w:tc>
                <w:tcPr>
                  <w:tcW w:w="837" w:type="pct"/>
                  <w:vAlign w:val="center"/>
                </w:tcPr>
                <w:p w14:paraId="1A31FC01">
                  <w:pPr>
                    <w:pStyle w:val="87"/>
                    <w:rPr>
                      <w:rFonts w:hint="eastAsia" w:hAnsi="宋体" w:cs="宋体"/>
                    </w:rPr>
                  </w:pPr>
                  <w:r>
                    <w:rPr>
                      <w:rFonts w:hint="eastAsia" w:hAnsi="宋体" w:cs="宋体"/>
                    </w:rPr>
                    <w:t>顶部驱动</w:t>
                  </w:r>
                </w:p>
                <w:p w14:paraId="0A9D6159">
                  <w:pPr>
                    <w:pStyle w:val="87"/>
                    <w:rPr>
                      <w:rFonts w:hint="eastAsia" w:hAnsi="宋体" w:cs="宋体"/>
                    </w:rPr>
                  </w:pPr>
                  <w:r>
                    <w:rPr>
                      <w:rFonts w:hint="eastAsia" w:hAnsi="宋体" w:cs="宋体"/>
                    </w:rPr>
                    <w:t>钻井装置</w:t>
                  </w:r>
                </w:p>
              </w:tc>
              <w:tc>
                <w:tcPr>
                  <w:tcW w:w="2540" w:type="pct"/>
                  <w:vAlign w:val="center"/>
                </w:tcPr>
                <w:p w14:paraId="52AC4289">
                  <w:pPr>
                    <w:pStyle w:val="87"/>
                    <w:rPr>
                      <w:rFonts w:hint="eastAsia" w:hAnsi="宋体" w:cs="宋体"/>
                    </w:rPr>
                  </w:pPr>
                  <w:r>
                    <w:rPr>
                      <w:rFonts w:hint="eastAsia" w:hAnsi="宋体" w:cs="宋体"/>
                    </w:rPr>
                    <w:t>3150kN</w:t>
                  </w:r>
                </w:p>
              </w:tc>
              <w:tc>
                <w:tcPr>
                  <w:tcW w:w="734" w:type="pct"/>
                  <w:vAlign w:val="center"/>
                </w:tcPr>
                <w:p w14:paraId="35816C3E">
                  <w:pPr>
                    <w:pStyle w:val="87"/>
                    <w:rPr>
                      <w:rFonts w:hint="eastAsia" w:hAnsi="宋体" w:cs="宋体"/>
                    </w:rPr>
                  </w:pPr>
                  <w:r>
                    <w:rPr>
                      <w:rFonts w:hint="eastAsia" w:hAnsi="宋体" w:cs="宋体"/>
                    </w:rPr>
                    <w:t>套</w:t>
                  </w:r>
                </w:p>
              </w:tc>
              <w:tc>
                <w:tcPr>
                  <w:tcW w:w="466" w:type="pct"/>
                  <w:vAlign w:val="center"/>
                </w:tcPr>
                <w:p w14:paraId="412264A2">
                  <w:pPr>
                    <w:pStyle w:val="87"/>
                    <w:rPr>
                      <w:rFonts w:hint="eastAsia" w:hAnsi="宋体" w:cs="宋体"/>
                    </w:rPr>
                  </w:pPr>
                  <w:r>
                    <w:rPr>
                      <w:rFonts w:hint="eastAsia" w:hAnsi="宋体" w:cs="宋体"/>
                    </w:rPr>
                    <w:t>可选</w:t>
                  </w:r>
                </w:p>
              </w:tc>
            </w:tr>
          </w:tbl>
          <w:p w14:paraId="1F0772AA">
            <w:pPr>
              <w:pStyle w:val="113"/>
              <w:ind w:firstLine="0" w:firstLineChars="0"/>
              <w:rPr>
                <w:rFonts w:hint="eastAsia"/>
              </w:rPr>
            </w:pPr>
          </w:p>
          <w:p w14:paraId="7BC6A0F9">
            <w:pPr>
              <w:pStyle w:val="113"/>
              <w:rPr>
                <w:rFonts w:hint="eastAsia"/>
              </w:rPr>
            </w:pPr>
            <w:r>
              <w:rPr>
                <w:rFonts w:hint="eastAsia"/>
              </w:rPr>
              <w:t>5）钻井液体系</w:t>
            </w:r>
          </w:p>
          <w:p w14:paraId="0E1A59A9">
            <w:pPr>
              <w:pStyle w:val="113"/>
              <w:rPr>
                <w:rFonts w:hint="eastAsia"/>
              </w:rPr>
            </w:pPr>
            <w:r>
              <w:rPr>
                <w:rFonts w:hint="eastAsia"/>
              </w:rPr>
              <w:t>钻井过程中需要使用钻井液，结合井身结构，不同井段采用的钻井液体系有所不同，本项目具体钻井液体系及材料消耗详见</w:t>
            </w:r>
            <w:r>
              <w:fldChar w:fldCharType="begin"/>
            </w:r>
            <w:r>
              <w:instrText xml:space="preserve"> REF _Ref176442748 \h  \* MERGEFORMAT </w:instrText>
            </w:r>
            <w:r>
              <w:fldChar w:fldCharType="separate"/>
            </w:r>
            <w:r>
              <w:rPr>
                <w:rFonts w:hint="eastAsia"/>
              </w:rPr>
              <w:t>表16</w:t>
            </w:r>
            <w:r>
              <w:fldChar w:fldCharType="end"/>
            </w:r>
            <w:r>
              <w:rPr>
                <w:rFonts w:hint="eastAsia"/>
              </w:rPr>
              <w:t>～</w:t>
            </w:r>
            <w:r>
              <w:fldChar w:fldCharType="begin"/>
            </w:r>
            <w:r>
              <w:instrText xml:space="preserve"> </w:instrText>
            </w:r>
            <w:r>
              <w:rPr>
                <w:rFonts w:hint="eastAsia"/>
              </w:rPr>
              <w:instrText xml:space="preserve">REF _Ref179283901 \h</w:instrText>
            </w:r>
            <w:r>
              <w:instrText xml:space="preserve">  \* MERGEFORMAT </w:instrText>
            </w:r>
            <w:r>
              <w:fldChar w:fldCharType="separate"/>
            </w:r>
            <w:r>
              <w:rPr>
                <w:rFonts w:hint="eastAsia"/>
              </w:rPr>
              <w:t>表17</w:t>
            </w:r>
            <w:r>
              <w:fldChar w:fldCharType="end"/>
            </w:r>
            <w:r>
              <w:rPr>
                <w:rFonts w:hint="eastAsia"/>
              </w:rPr>
              <w:t>。</w:t>
            </w:r>
          </w:p>
          <w:p w14:paraId="23EE5CC5">
            <w:pPr>
              <w:pStyle w:val="12"/>
              <w:spacing w:before="120"/>
              <w:rPr>
                <w:rFonts w:hint="eastAsia" w:hAnsi="宋体"/>
                <w:snapToGrid w:val="0"/>
              </w:rPr>
            </w:pPr>
            <w:bookmarkStart w:id="28" w:name="_Ref176442748"/>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16</w:t>
            </w:r>
            <w:r>
              <w:rPr>
                <w:rFonts w:hAnsi="宋体"/>
              </w:rPr>
              <w:fldChar w:fldCharType="end"/>
            </w:r>
            <w:bookmarkEnd w:id="28"/>
            <w:r>
              <w:rPr>
                <w:rFonts w:hAnsi="宋体"/>
              </w:rPr>
              <w:t xml:space="preserve">  </w:t>
            </w:r>
            <w:r>
              <w:rPr>
                <w:rFonts w:hint="eastAsia" w:hAnsi="宋体"/>
                <w:snapToGrid w:val="0"/>
              </w:rPr>
              <w:t>钻井液体系一览表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801"/>
              <w:gridCol w:w="1650"/>
              <w:gridCol w:w="3551"/>
            </w:tblGrid>
            <w:tr w14:paraId="21DB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50" w:type="pct"/>
                  <w:vAlign w:val="center"/>
                </w:tcPr>
                <w:p w14:paraId="0A69CA23">
                  <w:pPr>
                    <w:widowControl/>
                    <w:jc w:val="center"/>
                    <w:rPr>
                      <w:rFonts w:hint="eastAsia" w:ascii="宋体" w:hAnsi="宋体"/>
                      <w:szCs w:val="21"/>
                    </w:rPr>
                  </w:pPr>
                  <w:r>
                    <w:rPr>
                      <w:rFonts w:ascii="宋体" w:hAnsi="宋体"/>
                      <w:szCs w:val="21"/>
                    </w:rPr>
                    <w:t>序号</w:t>
                  </w:r>
                </w:p>
              </w:tc>
              <w:tc>
                <w:tcPr>
                  <w:tcW w:w="1144" w:type="pct"/>
                  <w:vAlign w:val="center"/>
                </w:tcPr>
                <w:p w14:paraId="177C48A8">
                  <w:pPr>
                    <w:widowControl/>
                    <w:jc w:val="center"/>
                    <w:rPr>
                      <w:rFonts w:hint="eastAsia" w:ascii="宋体" w:hAnsi="宋体"/>
                      <w:szCs w:val="21"/>
                    </w:rPr>
                  </w:pPr>
                  <w:r>
                    <w:rPr>
                      <w:rFonts w:ascii="宋体" w:hAnsi="宋体"/>
                      <w:szCs w:val="21"/>
                    </w:rPr>
                    <w:t>钻头尺寸（mm）</w:t>
                  </w:r>
                </w:p>
              </w:tc>
              <w:tc>
                <w:tcPr>
                  <w:tcW w:w="1048" w:type="pct"/>
                  <w:vAlign w:val="center"/>
                </w:tcPr>
                <w:p w14:paraId="15FC0164">
                  <w:pPr>
                    <w:widowControl/>
                    <w:jc w:val="center"/>
                    <w:rPr>
                      <w:rFonts w:hint="eastAsia" w:ascii="宋体" w:hAnsi="宋体"/>
                      <w:szCs w:val="21"/>
                    </w:rPr>
                  </w:pPr>
                  <w:r>
                    <w:rPr>
                      <w:rFonts w:ascii="宋体" w:hAnsi="宋体"/>
                      <w:szCs w:val="21"/>
                    </w:rPr>
                    <w:t>井段（m）</w:t>
                  </w:r>
                </w:p>
              </w:tc>
              <w:tc>
                <w:tcPr>
                  <w:tcW w:w="2256" w:type="pct"/>
                  <w:vAlign w:val="center"/>
                </w:tcPr>
                <w:p w14:paraId="7FCE212E">
                  <w:pPr>
                    <w:widowControl/>
                    <w:jc w:val="center"/>
                    <w:rPr>
                      <w:rFonts w:hint="eastAsia" w:ascii="宋体" w:hAnsi="宋体"/>
                      <w:szCs w:val="21"/>
                    </w:rPr>
                  </w:pPr>
                  <w:r>
                    <w:rPr>
                      <w:rFonts w:ascii="宋体" w:hAnsi="宋体"/>
                      <w:szCs w:val="21"/>
                    </w:rPr>
                    <w:t>钻井液体系</w:t>
                  </w:r>
                </w:p>
              </w:tc>
            </w:tr>
            <w:tr w14:paraId="33AD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50" w:type="pct"/>
                  <w:vAlign w:val="center"/>
                </w:tcPr>
                <w:p w14:paraId="0C933308">
                  <w:pPr>
                    <w:widowControl/>
                    <w:jc w:val="center"/>
                    <w:rPr>
                      <w:rFonts w:hint="eastAsia" w:ascii="宋体" w:hAnsi="宋体"/>
                      <w:szCs w:val="21"/>
                    </w:rPr>
                  </w:pPr>
                  <w:r>
                    <w:rPr>
                      <w:rFonts w:ascii="宋体" w:hAnsi="宋体"/>
                      <w:szCs w:val="21"/>
                    </w:rPr>
                    <w:t>一开</w:t>
                  </w:r>
                </w:p>
              </w:tc>
              <w:tc>
                <w:tcPr>
                  <w:tcW w:w="1144" w:type="pct"/>
                  <w:vAlign w:val="center"/>
                </w:tcPr>
                <w:p w14:paraId="06196285">
                  <w:pPr>
                    <w:widowControl/>
                    <w:jc w:val="center"/>
                    <w:rPr>
                      <w:rFonts w:hint="eastAsia" w:ascii="宋体" w:hAnsi="宋体"/>
                      <w:szCs w:val="21"/>
                    </w:rPr>
                  </w:pPr>
                  <w:r>
                    <w:rPr>
                      <w:rFonts w:ascii="宋体" w:hAnsi="宋体"/>
                      <w:szCs w:val="21"/>
                    </w:rPr>
                    <w:t>Φ311.2</w:t>
                  </w:r>
                </w:p>
              </w:tc>
              <w:tc>
                <w:tcPr>
                  <w:tcW w:w="1048" w:type="pct"/>
                  <w:vAlign w:val="center"/>
                </w:tcPr>
                <w:p w14:paraId="16E54D07">
                  <w:pPr>
                    <w:widowControl/>
                    <w:jc w:val="center"/>
                    <w:rPr>
                      <w:rFonts w:hint="eastAsia" w:ascii="宋体" w:hAnsi="宋体"/>
                      <w:szCs w:val="21"/>
                    </w:rPr>
                  </w:pPr>
                  <w:r>
                    <w:rPr>
                      <w:rFonts w:ascii="宋体" w:hAnsi="宋体"/>
                      <w:szCs w:val="21"/>
                    </w:rPr>
                    <w:t>50～801</w:t>
                  </w:r>
                </w:p>
              </w:tc>
              <w:tc>
                <w:tcPr>
                  <w:tcW w:w="2256" w:type="pct"/>
                  <w:vAlign w:val="center"/>
                </w:tcPr>
                <w:p w14:paraId="75C8CEAC">
                  <w:pPr>
                    <w:widowControl/>
                    <w:jc w:val="center"/>
                    <w:rPr>
                      <w:rFonts w:hint="eastAsia" w:ascii="宋体" w:hAnsi="宋体"/>
                      <w:szCs w:val="21"/>
                    </w:rPr>
                  </w:pPr>
                  <w:r>
                    <w:rPr>
                      <w:rFonts w:ascii="宋体" w:hAnsi="宋体"/>
                      <w:szCs w:val="21"/>
                    </w:rPr>
                    <w:t>膨润土-聚合物钻井液</w:t>
                  </w:r>
                </w:p>
              </w:tc>
            </w:tr>
            <w:tr w14:paraId="5767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50" w:type="pct"/>
                  <w:vMerge w:val="restart"/>
                  <w:vAlign w:val="center"/>
                </w:tcPr>
                <w:p w14:paraId="223F0D47">
                  <w:pPr>
                    <w:widowControl/>
                    <w:jc w:val="center"/>
                    <w:rPr>
                      <w:rFonts w:hint="eastAsia" w:ascii="宋体" w:hAnsi="宋体"/>
                      <w:szCs w:val="21"/>
                    </w:rPr>
                  </w:pPr>
                  <w:r>
                    <w:rPr>
                      <w:rFonts w:ascii="宋体" w:hAnsi="宋体"/>
                      <w:szCs w:val="21"/>
                    </w:rPr>
                    <w:t>二开</w:t>
                  </w:r>
                </w:p>
              </w:tc>
              <w:tc>
                <w:tcPr>
                  <w:tcW w:w="1144" w:type="pct"/>
                  <w:vMerge w:val="restart"/>
                  <w:vAlign w:val="center"/>
                </w:tcPr>
                <w:p w14:paraId="67ED2B2A">
                  <w:pPr>
                    <w:widowControl/>
                    <w:jc w:val="center"/>
                    <w:rPr>
                      <w:rFonts w:hint="eastAsia" w:ascii="宋体" w:hAnsi="宋体"/>
                      <w:szCs w:val="21"/>
                    </w:rPr>
                  </w:pPr>
                  <w:r>
                    <w:rPr>
                      <w:rFonts w:ascii="宋体" w:hAnsi="宋体"/>
                      <w:szCs w:val="21"/>
                    </w:rPr>
                    <w:t>Φ215.9</w:t>
                  </w:r>
                </w:p>
              </w:tc>
              <w:tc>
                <w:tcPr>
                  <w:tcW w:w="1048" w:type="pct"/>
                  <w:vAlign w:val="center"/>
                </w:tcPr>
                <w:p w14:paraId="109DEA50">
                  <w:pPr>
                    <w:widowControl/>
                    <w:jc w:val="center"/>
                    <w:rPr>
                      <w:rFonts w:hint="eastAsia" w:ascii="宋体" w:hAnsi="宋体"/>
                      <w:szCs w:val="21"/>
                    </w:rPr>
                  </w:pPr>
                  <w:r>
                    <w:rPr>
                      <w:rFonts w:ascii="宋体" w:hAnsi="宋体"/>
                      <w:szCs w:val="21"/>
                    </w:rPr>
                    <w:t>801～2415</w:t>
                  </w:r>
                </w:p>
              </w:tc>
              <w:tc>
                <w:tcPr>
                  <w:tcW w:w="2256" w:type="pct"/>
                  <w:vAlign w:val="center"/>
                </w:tcPr>
                <w:p w14:paraId="1532C2CD">
                  <w:pPr>
                    <w:widowControl/>
                    <w:jc w:val="center"/>
                    <w:rPr>
                      <w:rFonts w:hint="eastAsia" w:ascii="宋体" w:hAnsi="宋体"/>
                      <w:szCs w:val="21"/>
                    </w:rPr>
                  </w:pPr>
                  <w:r>
                    <w:rPr>
                      <w:rFonts w:ascii="宋体" w:hAnsi="宋体"/>
                      <w:szCs w:val="21"/>
                    </w:rPr>
                    <w:t>钙处理-聚合物钻井液</w:t>
                  </w:r>
                </w:p>
              </w:tc>
            </w:tr>
            <w:tr w14:paraId="7D1F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50" w:type="pct"/>
                  <w:vMerge w:val="continue"/>
                  <w:vAlign w:val="center"/>
                </w:tcPr>
                <w:p w14:paraId="49185F80">
                  <w:pPr>
                    <w:widowControl/>
                    <w:jc w:val="center"/>
                    <w:rPr>
                      <w:rFonts w:hint="eastAsia" w:ascii="宋体" w:hAnsi="宋体"/>
                      <w:szCs w:val="21"/>
                    </w:rPr>
                  </w:pPr>
                </w:p>
              </w:tc>
              <w:tc>
                <w:tcPr>
                  <w:tcW w:w="1144" w:type="pct"/>
                  <w:vMerge w:val="continue"/>
                  <w:vAlign w:val="center"/>
                </w:tcPr>
                <w:p w14:paraId="4714844C">
                  <w:pPr>
                    <w:widowControl/>
                    <w:jc w:val="center"/>
                    <w:rPr>
                      <w:rFonts w:hint="eastAsia" w:ascii="宋体" w:hAnsi="宋体"/>
                      <w:szCs w:val="21"/>
                    </w:rPr>
                  </w:pPr>
                </w:p>
              </w:tc>
              <w:tc>
                <w:tcPr>
                  <w:tcW w:w="1048" w:type="pct"/>
                  <w:vAlign w:val="center"/>
                </w:tcPr>
                <w:p w14:paraId="7924266E">
                  <w:pPr>
                    <w:widowControl/>
                    <w:jc w:val="center"/>
                    <w:rPr>
                      <w:rFonts w:hint="eastAsia" w:ascii="宋体" w:hAnsi="宋体"/>
                      <w:szCs w:val="21"/>
                    </w:rPr>
                  </w:pPr>
                  <w:r>
                    <w:rPr>
                      <w:rFonts w:ascii="宋体" w:hAnsi="宋体"/>
                      <w:szCs w:val="21"/>
                    </w:rPr>
                    <w:t>2415～</w:t>
                  </w:r>
                  <w:r>
                    <w:rPr>
                      <w:rFonts w:hint="eastAsia" w:ascii="宋体" w:hAnsi="宋体"/>
                      <w:szCs w:val="21"/>
                    </w:rPr>
                    <w:t>4720</w:t>
                  </w:r>
                </w:p>
              </w:tc>
              <w:tc>
                <w:tcPr>
                  <w:tcW w:w="2256" w:type="pct"/>
                  <w:vAlign w:val="center"/>
                </w:tcPr>
                <w:p w14:paraId="7AE34D75">
                  <w:pPr>
                    <w:widowControl/>
                    <w:jc w:val="center"/>
                    <w:rPr>
                      <w:rFonts w:hint="eastAsia" w:ascii="宋体" w:hAnsi="宋体"/>
                      <w:szCs w:val="21"/>
                    </w:rPr>
                  </w:pPr>
                  <w:r>
                    <w:rPr>
                      <w:rFonts w:ascii="宋体" w:hAnsi="宋体"/>
                      <w:szCs w:val="21"/>
                    </w:rPr>
                    <w:t>复合盐封堵防塌钻井液</w:t>
                  </w:r>
                </w:p>
              </w:tc>
            </w:tr>
          </w:tbl>
          <w:p w14:paraId="3B7DDCFC"/>
          <w:p w14:paraId="6693912D">
            <w:pPr>
              <w:pStyle w:val="12"/>
              <w:spacing w:before="120"/>
              <w:rPr>
                <w:rFonts w:hint="eastAsia" w:hAnsi="宋体"/>
                <w:snapToGrid w:val="0"/>
              </w:rPr>
            </w:pPr>
            <w:bookmarkStart w:id="29" w:name="_Ref179283901"/>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17</w:t>
            </w:r>
            <w:r>
              <w:rPr>
                <w:rFonts w:hAnsi="宋体"/>
              </w:rPr>
              <w:fldChar w:fldCharType="end"/>
            </w:r>
            <w:bookmarkEnd w:id="29"/>
            <w:r>
              <w:rPr>
                <w:rFonts w:hAnsi="宋体"/>
              </w:rPr>
              <w:t xml:space="preserve">  </w:t>
            </w:r>
            <w:r>
              <w:rPr>
                <w:rFonts w:hint="eastAsia" w:hAnsi="宋体"/>
                <w:snapToGrid w:val="0"/>
              </w:rPr>
              <w:t>钻井液材料消耗一览表</w:t>
            </w:r>
          </w:p>
          <w:tbl>
            <w:tblPr>
              <w:tblStyle w:val="29"/>
              <w:tblW w:w="4997"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4236"/>
              <w:gridCol w:w="1078"/>
              <w:gridCol w:w="1084"/>
              <w:gridCol w:w="874"/>
            </w:tblGrid>
            <w:tr w14:paraId="564E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79" w:type="pct"/>
                  <w:vAlign w:val="center"/>
                </w:tcPr>
                <w:p w14:paraId="46355F30">
                  <w:pPr>
                    <w:widowControl/>
                    <w:jc w:val="center"/>
                    <w:rPr>
                      <w:rFonts w:hint="eastAsia" w:ascii="宋体" w:hAnsi="宋体"/>
                      <w:szCs w:val="21"/>
                    </w:rPr>
                  </w:pPr>
                  <w:r>
                    <w:rPr>
                      <w:rFonts w:ascii="宋体" w:hAnsi="宋体"/>
                      <w:szCs w:val="21"/>
                    </w:rPr>
                    <w:t>序号</w:t>
                  </w:r>
                </w:p>
              </w:tc>
              <w:tc>
                <w:tcPr>
                  <w:tcW w:w="2691" w:type="pct"/>
                  <w:vAlign w:val="center"/>
                </w:tcPr>
                <w:p w14:paraId="0891873D">
                  <w:pPr>
                    <w:widowControl/>
                    <w:jc w:val="center"/>
                    <w:rPr>
                      <w:rFonts w:hint="eastAsia" w:ascii="宋体" w:hAnsi="宋体"/>
                      <w:szCs w:val="21"/>
                    </w:rPr>
                  </w:pPr>
                  <w:r>
                    <w:rPr>
                      <w:rFonts w:ascii="宋体" w:hAnsi="宋体"/>
                      <w:szCs w:val="21"/>
                    </w:rPr>
                    <w:t>材料名称或代号</w:t>
                  </w:r>
                </w:p>
              </w:tc>
              <w:tc>
                <w:tcPr>
                  <w:tcW w:w="685" w:type="pct"/>
                  <w:vAlign w:val="center"/>
                </w:tcPr>
                <w:p w14:paraId="51FDD79F">
                  <w:pPr>
                    <w:widowControl/>
                    <w:jc w:val="center"/>
                    <w:rPr>
                      <w:rFonts w:hint="eastAsia" w:ascii="宋体" w:hAnsi="宋体"/>
                      <w:szCs w:val="21"/>
                    </w:rPr>
                  </w:pPr>
                  <w:r>
                    <w:rPr>
                      <w:rFonts w:ascii="宋体" w:hAnsi="宋体"/>
                      <w:szCs w:val="21"/>
                    </w:rPr>
                    <w:t>一开（t）</w:t>
                  </w:r>
                </w:p>
              </w:tc>
              <w:tc>
                <w:tcPr>
                  <w:tcW w:w="688" w:type="pct"/>
                  <w:vAlign w:val="center"/>
                </w:tcPr>
                <w:p w14:paraId="1245CBE7">
                  <w:pPr>
                    <w:widowControl/>
                    <w:jc w:val="center"/>
                    <w:rPr>
                      <w:rFonts w:hint="eastAsia" w:ascii="宋体" w:hAnsi="宋体"/>
                      <w:szCs w:val="21"/>
                    </w:rPr>
                  </w:pPr>
                  <w:r>
                    <w:rPr>
                      <w:rFonts w:ascii="宋体" w:hAnsi="宋体"/>
                      <w:szCs w:val="21"/>
                    </w:rPr>
                    <w:t>二开（t）</w:t>
                  </w:r>
                </w:p>
              </w:tc>
              <w:tc>
                <w:tcPr>
                  <w:tcW w:w="555" w:type="pct"/>
                  <w:vAlign w:val="center"/>
                </w:tcPr>
                <w:p w14:paraId="1AAC07EE">
                  <w:pPr>
                    <w:widowControl/>
                    <w:jc w:val="center"/>
                    <w:rPr>
                      <w:rFonts w:hint="eastAsia" w:ascii="宋体" w:hAnsi="宋体"/>
                      <w:szCs w:val="21"/>
                    </w:rPr>
                  </w:pPr>
                  <w:r>
                    <w:rPr>
                      <w:rFonts w:ascii="宋体" w:hAnsi="宋体"/>
                      <w:szCs w:val="21"/>
                    </w:rPr>
                    <w:t>合计</w:t>
                  </w:r>
                </w:p>
                <w:p w14:paraId="54B8F2FA">
                  <w:pPr>
                    <w:widowControl/>
                    <w:jc w:val="center"/>
                    <w:rPr>
                      <w:rFonts w:hint="eastAsia" w:ascii="宋体" w:hAnsi="宋体"/>
                      <w:szCs w:val="21"/>
                    </w:rPr>
                  </w:pPr>
                  <w:r>
                    <w:rPr>
                      <w:rFonts w:ascii="宋体" w:hAnsi="宋体"/>
                      <w:szCs w:val="21"/>
                    </w:rPr>
                    <w:t>（t）</w:t>
                  </w:r>
                </w:p>
              </w:tc>
            </w:tr>
            <w:tr w14:paraId="7D78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12E80EAA">
                  <w:pPr>
                    <w:widowControl/>
                    <w:jc w:val="center"/>
                    <w:rPr>
                      <w:rFonts w:hint="eastAsia" w:ascii="宋体" w:hAnsi="宋体"/>
                      <w:szCs w:val="21"/>
                    </w:rPr>
                  </w:pPr>
                  <w:r>
                    <w:rPr>
                      <w:rFonts w:ascii="宋体" w:hAnsi="宋体"/>
                      <w:szCs w:val="21"/>
                    </w:rPr>
                    <w:t>1</w:t>
                  </w:r>
                </w:p>
              </w:tc>
              <w:tc>
                <w:tcPr>
                  <w:tcW w:w="2691" w:type="pct"/>
                  <w:vAlign w:val="center"/>
                </w:tcPr>
                <w:p w14:paraId="6B874375">
                  <w:pPr>
                    <w:widowControl/>
                    <w:jc w:val="center"/>
                    <w:rPr>
                      <w:rFonts w:hint="eastAsia" w:ascii="宋体" w:hAnsi="宋体"/>
                      <w:szCs w:val="21"/>
                    </w:rPr>
                  </w:pPr>
                  <w:r>
                    <w:rPr>
                      <w:rFonts w:ascii="宋体" w:hAnsi="宋体"/>
                      <w:szCs w:val="21"/>
                    </w:rPr>
                    <w:t>膨润土</w:t>
                  </w:r>
                </w:p>
              </w:tc>
              <w:tc>
                <w:tcPr>
                  <w:tcW w:w="685" w:type="pct"/>
                  <w:vAlign w:val="center"/>
                </w:tcPr>
                <w:p w14:paraId="3F33C615">
                  <w:pPr>
                    <w:widowControl/>
                    <w:jc w:val="center"/>
                    <w:rPr>
                      <w:rFonts w:hint="eastAsia" w:ascii="宋体" w:hAnsi="宋体"/>
                      <w:szCs w:val="21"/>
                    </w:rPr>
                  </w:pPr>
                  <w:r>
                    <w:rPr>
                      <w:rFonts w:ascii="宋体" w:hAnsi="宋体"/>
                      <w:szCs w:val="21"/>
                    </w:rPr>
                    <w:t>50</w:t>
                  </w:r>
                </w:p>
              </w:tc>
              <w:tc>
                <w:tcPr>
                  <w:tcW w:w="688" w:type="pct"/>
                  <w:vAlign w:val="center"/>
                </w:tcPr>
                <w:p w14:paraId="4042E0BB">
                  <w:pPr>
                    <w:widowControl/>
                    <w:jc w:val="center"/>
                    <w:rPr>
                      <w:rFonts w:hint="eastAsia" w:ascii="宋体" w:hAnsi="宋体"/>
                      <w:szCs w:val="21"/>
                    </w:rPr>
                  </w:pPr>
                  <w:r>
                    <w:rPr>
                      <w:rFonts w:ascii="宋体" w:hAnsi="宋体"/>
                      <w:szCs w:val="21"/>
                    </w:rPr>
                    <w:t>90</w:t>
                  </w:r>
                </w:p>
              </w:tc>
              <w:tc>
                <w:tcPr>
                  <w:tcW w:w="873" w:type="dxa"/>
                  <w:vAlign w:val="bottom"/>
                </w:tcPr>
                <w:p w14:paraId="60B43C40">
                  <w:pPr>
                    <w:widowControl/>
                    <w:jc w:val="center"/>
                    <w:rPr>
                      <w:rFonts w:hint="eastAsia" w:ascii="宋体" w:hAnsi="宋体"/>
                      <w:szCs w:val="21"/>
                    </w:rPr>
                  </w:pPr>
                  <w:r>
                    <w:rPr>
                      <w:rFonts w:hint="eastAsia" w:ascii="宋体" w:hAnsi="宋体"/>
                      <w:szCs w:val="21"/>
                    </w:rPr>
                    <w:t>140</w:t>
                  </w:r>
                </w:p>
              </w:tc>
            </w:tr>
            <w:tr w14:paraId="46C8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0A3C5C7A">
                  <w:pPr>
                    <w:widowControl/>
                    <w:jc w:val="center"/>
                    <w:rPr>
                      <w:rFonts w:hint="eastAsia" w:ascii="宋体" w:hAnsi="宋体"/>
                      <w:szCs w:val="21"/>
                    </w:rPr>
                  </w:pPr>
                  <w:r>
                    <w:rPr>
                      <w:rFonts w:ascii="宋体" w:hAnsi="宋体"/>
                      <w:szCs w:val="21"/>
                    </w:rPr>
                    <w:t>2</w:t>
                  </w:r>
                </w:p>
              </w:tc>
              <w:tc>
                <w:tcPr>
                  <w:tcW w:w="2691" w:type="pct"/>
                  <w:vAlign w:val="center"/>
                </w:tcPr>
                <w:p w14:paraId="48B47116">
                  <w:pPr>
                    <w:widowControl/>
                    <w:jc w:val="center"/>
                    <w:rPr>
                      <w:rFonts w:hint="eastAsia" w:ascii="宋体" w:hAnsi="宋体"/>
                      <w:szCs w:val="21"/>
                    </w:rPr>
                  </w:pPr>
                  <w:r>
                    <w:rPr>
                      <w:rFonts w:ascii="宋体" w:hAnsi="宋体"/>
                      <w:szCs w:val="21"/>
                    </w:rPr>
                    <w:t>工业用氢氧化钠</w:t>
                  </w:r>
                </w:p>
              </w:tc>
              <w:tc>
                <w:tcPr>
                  <w:tcW w:w="685" w:type="pct"/>
                  <w:vAlign w:val="center"/>
                </w:tcPr>
                <w:p w14:paraId="4D633EBF">
                  <w:pPr>
                    <w:widowControl/>
                    <w:jc w:val="center"/>
                    <w:rPr>
                      <w:rFonts w:hint="eastAsia" w:ascii="宋体" w:hAnsi="宋体"/>
                      <w:szCs w:val="21"/>
                    </w:rPr>
                  </w:pPr>
                  <w:r>
                    <w:rPr>
                      <w:rFonts w:ascii="宋体" w:hAnsi="宋体"/>
                      <w:szCs w:val="21"/>
                    </w:rPr>
                    <w:t>2</w:t>
                  </w:r>
                </w:p>
              </w:tc>
              <w:tc>
                <w:tcPr>
                  <w:tcW w:w="688" w:type="pct"/>
                  <w:vAlign w:val="center"/>
                </w:tcPr>
                <w:p w14:paraId="736AF27C">
                  <w:pPr>
                    <w:widowControl/>
                    <w:jc w:val="center"/>
                    <w:rPr>
                      <w:rFonts w:hint="eastAsia" w:ascii="宋体" w:hAnsi="宋体"/>
                      <w:szCs w:val="21"/>
                    </w:rPr>
                  </w:pPr>
                  <w:r>
                    <w:rPr>
                      <w:rFonts w:ascii="宋体" w:hAnsi="宋体"/>
                      <w:szCs w:val="21"/>
                    </w:rPr>
                    <w:t>10</w:t>
                  </w:r>
                </w:p>
              </w:tc>
              <w:tc>
                <w:tcPr>
                  <w:tcW w:w="873" w:type="dxa"/>
                  <w:vAlign w:val="bottom"/>
                </w:tcPr>
                <w:p w14:paraId="68E57BBA">
                  <w:pPr>
                    <w:widowControl/>
                    <w:jc w:val="center"/>
                    <w:rPr>
                      <w:rFonts w:hint="eastAsia" w:ascii="宋体" w:hAnsi="宋体"/>
                      <w:szCs w:val="21"/>
                    </w:rPr>
                  </w:pPr>
                  <w:r>
                    <w:rPr>
                      <w:rFonts w:hint="eastAsia" w:ascii="宋体" w:hAnsi="宋体"/>
                      <w:szCs w:val="21"/>
                    </w:rPr>
                    <w:t>12</w:t>
                  </w:r>
                </w:p>
              </w:tc>
            </w:tr>
            <w:tr w14:paraId="5F27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12CA4544">
                  <w:pPr>
                    <w:widowControl/>
                    <w:jc w:val="center"/>
                    <w:rPr>
                      <w:rFonts w:hint="eastAsia" w:ascii="宋体" w:hAnsi="宋体"/>
                      <w:szCs w:val="21"/>
                    </w:rPr>
                  </w:pPr>
                  <w:r>
                    <w:rPr>
                      <w:rFonts w:ascii="宋体" w:hAnsi="宋体"/>
                      <w:szCs w:val="21"/>
                    </w:rPr>
                    <w:t>3</w:t>
                  </w:r>
                </w:p>
              </w:tc>
              <w:tc>
                <w:tcPr>
                  <w:tcW w:w="2691" w:type="pct"/>
                  <w:vAlign w:val="center"/>
                </w:tcPr>
                <w:p w14:paraId="74CFFE51">
                  <w:pPr>
                    <w:widowControl/>
                    <w:jc w:val="center"/>
                    <w:rPr>
                      <w:rFonts w:hint="eastAsia" w:ascii="宋体" w:hAnsi="宋体"/>
                      <w:szCs w:val="21"/>
                    </w:rPr>
                  </w:pPr>
                  <w:r>
                    <w:rPr>
                      <w:rFonts w:ascii="宋体" w:hAnsi="宋体"/>
                      <w:szCs w:val="21"/>
                    </w:rPr>
                    <w:t>碳酸钠</w:t>
                  </w:r>
                </w:p>
              </w:tc>
              <w:tc>
                <w:tcPr>
                  <w:tcW w:w="685" w:type="pct"/>
                  <w:vAlign w:val="center"/>
                </w:tcPr>
                <w:p w14:paraId="6A5C679A">
                  <w:pPr>
                    <w:widowControl/>
                    <w:jc w:val="center"/>
                    <w:rPr>
                      <w:rFonts w:hint="eastAsia" w:ascii="宋体" w:hAnsi="宋体"/>
                      <w:szCs w:val="21"/>
                    </w:rPr>
                  </w:pPr>
                  <w:r>
                    <w:rPr>
                      <w:rFonts w:ascii="宋体" w:hAnsi="宋体"/>
                      <w:szCs w:val="21"/>
                    </w:rPr>
                    <w:t>2</w:t>
                  </w:r>
                </w:p>
              </w:tc>
              <w:tc>
                <w:tcPr>
                  <w:tcW w:w="688" w:type="pct"/>
                  <w:vAlign w:val="center"/>
                </w:tcPr>
                <w:p w14:paraId="75FF7AA6">
                  <w:pPr>
                    <w:widowControl/>
                    <w:jc w:val="center"/>
                    <w:rPr>
                      <w:rFonts w:hint="eastAsia" w:ascii="宋体" w:hAnsi="宋体"/>
                      <w:szCs w:val="21"/>
                    </w:rPr>
                  </w:pPr>
                  <w:r>
                    <w:rPr>
                      <w:rFonts w:ascii="宋体" w:hAnsi="宋体"/>
                      <w:szCs w:val="21"/>
                    </w:rPr>
                    <w:t>3</w:t>
                  </w:r>
                </w:p>
              </w:tc>
              <w:tc>
                <w:tcPr>
                  <w:tcW w:w="873" w:type="dxa"/>
                  <w:vAlign w:val="bottom"/>
                </w:tcPr>
                <w:p w14:paraId="65112E3C">
                  <w:pPr>
                    <w:widowControl/>
                    <w:jc w:val="center"/>
                    <w:rPr>
                      <w:rFonts w:hint="eastAsia" w:ascii="宋体" w:hAnsi="宋体"/>
                      <w:szCs w:val="21"/>
                    </w:rPr>
                  </w:pPr>
                  <w:r>
                    <w:rPr>
                      <w:rFonts w:hint="eastAsia" w:ascii="宋体" w:hAnsi="宋体"/>
                      <w:szCs w:val="21"/>
                    </w:rPr>
                    <w:t>5</w:t>
                  </w:r>
                </w:p>
              </w:tc>
            </w:tr>
            <w:tr w14:paraId="459B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0DF55AEC">
                  <w:pPr>
                    <w:widowControl/>
                    <w:jc w:val="center"/>
                    <w:rPr>
                      <w:rFonts w:hint="eastAsia" w:ascii="宋体" w:hAnsi="宋体"/>
                      <w:szCs w:val="21"/>
                    </w:rPr>
                  </w:pPr>
                  <w:r>
                    <w:rPr>
                      <w:rFonts w:ascii="宋体" w:hAnsi="宋体"/>
                      <w:szCs w:val="21"/>
                    </w:rPr>
                    <w:t>4</w:t>
                  </w:r>
                </w:p>
              </w:tc>
              <w:tc>
                <w:tcPr>
                  <w:tcW w:w="2691" w:type="pct"/>
                  <w:vAlign w:val="center"/>
                </w:tcPr>
                <w:p w14:paraId="18ADC05E">
                  <w:pPr>
                    <w:widowControl/>
                    <w:jc w:val="center"/>
                    <w:rPr>
                      <w:rFonts w:hint="eastAsia" w:ascii="宋体" w:hAnsi="宋体"/>
                      <w:szCs w:val="21"/>
                    </w:rPr>
                  </w:pPr>
                  <w:r>
                    <w:rPr>
                      <w:rFonts w:ascii="宋体" w:hAnsi="宋体"/>
                      <w:szCs w:val="21"/>
                    </w:rPr>
                    <w:t>氯化钙</w:t>
                  </w:r>
                </w:p>
              </w:tc>
              <w:tc>
                <w:tcPr>
                  <w:tcW w:w="685" w:type="pct"/>
                  <w:vAlign w:val="center"/>
                </w:tcPr>
                <w:p w14:paraId="5CB98534">
                  <w:pPr>
                    <w:widowControl/>
                    <w:jc w:val="center"/>
                    <w:rPr>
                      <w:rFonts w:hint="eastAsia" w:ascii="宋体" w:hAnsi="宋体"/>
                      <w:szCs w:val="21"/>
                    </w:rPr>
                  </w:pPr>
                </w:p>
              </w:tc>
              <w:tc>
                <w:tcPr>
                  <w:tcW w:w="688" w:type="pct"/>
                  <w:vAlign w:val="center"/>
                </w:tcPr>
                <w:p w14:paraId="5437F86D">
                  <w:pPr>
                    <w:widowControl/>
                    <w:jc w:val="center"/>
                    <w:rPr>
                      <w:rFonts w:hint="eastAsia" w:ascii="宋体" w:hAnsi="宋体"/>
                      <w:szCs w:val="21"/>
                    </w:rPr>
                  </w:pPr>
                  <w:r>
                    <w:rPr>
                      <w:rFonts w:ascii="宋体" w:hAnsi="宋体"/>
                      <w:szCs w:val="21"/>
                    </w:rPr>
                    <w:t>20</w:t>
                  </w:r>
                </w:p>
              </w:tc>
              <w:tc>
                <w:tcPr>
                  <w:tcW w:w="873" w:type="dxa"/>
                  <w:vAlign w:val="bottom"/>
                </w:tcPr>
                <w:p w14:paraId="024253F4">
                  <w:pPr>
                    <w:widowControl/>
                    <w:jc w:val="center"/>
                    <w:rPr>
                      <w:rFonts w:hint="eastAsia" w:ascii="宋体" w:hAnsi="宋体"/>
                      <w:szCs w:val="21"/>
                    </w:rPr>
                  </w:pPr>
                  <w:r>
                    <w:rPr>
                      <w:rFonts w:hint="eastAsia" w:ascii="宋体" w:hAnsi="宋体"/>
                      <w:szCs w:val="21"/>
                    </w:rPr>
                    <w:t>20</w:t>
                  </w:r>
                </w:p>
              </w:tc>
            </w:tr>
            <w:tr w14:paraId="0466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771B678D">
                  <w:pPr>
                    <w:widowControl/>
                    <w:jc w:val="center"/>
                    <w:rPr>
                      <w:rFonts w:hint="eastAsia" w:ascii="宋体" w:hAnsi="宋体"/>
                      <w:szCs w:val="21"/>
                    </w:rPr>
                  </w:pPr>
                  <w:r>
                    <w:rPr>
                      <w:rFonts w:ascii="宋体" w:hAnsi="宋体"/>
                      <w:szCs w:val="21"/>
                    </w:rPr>
                    <w:t>5</w:t>
                  </w:r>
                </w:p>
              </w:tc>
              <w:tc>
                <w:tcPr>
                  <w:tcW w:w="2691" w:type="pct"/>
                  <w:vAlign w:val="center"/>
                </w:tcPr>
                <w:p w14:paraId="716089A6">
                  <w:pPr>
                    <w:widowControl/>
                    <w:jc w:val="center"/>
                    <w:rPr>
                      <w:rFonts w:hint="eastAsia" w:ascii="宋体" w:hAnsi="宋体"/>
                      <w:szCs w:val="21"/>
                    </w:rPr>
                  </w:pPr>
                  <w:r>
                    <w:rPr>
                      <w:rFonts w:ascii="宋体" w:hAnsi="宋体"/>
                      <w:szCs w:val="21"/>
                    </w:rPr>
                    <w:t>氯化钠</w:t>
                  </w:r>
                </w:p>
              </w:tc>
              <w:tc>
                <w:tcPr>
                  <w:tcW w:w="685" w:type="pct"/>
                  <w:vAlign w:val="center"/>
                </w:tcPr>
                <w:p w14:paraId="1F8DA835">
                  <w:pPr>
                    <w:widowControl/>
                    <w:jc w:val="center"/>
                    <w:rPr>
                      <w:rFonts w:hint="eastAsia" w:ascii="宋体" w:hAnsi="宋体"/>
                      <w:szCs w:val="21"/>
                    </w:rPr>
                  </w:pPr>
                </w:p>
              </w:tc>
              <w:tc>
                <w:tcPr>
                  <w:tcW w:w="688" w:type="pct"/>
                  <w:vAlign w:val="center"/>
                </w:tcPr>
                <w:p w14:paraId="187AB952">
                  <w:pPr>
                    <w:widowControl/>
                    <w:jc w:val="center"/>
                    <w:rPr>
                      <w:rFonts w:hint="eastAsia" w:ascii="宋体" w:hAnsi="宋体"/>
                      <w:szCs w:val="21"/>
                    </w:rPr>
                  </w:pPr>
                  <w:r>
                    <w:rPr>
                      <w:rFonts w:ascii="宋体" w:hAnsi="宋体"/>
                      <w:szCs w:val="21"/>
                    </w:rPr>
                    <w:t>180</w:t>
                  </w:r>
                </w:p>
              </w:tc>
              <w:tc>
                <w:tcPr>
                  <w:tcW w:w="873" w:type="dxa"/>
                  <w:vAlign w:val="bottom"/>
                </w:tcPr>
                <w:p w14:paraId="37243DE1">
                  <w:pPr>
                    <w:widowControl/>
                    <w:jc w:val="center"/>
                    <w:rPr>
                      <w:rFonts w:hint="eastAsia" w:ascii="宋体" w:hAnsi="宋体"/>
                      <w:szCs w:val="21"/>
                    </w:rPr>
                  </w:pPr>
                  <w:r>
                    <w:rPr>
                      <w:rFonts w:hint="eastAsia" w:ascii="宋体" w:hAnsi="宋体"/>
                      <w:szCs w:val="21"/>
                    </w:rPr>
                    <w:t>180</w:t>
                  </w:r>
                </w:p>
              </w:tc>
            </w:tr>
            <w:tr w14:paraId="0735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73BA5550">
                  <w:pPr>
                    <w:widowControl/>
                    <w:jc w:val="center"/>
                    <w:rPr>
                      <w:rFonts w:hint="eastAsia" w:ascii="宋体" w:hAnsi="宋体"/>
                      <w:szCs w:val="21"/>
                    </w:rPr>
                  </w:pPr>
                  <w:r>
                    <w:rPr>
                      <w:rFonts w:ascii="宋体" w:hAnsi="宋体"/>
                      <w:szCs w:val="21"/>
                    </w:rPr>
                    <w:t>6</w:t>
                  </w:r>
                </w:p>
              </w:tc>
              <w:tc>
                <w:tcPr>
                  <w:tcW w:w="2691" w:type="pct"/>
                  <w:vAlign w:val="center"/>
                </w:tcPr>
                <w:p w14:paraId="4E67E65B">
                  <w:pPr>
                    <w:widowControl/>
                    <w:jc w:val="center"/>
                    <w:rPr>
                      <w:rFonts w:hint="eastAsia" w:ascii="宋体" w:hAnsi="宋体"/>
                      <w:szCs w:val="21"/>
                    </w:rPr>
                  </w:pPr>
                  <w:r>
                    <w:rPr>
                      <w:rFonts w:ascii="宋体" w:hAnsi="宋体"/>
                      <w:szCs w:val="21"/>
                    </w:rPr>
                    <w:t>氯化钾</w:t>
                  </w:r>
                </w:p>
              </w:tc>
              <w:tc>
                <w:tcPr>
                  <w:tcW w:w="685" w:type="pct"/>
                  <w:vAlign w:val="center"/>
                </w:tcPr>
                <w:p w14:paraId="02FD1A7D">
                  <w:pPr>
                    <w:widowControl/>
                    <w:jc w:val="center"/>
                    <w:rPr>
                      <w:rFonts w:hint="eastAsia" w:ascii="宋体" w:hAnsi="宋体"/>
                      <w:szCs w:val="21"/>
                    </w:rPr>
                  </w:pPr>
                </w:p>
              </w:tc>
              <w:tc>
                <w:tcPr>
                  <w:tcW w:w="688" w:type="pct"/>
                  <w:vAlign w:val="center"/>
                </w:tcPr>
                <w:p w14:paraId="42EDD054">
                  <w:pPr>
                    <w:widowControl/>
                    <w:jc w:val="center"/>
                    <w:rPr>
                      <w:rFonts w:hint="eastAsia" w:ascii="宋体" w:hAnsi="宋体"/>
                      <w:szCs w:val="21"/>
                    </w:rPr>
                  </w:pPr>
                  <w:r>
                    <w:rPr>
                      <w:rFonts w:ascii="宋体" w:hAnsi="宋体"/>
                      <w:szCs w:val="21"/>
                    </w:rPr>
                    <w:t>90</w:t>
                  </w:r>
                </w:p>
              </w:tc>
              <w:tc>
                <w:tcPr>
                  <w:tcW w:w="873" w:type="dxa"/>
                  <w:vAlign w:val="bottom"/>
                </w:tcPr>
                <w:p w14:paraId="385DF2B9">
                  <w:pPr>
                    <w:widowControl/>
                    <w:jc w:val="center"/>
                    <w:rPr>
                      <w:rFonts w:hint="eastAsia" w:ascii="宋体" w:hAnsi="宋体"/>
                      <w:szCs w:val="21"/>
                    </w:rPr>
                  </w:pPr>
                  <w:r>
                    <w:rPr>
                      <w:rFonts w:hint="eastAsia" w:ascii="宋体" w:hAnsi="宋体"/>
                      <w:szCs w:val="21"/>
                    </w:rPr>
                    <w:t>90</w:t>
                  </w:r>
                </w:p>
              </w:tc>
            </w:tr>
            <w:tr w14:paraId="7902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262E3385">
                  <w:pPr>
                    <w:widowControl/>
                    <w:jc w:val="center"/>
                    <w:rPr>
                      <w:rFonts w:hint="eastAsia" w:ascii="宋体" w:hAnsi="宋体"/>
                      <w:szCs w:val="21"/>
                    </w:rPr>
                  </w:pPr>
                  <w:r>
                    <w:rPr>
                      <w:rFonts w:ascii="宋体" w:hAnsi="宋体"/>
                      <w:szCs w:val="21"/>
                    </w:rPr>
                    <w:t>7</w:t>
                  </w:r>
                </w:p>
              </w:tc>
              <w:tc>
                <w:tcPr>
                  <w:tcW w:w="2691" w:type="pct"/>
                  <w:vAlign w:val="center"/>
                </w:tcPr>
                <w:p w14:paraId="557B4CE8">
                  <w:pPr>
                    <w:widowControl/>
                    <w:jc w:val="center"/>
                    <w:rPr>
                      <w:rFonts w:hint="eastAsia" w:ascii="宋体" w:hAnsi="宋体"/>
                      <w:szCs w:val="21"/>
                    </w:rPr>
                  </w:pPr>
                  <w:r>
                    <w:rPr>
                      <w:rFonts w:ascii="宋体" w:hAnsi="宋体"/>
                      <w:szCs w:val="21"/>
                    </w:rPr>
                    <w:t>甲酸钾</w:t>
                  </w:r>
                </w:p>
              </w:tc>
              <w:tc>
                <w:tcPr>
                  <w:tcW w:w="685" w:type="pct"/>
                  <w:vAlign w:val="center"/>
                </w:tcPr>
                <w:p w14:paraId="76424714">
                  <w:pPr>
                    <w:widowControl/>
                    <w:jc w:val="center"/>
                    <w:rPr>
                      <w:rFonts w:hint="eastAsia" w:ascii="宋体" w:hAnsi="宋体"/>
                      <w:szCs w:val="21"/>
                    </w:rPr>
                  </w:pPr>
                </w:p>
              </w:tc>
              <w:tc>
                <w:tcPr>
                  <w:tcW w:w="688" w:type="pct"/>
                  <w:vAlign w:val="center"/>
                </w:tcPr>
                <w:p w14:paraId="67ADD28F">
                  <w:pPr>
                    <w:widowControl/>
                    <w:jc w:val="center"/>
                    <w:rPr>
                      <w:rFonts w:hint="eastAsia" w:ascii="宋体" w:hAnsi="宋体"/>
                      <w:szCs w:val="21"/>
                    </w:rPr>
                  </w:pPr>
                </w:p>
              </w:tc>
              <w:tc>
                <w:tcPr>
                  <w:tcW w:w="873" w:type="dxa"/>
                  <w:vAlign w:val="bottom"/>
                </w:tcPr>
                <w:p w14:paraId="1273A160">
                  <w:pPr>
                    <w:widowControl/>
                    <w:jc w:val="center"/>
                    <w:rPr>
                      <w:rFonts w:hint="eastAsia" w:ascii="宋体" w:hAnsi="宋体"/>
                      <w:szCs w:val="21"/>
                    </w:rPr>
                  </w:pPr>
                  <w:r>
                    <w:rPr>
                      <w:rFonts w:hint="eastAsia" w:ascii="宋体" w:hAnsi="宋体"/>
                      <w:szCs w:val="21"/>
                    </w:rPr>
                    <w:t>0</w:t>
                  </w:r>
                </w:p>
              </w:tc>
            </w:tr>
            <w:tr w14:paraId="4D12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76202FBB">
                  <w:pPr>
                    <w:widowControl/>
                    <w:jc w:val="center"/>
                    <w:rPr>
                      <w:rFonts w:hint="eastAsia" w:ascii="宋体" w:hAnsi="宋体"/>
                      <w:szCs w:val="21"/>
                    </w:rPr>
                  </w:pPr>
                  <w:r>
                    <w:rPr>
                      <w:rFonts w:ascii="宋体" w:hAnsi="宋体"/>
                      <w:szCs w:val="21"/>
                    </w:rPr>
                    <w:t>8</w:t>
                  </w:r>
                </w:p>
              </w:tc>
              <w:tc>
                <w:tcPr>
                  <w:tcW w:w="2691" w:type="pct"/>
                  <w:vAlign w:val="center"/>
                </w:tcPr>
                <w:p w14:paraId="4BD40ECC">
                  <w:pPr>
                    <w:widowControl/>
                    <w:jc w:val="center"/>
                    <w:rPr>
                      <w:rFonts w:hint="eastAsia" w:ascii="宋体" w:hAnsi="宋体"/>
                      <w:szCs w:val="21"/>
                    </w:rPr>
                  </w:pPr>
                  <w:r>
                    <w:rPr>
                      <w:rFonts w:ascii="宋体" w:hAnsi="宋体"/>
                      <w:szCs w:val="21"/>
                    </w:rPr>
                    <w:t>钻井液用聚丙烯酰胺钾盐</w:t>
                  </w:r>
                </w:p>
              </w:tc>
              <w:tc>
                <w:tcPr>
                  <w:tcW w:w="685" w:type="pct"/>
                  <w:vAlign w:val="center"/>
                </w:tcPr>
                <w:p w14:paraId="21487750">
                  <w:pPr>
                    <w:widowControl/>
                    <w:jc w:val="center"/>
                    <w:rPr>
                      <w:rFonts w:hint="eastAsia" w:ascii="宋体" w:hAnsi="宋体"/>
                      <w:szCs w:val="21"/>
                    </w:rPr>
                  </w:pPr>
                  <w:r>
                    <w:rPr>
                      <w:rFonts w:ascii="宋体" w:hAnsi="宋体"/>
                      <w:szCs w:val="21"/>
                    </w:rPr>
                    <w:t>1</w:t>
                  </w:r>
                </w:p>
              </w:tc>
              <w:tc>
                <w:tcPr>
                  <w:tcW w:w="688" w:type="pct"/>
                  <w:vAlign w:val="center"/>
                </w:tcPr>
                <w:p w14:paraId="7415EB50">
                  <w:pPr>
                    <w:widowControl/>
                    <w:jc w:val="center"/>
                    <w:rPr>
                      <w:rFonts w:hint="eastAsia" w:ascii="宋体" w:hAnsi="宋体"/>
                      <w:szCs w:val="21"/>
                    </w:rPr>
                  </w:pPr>
                  <w:r>
                    <w:rPr>
                      <w:rFonts w:ascii="宋体" w:hAnsi="宋体"/>
                      <w:szCs w:val="21"/>
                    </w:rPr>
                    <w:t>9</w:t>
                  </w:r>
                </w:p>
              </w:tc>
              <w:tc>
                <w:tcPr>
                  <w:tcW w:w="873" w:type="dxa"/>
                  <w:vAlign w:val="bottom"/>
                </w:tcPr>
                <w:p w14:paraId="07F13F32">
                  <w:pPr>
                    <w:widowControl/>
                    <w:jc w:val="center"/>
                    <w:rPr>
                      <w:rFonts w:hint="eastAsia" w:ascii="宋体" w:hAnsi="宋体"/>
                      <w:szCs w:val="21"/>
                    </w:rPr>
                  </w:pPr>
                  <w:r>
                    <w:rPr>
                      <w:rFonts w:hint="eastAsia" w:ascii="宋体" w:hAnsi="宋体"/>
                      <w:szCs w:val="21"/>
                    </w:rPr>
                    <w:t>10</w:t>
                  </w:r>
                </w:p>
              </w:tc>
            </w:tr>
            <w:tr w14:paraId="3988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4B7A948F">
                  <w:pPr>
                    <w:widowControl/>
                    <w:jc w:val="center"/>
                    <w:rPr>
                      <w:rFonts w:hint="eastAsia" w:ascii="宋体" w:hAnsi="宋体"/>
                      <w:szCs w:val="21"/>
                    </w:rPr>
                  </w:pPr>
                  <w:r>
                    <w:rPr>
                      <w:rFonts w:ascii="宋体" w:hAnsi="宋体"/>
                      <w:szCs w:val="21"/>
                    </w:rPr>
                    <w:t>9</w:t>
                  </w:r>
                </w:p>
              </w:tc>
              <w:tc>
                <w:tcPr>
                  <w:tcW w:w="2691" w:type="pct"/>
                  <w:vAlign w:val="center"/>
                </w:tcPr>
                <w:p w14:paraId="38A20425">
                  <w:pPr>
                    <w:widowControl/>
                    <w:jc w:val="center"/>
                    <w:rPr>
                      <w:rFonts w:hint="eastAsia" w:ascii="宋体" w:hAnsi="宋体"/>
                      <w:szCs w:val="21"/>
                    </w:rPr>
                  </w:pPr>
                  <w:r>
                    <w:rPr>
                      <w:rFonts w:ascii="宋体" w:hAnsi="宋体"/>
                      <w:szCs w:val="21"/>
                    </w:rPr>
                    <w:t>钻井液用胺基聚醇（或胺基硅醇）</w:t>
                  </w:r>
                </w:p>
              </w:tc>
              <w:tc>
                <w:tcPr>
                  <w:tcW w:w="685" w:type="pct"/>
                  <w:vAlign w:val="center"/>
                </w:tcPr>
                <w:p w14:paraId="3A85E33F">
                  <w:pPr>
                    <w:widowControl/>
                    <w:jc w:val="center"/>
                    <w:rPr>
                      <w:rFonts w:hint="eastAsia" w:ascii="宋体" w:hAnsi="宋体"/>
                      <w:szCs w:val="21"/>
                    </w:rPr>
                  </w:pPr>
                </w:p>
              </w:tc>
              <w:tc>
                <w:tcPr>
                  <w:tcW w:w="688" w:type="pct"/>
                  <w:vAlign w:val="center"/>
                </w:tcPr>
                <w:p w14:paraId="3D6BBFA1">
                  <w:pPr>
                    <w:widowControl/>
                    <w:jc w:val="center"/>
                    <w:rPr>
                      <w:rFonts w:hint="eastAsia" w:ascii="宋体" w:hAnsi="宋体"/>
                      <w:szCs w:val="21"/>
                    </w:rPr>
                  </w:pPr>
                  <w:r>
                    <w:rPr>
                      <w:rFonts w:ascii="宋体" w:hAnsi="宋体"/>
                      <w:szCs w:val="21"/>
                    </w:rPr>
                    <w:t>10</w:t>
                  </w:r>
                </w:p>
              </w:tc>
              <w:tc>
                <w:tcPr>
                  <w:tcW w:w="873" w:type="dxa"/>
                  <w:vAlign w:val="bottom"/>
                </w:tcPr>
                <w:p w14:paraId="69A351DC">
                  <w:pPr>
                    <w:widowControl/>
                    <w:jc w:val="center"/>
                    <w:rPr>
                      <w:rFonts w:hint="eastAsia" w:ascii="宋体" w:hAnsi="宋体"/>
                      <w:szCs w:val="21"/>
                    </w:rPr>
                  </w:pPr>
                  <w:r>
                    <w:rPr>
                      <w:rFonts w:hint="eastAsia" w:ascii="宋体" w:hAnsi="宋体"/>
                      <w:szCs w:val="21"/>
                    </w:rPr>
                    <w:t>10</w:t>
                  </w:r>
                </w:p>
              </w:tc>
            </w:tr>
            <w:tr w14:paraId="0C52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40968E8E">
                  <w:pPr>
                    <w:widowControl/>
                    <w:jc w:val="center"/>
                    <w:rPr>
                      <w:rFonts w:hint="eastAsia" w:ascii="宋体" w:hAnsi="宋体"/>
                      <w:szCs w:val="21"/>
                    </w:rPr>
                  </w:pPr>
                  <w:r>
                    <w:rPr>
                      <w:rFonts w:ascii="宋体" w:hAnsi="宋体"/>
                      <w:szCs w:val="21"/>
                    </w:rPr>
                    <w:t>10</w:t>
                  </w:r>
                </w:p>
              </w:tc>
              <w:tc>
                <w:tcPr>
                  <w:tcW w:w="2691" w:type="pct"/>
                  <w:vAlign w:val="center"/>
                </w:tcPr>
                <w:p w14:paraId="6AE7BF37">
                  <w:pPr>
                    <w:widowControl/>
                    <w:jc w:val="center"/>
                    <w:rPr>
                      <w:rFonts w:hint="eastAsia" w:ascii="宋体" w:hAnsi="宋体"/>
                      <w:szCs w:val="21"/>
                    </w:rPr>
                  </w:pPr>
                  <w:r>
                    <w:rPr>
                      <w:rFonts w:ascii="宋体" w:hAnsi="宋体"/>
                      <w:szCs w:val="21"/>
                    </w:rPr>
                    <w:t>钻井液用高黏聚阴离子纤维素</w:t>
                  </w:r>
                </w:p>
              </w:tc>
              <w:tc>
                <w:tcPr>
                  <w:tcW w:w="685" w:type="pct"/>
                  <w:vAlign w:val="center"/>
                </w:tcPr>
                <w:p w14:paraId="579F94D2">
                  <w:pPr>
                    <w:widowControl/>
                    <w:jc w:val="center"/>
                    <w:rPr>
                      <w:rFonts w:hint="eastAsia" w:ascii="宋体" w:hAnsi="宋体"/>
                      <w:szCs w:val="21"/>
                    </w:rPr>
                  </w:pPr>
                  <w:r>
                    <w:rPr>
                      <w:rFonts w:ascii="宋体" w:hAnsi="宋体"/>
                      <w:szCs w:val="21"/>
                    </w:rPr>
                    <w:t>2</w:t>
                  </w:r>
                </w:p>
              </w:tc>
              <w:tc>
                <w:tcPr>
                  <w:tcW w:w="688" w:type="pct"/>
                  <w:vAlign w:val="center"/>
                </w:tcPr>
                <w:p w14:paraId="201D0F3D">
                  <w:pPr>
                    <w:widowControl/>
                    <w:jc w:val="center"/>
                    <w:rPr>
                      <w:rFonts w:hint="eastAsia" w:ascii="宋体" w:hAnsi="宋体"/>
                      <w:szCs w:val="21"/>
                    </w:rPr>
                  </w:pPr>
                  <w:r>
                    <w:rPr>
                      <w:rFonts w:ascii="宋体" w:hAnsi="宋体"/>
                      <w:szCs w:val="21"/>
                    </w:rPr>
                    <w:t>3</w:t>
                  </w:r>
                </w:p>
              </w:tc>
              <w:tc>
                <w:tcPr>
                  <w:tcW w:w="873" w:type="dxa"/>
                  <w:vAlign w:val="bottom"/>
                </w:tcPr>
                <w:p w14:paraId="15DE4D90">
                  <w:pPr>
                    <w:widowControl/>
                    <w:jc w:val="center"/>
                    <w:rPr>
                      <w:rFonts w:hint="eastAsia" w:ascii="宋体" w:hAnsi="宋体"/>
                      <w:szCs w:val="21"/>
                    </w:rPr>
                  </w:pPr>
                  <w:r>
                    <w:rPr>
                      <w:rFonts w:hint="eastAsia" w:ascii="宋体" w:hAnsi="宋体"/>
                      <w:szCs w:val="21"/>
                    </w:rPr>
                    <w:t>5</w:t>
                  </w:r>
                </w:p>
              </w:tc>
            </w:tr>
            <w:tr w14:paraId="1A17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49CE9F97">
                  <w:pPr>
                    <w:widowControl/>
                    <w:jc w:val="center"/>
                    <w:rPr>
                      <w:rFonts w:hint="eastAsia" w:ascii="宋体" w:hAnsi="宋体"/>
                      <w:szCs w:val="21"/>
                    </w:rPr>
                  </w:pPr>
                  <w:r>
                    <w:rPr>
                      <w:rFonts w:ascii="宋体" w:hAnsi="宋体"/>
                      <w:szCs w:val="21"/>
                    </w:rPr>
                    <w:t>11</w:t>
                  </w:r>
                </w:p>
              </w:tc>
              <w:tc>
                <w:tcPr>
                  <w:tcW w:w="2691" w:type="pct"/>
                  <w:vAlign w:val="center"/>
                </w:tcPr>
                <w:p w14:paraId="16CD40B2">
                  <w:pPr>
                    <w:widowControl/>
                    <w:jc w:val="center"/>
                    <w:rPr>
                      <w:rFonts w:hint="eastAsia" w:ascii="宋体" w:hAnsi="宋体"/>
                      <w:szCs w:val="21"/>
                    </w:rPr>
                  </w:pPr>
                  <w:r>
                    <w:rPr>
                      <w:rFonts w:ascii="宋体" w:hAnsi="宋体"/>
                      <w:szCs w:val="21"/>
                    </w:rPr>
                    <w:t>钻井液用天然高分子降滤失剂</w:t>
                  </w:r>
                </w:p>
              </w:tc>
              <w:tc>
                <w:tcPr>
                  <w:tcW w:w="685" w:type="pct"/>
                  <w:vAlign w:val="center"/>
                </w:tcPr>
                <w:p w14:paraId="5B37A229">
                  <w:pPr>
                    <w:widowControl/>
                    <w:jc w:val="center"/>
                    <w:rPr>
                      <w:rFonts w:hint="eastAsia" w:ascii="宋体" w:hAnsi="宋体"/>
                      <w:szCs w:val="21"/>
                    </w:rPr>
                  </w:pPr>
                </w:p>
              </w:tc>
              <w:tc>
                <w:tcPr>
                  <w:tcW w:w="688" w:type="pct"/>
                  <w:vAlign w:val="center"/>
                </w:tcPr>
                <w:p w14:paraId="0054F343">
                  <w:pPr>
                    <w:widowControl/>
                    <w:jc w:val="center"/>
                    <w:rPr>
                      <w:rFonts w:hint="eastAsia" w:ascii="宋体" w:hAnsi="宋体"/>
                      <w:szCs w:val="21"/>
                    </w:rPr>
                  </w:pPr>
                  <w:r>
                    <w:rPr>
                      <w:rFonts w:ascii="宋体" w:hAnsi="宋体"/>
                      <w:szCs w:val="21"/>
                    </w:rPr>
                    <w:t>14</w:t>
                  </w:r>
                </w:p>
              </w:tc>
              <w:tc>
                <w:tcPr>
                  <w:tcW w:w="873" w:type="dxa"/>
                  <w:vAlign w:val="bottom"/>
                </w:tcPr>
                <w:p w14:paraId="56050830">
                  <w:pPr>
                    <w:widowControl/>
                    <w:jc w:val="center"/>
                    <w:rPr>
                      <w:rFonts w:hint="eastAsia" w:ascii="宋体" w:hAnsi="宋体"/>
                      <w:szCs w:val="21"/>
                    </w:rPr>
                  </w:pPr>
                  <w:r>
                    <w:rPr>
                      <w:rFonts w:hint="eastAsia" w:ascii="宋体" w:hAnsi="宋体"/>
                      <w:szCs w:val="21"/>
                    </w:rPr>
                    <w:t>14</w:t>
                  </w:r>
                </w:p>
              </w:tc>
            </w:tr>
            <w:tr w14:paraId="54C9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23A34D71">
                  <w:pPr>
                    <w:widowControl/>
                    <w:jc w:val="center"/>
                    <w:rPr>
                      <w:rFonts w:hint="eastAsia" w:ascii="宋体" w:hAnsi="宋体"/>
                      <w:szCs w:val="21"/>
                    </w:rPr>
                  </w:pPr>
                  <w:r>
                    <w:rPr>
                      <w:rFonts w:ascii="宋体" w:hAnsi="宋体"/>
                      <w:szCs w:val="21"/>
                    </w:rPr>
                    <w:t>12</w:t>
                  </w:r>
                </w:p>
              </w:tc>
              <w:tc>
                <w:tcPr>
                  <w:tcW w:w="2691" w:type="pct"/>
                  <w:vAlign w:val="center"/>
                </w:tcPr>
                <w:p w14:paraId="4ADE9BFA">
                  <w:pPr>
                    <w:widowControl/>
                    <w:jc w:val="center"/>
                    <w:rPr>
                      <w:rFonts w:hint="eastAsia" w:ascii="宋体" w:hAnsi="宋体"/>
                      <w:szCs w:val="21"/>
                    </w:rPr>
                  </w:pPr>
                  <w:r>
                    <w:rPr>
                      <w:rFonts w:ascii="宋体" w:hAnsi="宋体"/>
                      <w:szCs w:val="21"/>
                    </w:rPr>
                    <w:t>钻井液用低黏聚阴离子纤维素</w:t>
                  </w:r>
                </w:p>
              </w:tc>
              <w:tc>
                <w:tcPr>
                  <w:tcW w:w="685" w:type="pct"/>
                  <w:vAlign w:val="center"/>
                </w:tcPr>
                <w:p w14:paraId="59129AF0">
                  <w:pPr>
                    <w:widowControl/>
                    <w:jc w:val="center"/>
                    <w:rPr>
                      <w:rFonts w:hint="eastAsia" w:ascii="宋体" w:hAnsi="宋体"/>
                      <w:szCs w:val="21"/>
                    </w:rPr>
                  </w:pPr>
                  <w:r>
                    <w:rPr>
                      <w:rFonts w:ascii="宋体" w:hAnsi="宋体"/>
                      <w:szCs w:val="21"/>
                    </w:rPr>
                    <w:t>2</w:t>
                  </w:r>
                </w:p>
              </w:tc>
              <w:tc>
                <w:tcPr>
                  <w:tcW w:w="688" w:type="pct"/>
                  <w:vAlign w:val="center"/>
                </w:tcPr>
                <w:p w14:paraId="39CED037">
                  <w:pPr>
                    <w:widowControl/>
                    <w:jc w:val="center"/>
                    <w:rPr>
                      <w:rFonts w:hint="eastAsia" w:ascii="宋体" w:hAnsi="宋体"/>
                      <w:szCs w:val="21"/>
                    </w:rPr>
                  </w:pPr>
                  <w:r>
                    <w:rPr>
                      <w:rFonts w:ascii="宋体" w:hAnsi="宋体"/>
                      <w:szCs w:val="21"/>
                    </w:rPr>
                    <w:t>10</w:t>
                  </w:r>
                </w:p>
              </w:tc>
              <w:tc>
                <w:tcPr>
                  <w:tcW w:w="873" w:type="dxa"/>
                  <w:vAlign w:val="bottom"/>
                </w:tcPr>
                <w:p w14:paraId="4E169E74">
                  <w:pPr>
                    <w:widowControl/>
                    <w:jc w:val="center"/>
                    <w:rPr>
                      <w:rFonts w:hint="eastAsia" w:ascii="宋体" w:hAnsi="宋体"/>
                      <w:szCs w:val="21"/>
                    </w:rPr>
                  </w:pPr>
                  <w:r>
                    <w:rPr>
                      <w:rFonts w:hint="eastAsia" w:ascii="宋体" w:hAnsi="宋体"/>
                      <w:szCs w:val="21"/>
                    </w:rPr>
                    <w:t>12</w:t>
                  </w:r>
                </w:p>
              </w:tc>
            </w:tr>
            <w:tr w14:paraId="23EE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56D0A66C">
                  <w:pPr>
                    <w:widowControl/>
                    <w:jc w:val="center"/>
                    <w:rPr>
                      <w:rFonts w:hint="eastAsia" w:ascii="宋体" w:hAnsi="宋体"/>
                      <w:szCs w:val="21"/>
                    </w:rPr>
                  </w:pPr>
                  <w:r>
                    <w:rPr>
                      <w:rFonts w:ascii="宋体" w:hAnsi="宋体"/>
                      <w:szCs w:val="21"/>
                    </w:rPr>
                    <w:t>13</w:t>
                  </w:r>
                </w:p>
              </w:tc>
              <w:tc>
                <w:tcPr>
                  <w:tcW w:w="2691" w:type="pct"/>
                  <w:vAlign w:val="center"/>
                </w:tcPr>
                <w:p w14:paraId="1D8D695C">
                  <w:pPr>
                    <w:widowControl/>
                    <w:jc w:val="center"/>
                    <w:rPr>
                      <w:rFonts w:hint="eastAsia" w:ascii="宋体" w:hAnsi="宋体"/>
                      <w:szCs w:val="21"/>
                    </w:rPr>
                  </w:pPr>
                  <w:r>
                    <w:rPr>
                      <w:rFonts w:ascii="宋体" w:hAnsi="宋体"/>
                      <w:szCs w:val="21"/>
                    </w:rPr>
                    <w:t>钻井液用抗高温抗盐防塌降滤失剂</w:t>
                  </w:r>
                </w:p>
              </w:tc>
              <w:tc>
                <w:tcPr>
                  <w:tcW w:w="685" w:type="pct"/>
                  <w:vAlign w:val="center"/>
                </w:tcPr>
                <w:p w14:paraId="550FA605">
                  <w:pPr>
                    <w:widowControl/>
                    <w:jc w:val="center"/>
                    <w:rPr>
                      <w:rFonts w:hint="eastAsia" w:ascii="宋体" w:hAnsi="宋体"/>
                      <w:szCs w:val="21"/>
                    </w:rPr>
                  </w:pPr>
                </w:p>
              </w:tc>
              <w:tc>
                <w:tcPr>
                  <w:tcW w:w="688" w:type="pct"/>
                  <w:vAlign w:val="center"/>
                </w:tcPr>
                <w:p w14:paraId="5460DF1D">
                  <w:pPr>
                    <w:widowControl/>
                    <w:jc w:val="center"/>
                    <w:rPr>
                      <w:rFonts w:hint="eastAsia" w:ascii="宋体" w:hAnsi="宋体"/>
                      <w:szCs w:val="21"/>
                    </w:rPr>
                  </w:pPr>
                  <w:r>
                    <w:rPr>
                      <w:rFonts w:ascii="宋体" w:hAnsi="宋体"/>
                      <w:szCs w:val="21"/>
                    </w:rPr>
                    <w:t>20</w:t>
                  </w:r>
                </w:p>
              </w:tc>
              <w:tc>
                <w:tcPr>
                  <w:tcW w:w="873" w:type="dxa"/>
                  <w:vAlign w:val="bottom"/>
                </w:tcPr>
                <w:p w14:paraId="235C3873">
                  <w:pPr>
                    <w:widowControl/>
                    <w:jc w:val="center"/>
                    <w:rPr>
                      <w:rFonts w:hint="eastAsia" w:ascii="宋体" w:hAnsi="宋体"/>
                      <w:szCs w:val="21"/>
                    </w:rPr>
                  </w:pPr>
                  <w:r>
                    <w:rPr>
                      <w:rFonts w:hint="eastAsia" w:ascii="宋体" w:hAnsi="宋体"/>
                      <w:szCs w:val="21"/>
                    </w:rPr>
                    <w:t>20</w:t>
                  </w:r>
                </w:p>
              </w:tc>
            </w:tr>
            <w:tr w14:paraId="4A7B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08894AC5">
                  <w:pPr>
                    <w:widowControl/>
                    <w:jc w:val="center"/>
                    <w:rPr>
                      <w:rFonts w:hint="eastAsia" w:ascii="宋体" w:hAnsi="宋体"/>
                      <w:szCs w:val="21"/>
                    </w:rPr>
                  </w:pPr>
                  <w:r>
                    <w:rPr>
                      <w:rFonts w:ascii="宋体" w:hAnsi="宋体"/>
                      <w:szCs w:val="21"/>
                    </w:rPr>
                    <w:t>14</w:t>
                  </w:r>
                </w:p>
              </w:tc>
              <w:tc>
                <w:tcPr>
                  <w:tcW w:w="2691" w:type="pct"/>
                  <w:vAlign w:val="center"/>
                </w:tcPr>
                <w:p w14:paraId="16061ECB">
                  <w:pPr>
                    <w:widowControl/>
                    <w:jc w:val="center"/>
                    <w:rPr>
                      <w:rFonts w:hint="eastAsia" w:ascii="宋体" w:hAnsi="宋体"/>
                      <w:szCs w:val="21"/>
                    </w:rPr>
                  </w:pPr>
                  <w:r>
                    <w:rPr>
                      <w:rFonts w:ascii="宋体" w:hAnsi="宋体"/>
                      <w:szCs w:val="21"/>
                    </w:rPr>
                    <w:t>钻井液用磺酸盐共聚物降滤失剂</w:t>
                  </w:r>
                </w:p>
              </w:tc>
              <w:tc>
                <w:tcPr>
                  <w:tcW w:w="685" w:type="pct"/>
                  <w:vAlign w:val="center"/>
                </w:tcPr>
                <w:p w14:paraId="03D80035">
                  <w:pPr>
                    <w:widowControl/>
                    <w:jc w:val="center"/>
                    <w:rPr>
                      <w:rFonts w:hint="eastAsia" w:ascii="宋体" w:hAnsi="宋体"/>
                      <w:szCs w:val="21"/>
                    </w:rPr>
                  </w:pPr>
                </w:p>
              </w:tc>
              <w:tc>
                <w:tcPr>
                  <w:tcW w:w="688" w:type="pct"/>
                  <w:vAlign w:val="center"/>
                </w:tcPr>
                <w:p w14:paraId="108C960C">
                  <w:pPr>
                    <w:widowControl/>
                    <w:jc w:val="center"/>
                    <w:rPr>
                      <w:rFonts w:hint="eastAsia" w:ascii="宋体" w:hAnsi="宋体"/>
                      <w:szCs w:val="21"/>
                    </w:rPr>
                  </w:pPr>
                  <w:r>
                    <w:rPr>
                      <w:rFonts w:ascii="宋体" w:hAnsi="宋体"/>
                      <w:szCs w:val="21"/>
                    </w:rPr>
                    <w:t>10</w:t>
                  </w:r>
                </w:p>
              </w:tc>
              <w:tc>
                <w:tcPr>
                  <w:tcW w:w="873" w:type="dxa"/>
                  <w:vAlign w:val="bottom"/>
                </w:tcPr>
                <w:p w14:paraId="7C6504F3">
                  <w:pPr>
                    <w:widowControl/>
                    <w:jc w:val="center"/>
                    <w:rPr>
                      <w:rFonts w:hint="eastAsia" w:ascii="宋体" w:hAnsi="宋体"/>
                      <w:szCs w:val="21"/>
                    </w:rPr>
                  </w:pPr>
                  <w:r>
                    <w:rPr>
                      <w:rFonts w:hint="eastAsia" w:ascii="宋体" w:hAnsi="宋体"/>
                      <w:szCs w:val="21"/>
                    </w:rPr>
                    <w:t>10</w:t>
                  </w:r>
                </w:p>
              </w:tc>
            </w:tr>
            <w:tr w14:paraId="0CC5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0D522397">
                  <w:pPr>
                    <w:widowControl/>
                    <w:jc w:val="center"/>
                    <w:rPr>
                      <w:rFonts w:hint="eastAsia" w:ascii="宋体" w:hAnsi="宋体"/>
                      <w:szCs w:val="21"/>
                    </w:rPr>
                  </w:pPr>
                  <w:r>
                    <w:rPr>
                      <w:rFonts w:ascii="宋体" w:hAnsi="宋体"/>
                      <w:szCs w:val="21"/>
                    </w:rPr>
                    <w:t>15</w:t>
                  </w:r>
                </w:p>
              </w:tc>
              <w:tc>
                <w:tcPr>
                  <w:tcW w:w="2691" w:type="pct"/>
                  <w:vAlign w:val="center"/>
                </w:tcPr>
                <w:p w14:paraId="232C03EA">
                  <w:pPr>
                    <w:widowControl/>
                    <w:jc w:val="center"/>
                    <w:rPr>
                      <w:rFonts w:hint="eastAsia" w:ascii="宋体" w:hAnsi="宋体"/>
                      <w:szCs w:val="21"/>
                    </w:rPr>
                  </w:pPr>
                  <w:r>
                    <w:rPr>
                      <w:rFonts w:ascii="宋体" w:hAnsi="宋体"/>
                      <w:szCs w:val="21"/>
                    </w:rPr>
                    <w:t>钻井液用井壁稳定剂</w:t>
                  </w:r>
                </w:p>
              </w:tc>
              <w:tc>
                <w:tcPr>
                  <w:tcW w:w="685" w:type="pct"/>
                  <w:vAlign w:val="center"/>
                </w:tcPr>
                <w:p w14:paraId="6A9EFA5A">
                  <w:pPr>
                    <w:widowControl/>
                    <w:jc w:val="center"/>
                    <w:rPr>
                      <w:rFonts w:hint="eastAsia" w:ascii="宋体" w:hAnsi="宋体"/>
                      <w:szCs w:val="21"/>
                    </w:rPr>
                  </w:pPr>
                </w:p>
              </w:tc>
              <w:tc>
                <w:tcPr>
                  <w:tcW w:w="688" w:type="pct"/>
                  <w:vAlign w:val="center"/>
                </w:tcPr>
                <w:p w14:paraId="6FF7406F">
                  <w:pPr>
                    <w:widowControl/>
                    <w:jc w:val="center"/>
                    <w:rPr>
                      <w:rFonts w:hint="eastAsia" w:ascii="宋体" w:hAnsi="宋体"/>
                      <w:szCs w:val="21"/>
                    </w:rPr>
                  </w:pPr>
                  <w:r>
                    <w:rPr>
                      <w:rFonts w:ascii="宋体" w:hAnsi="宋体"/>
                      <w:szCs w:val="21"/>
                    </w:rPr>
                    <w:t>15</w:t>
                  </w:r>
                </w:p>
              </w:tc>
              <w:tc>
                <w:tcPr>
                  <w:tcW w:w="873" w:type="dxa"/>
                  <w:vAlign w:val="bottom"/>
                </w:tcPr>
                <w:p w14:paraId="7B6FD82F">
                  <w:pPr>
                    <w:widowControl/>
                    <w:jc w:val="center"/>
                    <w:rPr>
                      <w:rFonts w:hint="eastAsia" w:ascii="宋体" w:hAnsi="宋体"/>
                      <w:szCs w:val="21"/>
                    </w:rPr>
                  </w:pPr>
                  <w:r>
                    <w:rPr>
                      <w:rFonts w:hint="eastAsia" w:ascii="宋体" w:hAnsi="宋体"/>
                      <w:szCs w:val="21"/>
                    </w:rPr>
                    <w:t>15</w:t>
                  </w:r>
                </w:p>
              </w:tc>
            </w:tr>
            <w:tr w14:paraId="308D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0EB1DEE8">
                  <w:pPr>
                    <w:widowControl/>
                    <w:jc w:val="center"/>
                    <w:rPr>
                      <w:rFonts w:hint="eastAsia" w:ascii="宋体" w:hAnsi="宋体"/>
                      <w:szCs w:val="21"/>
                    </w:rPr>
                  </w:pPr>
                  <w:r>
                    <w:rPr>
                      <w:rFonts w:ascii="宋体" w:hAnsi="宋体"/>
                      <w:szCs w:val="21"/>
                    </w:rPr>
                    <w:t>16</w:t>
                  </w:r>
                </w:p>
              </w:tc>
              <w:tc>
                <w:tcPr>
                  <w:tcW w:w="2691" w:type="pct"/>
                  <w:vAlign w:val="center"/>
                </w:tcPr>
                <w:p w14:paraId="58C12E04">
                  <w:pPr>
                    <w:widowControl/>
                    <w:jc w:val="center"/>
                    <w:rPr>
                      <w:rFonts w:hint="eastAsia" w:ascii="宋体" w:hAnsi="宋体"/>
                      <w:szCs w:val="21"/>
                    </w:rPr>
                  </w:pPr>
                  <w:r>
                    <w:rPr>
                      <w:rFonts w:ascii="宋体" w:hAnsi="宋体"/>
                      <w:szCs w:val="21"/>
                    </w:rPr>
                    <w:t>钻井液用抗温封堵防塌剂-1</w:t>
                  </w:r>
                </w:p>
              </w:tc>
              <w:tc>
                <w:tcPr>
                  <w:tcW w:w="685" w:type="pct"/>
                  <w:vAlign w:val="center"/>
                </w:tcPr>
                <w:p w14:paraId="060F3117">
                  <w:pPr>
                    <w:widowControl/>
                    <w:jc w:val="center"/>
                    <w:rPr>
                      <w:rFonts w:hint="eastAsia" w:ascii="宋体" w:hAnsi="宋体"/>
                      <w:szCs w:val="21"/>
                    </w:rPr>
                  </w:pPr>
                </w:p>
              </w:tc>
              <w:tc>
                <w:tcPr>
                  <w:tcW w:w="688" w:type="pct"/>
                  <w:vAlign w:val="center"/>
                </w:tcPr>
                <w:p w14:paraId="0FDAE679">
                  <w:pPr>
                    <w:widowControl/>
                    <w:jc w:val="center"/>
                    <w:rPr>
                      <w:rFonts w:hint="eastAsia" w:ascii="宋体" w:hAnsi="宋体"/>
                      <w:szCs w:val="21"/>
                    </w:rPr>
                  </w:pPr>
                  <w:r>
                    <w:rPr>
                      <w:rFonts w:ascii="宋体" w:hAnsi="宋体"/>
                      <w:szCs w:val="21"/>
                    </w:rPr>
                    <w:t>15</w:t>
                  </w:r>
                </w:p>
              </w:tc>
              <w:tc>
                <w:tcPr>
                  <w:tcW w:w="873" w:type="dxa"/>
                  <w:vAlign w:val="bottom"/>
                </w:tcPr>
                <w:p w14:paraId="5BC85C63">
                  <w:pPr>
                    <w:widowControl/>
                    <w:jc w:val="center"/>
                    <w:rPr>
                      <w:rFonts w:hint="eastAsia" w:ascii="宋体" w:hAnsi="宋体"/>
                      <w:szCs w:val="21"/>
                    </w:rPr>
                  </w:pPr>
                  <w:r>
                    <w:rPr>
                      <w:rFonts w:hint="eastAsia" w:ascii="宋体" w:hAnsi="宋体"/>
                      <w:szCs w:val="21"/>
                    </w:rPr>
                    <w:t>15</w:t>
                  </w:r>
                </w:p>
              </w:tc>
            </w:tr>
            <w:tr w14:paraId="26CE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3489B04E">
                  <w:pPr>
                    <w:widowControl/>
                    <w:jc w:val="center"/>
                    <w:rPr>
                      <w:rFonts w:hint="eastAsia" w:ascii="宋体" w:hAnsi="宋体"/>
                      <w:szCs w:val="21"/>
                    </w:rPr>
                  </w:pPr>
                  <w:r>
                    <w:rPr>
                      <w:rFonts w:ascii="宋体" w:hAnsi="宋体"/>
                      <w:szCs w:val="21"/>
                    </w:rPr>
                    <w:t>17</w:t>
                  </w:r>
                </w:p>
              </w:tc>
              <w:tc>
                <w:tcPr>
                  <w:tcW w:w="2691" w:type="pct"/>
                  <w:vAlign w:val="center"/>
                </w:tcPr>
                <w:p w14:paraId="213D71B6">
                  <w:pPr>
                    <w:widowControl/>
                    <w:jc w:val="center"/>
                    <w:rPr>
                      <w:rFonts w:hint="eastAsia" w:ascii="宋体" w:hAnsi="宋体"/>
                      <w:szCs w:val="21"/>
                    </w:rPr>
                  </w:pPr>
                  <w:r>
                    <w:rPr>
                      <w:rFonts w:ascii="宋体" w:hAnsi="宋体"/>
                      <w:szCs w:val="21"/>
                    </w:rPr>
                    <w:t>钻井液用多级配填充封堵剂</w:t>
                  </w:r>
                </w:p>
              </w:tc>
              <w:tc>
                <w:tcPr>
                  <w:tcW w:w="685" w:type="pct"/>
                  <w:vAlign w:val="center"/>
                </w:tcPr>
                <w:p w14:paraId="4D4010A2">
                  <w:pPr>
                    <w:widowControl/>
                    <w:jc w:val="center"/>
                    <w:rPr>
                      <w:rFonts w:hint="eastAsia" w:ascii="宋体" w:hAnsi="宋体"/>
                      <w:szCs w:val="21"/>
                    </w:rPr>
                  </w:pPr>
                </w:p>
              </w:tc>
              <w:tc>
                <w:tcPr>
                  <w:tcW w:w="688" w:type="pct"/>
                  <w:vAlign w:val="center"/>
                </w:tcPr>
                <w:p w14:paraId="2DCAF590">
                  <w:pPr>
                    <w:widowControl/>
                    <w:jc w:val="center"/>
                    <w:rPr>
                      <w:rFonts w:hint="eastAsia" w:ascii="宋体" w:hAnsi="宋体"/>
                      <w:szCs w:val="21"/>
                    </w:rPr>
                  </w:pPr>
                  <w:r>
                    <w:rPr>
                      <w:rFonts w:ascii="宋体" w:hAnsi="宋体"/>
                      <w:szCs w:val="21"/>
                    </w:rPr>
                    <w:t>25</w:t>
                  </w:r>
                </w:p>
              </w:tc>
              <w:tc>
                <w:tcPr>
                  <w:tcW w:w="873" w:type="dxa"/>
                  <w:vAlign w:val="bottom"/>
                </w:tcPr>
                <w:p w14:paraId="5E3B5F91">
                  <w:pPr>
                    <w:widowControl/>
                    <w:jc w:val="center"/>
                    <w:rPr>
                      <w:rFonts w:hint="eastAsia" w:ascii="宋体" w:hAnsi="宋体"/>
                      <w:szCs w:val="21"/>
                    </w:rPr>
                  </w:pPr>
                  <w:r>
                    <w:rPr>
                      <w:rFonts w:hint="eastAsia" w:ascii="宋体" w:hAnsi="宋体"/>
                      <w:szCs w:val="21"/>
                    </w:rPr>
                    <w:t>25</w:t>
                  </w:r>
                </w:p>
              </w:tc>
            </w:tr>
            <w:tr w14:paraId="41E0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4B71943D">
                  <w:pPr>
                    <w:widowControl/>
                    <w:jc w:val="center"/>
                    <w:rPr>
                      <w:rFonts w:hint="eastAsia" w:ascii="宋体" w:hAnsi="宋体"/>
                      <w:szCs w:val="21"/>
                    </w:rPr>
                  </w:pPr>
                  <w:r>
                    <w:rPr>
                      <w:rFonts w:ascii="宋体" w:hAnsi="宋体"/>
                      <w:szCs w:val="21"/>
                    </w:rPr>
                    <w:t>18</w:t>
                  </w:r>
                </w:p>
              </w:tc>
              <w:tc>
                <w:tcPr>
                  <w:tcW w:w="2691" w:type="pct"/>
                  <w:vAlign w:val="center"/>
                </w:tcPr>
                <w:p w14:paraId="5F50B52F">
                  <w:pPr>
                    <w:widowControl/>
                    <w:jc w:val="center"/>
                    <w:rPr>
                      <w:rFonts w:hint="eastAsia" w:ascii="宋体" w:hAnsi="宋体"/>
                      <w:szCs w:val="21"/>
                    </w:rPr>
                  </w:pPr>
                  <w:r>
                    <w:rPr>
                      <w:rFonts w:ascii="宋体" w:hAnsi="宋体"/>
                      <w:szCs w:val="21"/>
                    </w:rPr>
                    <w:t>钻井液用纳米封堵剂</w:t>
                  </w:r>
                </w:p>
              </w:tc>
              <w:tc>
                <w:tcPr>
                  <w:tcW w:w="685" w:type="pct"/>
                  <w:vAlign w:val="center"/>
                </w:tcPr>
                <w:p w14:paraId="3643C1CA">
                  <w:pPr>
                    <w:widowControl/>
                    <w:jc w:val="center"/>
                    <w:rPr>
                      <w:rFonts w:hint="eastAsia" w:ascii="宋体" w:hAnsi="宋体"/>
                      <w:szCs w:val="21"/>
                    </w:rPr>
                  </w:pPr>
                </w:p>
              </w:tc>
              <w:tc>
                <w:tcPr>
                  <w:tcW w:w="688" w:type="pct"/>
                  <w:vAlign w:val="center"/>
                </w:tcPr>
                <w:p w14:paraId="606E2392">
                  <w:pPr>
                    <w:widowControl/>
                    <w:jc w:val="center"/>
                    <w:rPr>
                      <w:rFonts w:hint="eastAsia" w:ascii="宋体" w:hAnsi="宋体"/>
                      <w:szCs w:val="21"/>
                    </w:rPr>
                  </w:pPr>
                  <w:r>
                    <w:rPr>
                      <w:rFonts w:ascii="宋体" w:hAnsi="宋体"/>
                      <w:szCs w:val="21"/>
                    </w:rPr>
                    <w:t>15</w:t>
                  </w:r>
                </w:p>
              </w:tc>
              <w:tc>
                <w:tcPr>
                  <w:tcW w:w="873" w:type="dxa"/>
                  <w:vAlign w:val="bottom"/>
                </w:tcPr>
                <w:p w14:paraId="7C5772EC">
                  <w:pPr>
                    <w:widowControl/>
                    <w:jc w:val="center"/>
                    <w:rPr>
                      <w:rFonts w:hint="eastAsia" w:ascii="宋体" w:hAnsi="宋体"/>
                      <w:szCs w:val="21"/>
                    </w:rPr>
                  </w:pPr>
                  <w:r>
                    <w:rPr>
                      <w:rFonts w:hint="eastAsia" w:ascii="宋体" w:hAnsi="宋体"/>
                      <w:szCs w:val="21"/>
                    </w:rPr>
                    <w:t>15</w:t>
                  </w:r>
                </w:p>
              </w:tc>
            </w:tr>
            <w:tr w14:paraId="1D9C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79" w:type="pct"/>
                  <w:vAlign w:val="center"/>
                </w:tcPr>
                <w:p w14:paraId="6948DE00">
                  <w:pPr>
                    <w:widowControl/>
                    <w:jc w:val="center"/>
                    <w:rPr>
                      <w:rFonts w:hint="eastAsia" w:ascii="宋体" w:hAnsi="宋体"/>
                      <w:szCs w:val="21"/>
                    </w:rPr>
                  </w:pPr>
                  <w:r>
                    <w:rPr>
                      <w:rFonts w:ascii="宋体" w:hAnsi="宋体"/>
                      <w:szCs w:val="21"/>
                    </w:rPr>
                    <w:t>19</w:t>
                  </w:r>
                </w:p>
              </w:tc>
              <w:tc>
                <w:tcPr>
                  <w:tcW w:w="2691" w:type="pct"/>
                  <w:vAlign w:val="center"/>
                </w:tcPr>
                <w:p w14:paraId="2B799FD6">
                  <w:pPr>
                    <w:widowControl/>
                    <w:jc w:val="center"/>
                    <w:rPr>
                      <w:rFonts w:hint="eastAsia" w:ascii="宋体" w:hAnsi="宋体"/>
                      <w:szCs w:val="21"/>
                    </w:rPr>
                  </w:pPr>
                  <w:r>
                    <w:rPr>
                      <w:rFonts w:ascii="宋体" w:hAnsi="宋体"/>
                      <w:szCs w:val="21"/>
                    </w:rPr>
                    <w:t>钻井液用磺甲基酚醛树脂</w:t>
                  </w:r>
                </w:p>
              </w:tc>
              <w:tc>
                <w:tcPr>
                  <w:tcW w:w="685" w:type="pct"/>
                  <w:vAlign w:val="center"/>
                </w:tcPr>
                <w:p w14:paraId="73F5958D">
                  <w:pPr>
                    <w:widowControl/>
                    <w:jc w:val="center"/>
                    <w:rPr>
                      <w:rFonts w:hint="eastAsia" w:ascii="宋体" w:hAnsi="宋体"/>
                      <w:szCs w:val="21"/>
                    </w:rPr>
                  </w:pPr>
                </w:p>
              </w:tc>
              <w:tc>
                <w:tcPr>
                  <w:tcW w:w="688" w:type="pct"/>
                  <w:vAlign w:val="center"/>
                </w:tcPr>
                <w:p w14:paraId="2F7746FF">
                  <w:pPr>
                    <w:widowControl/>
                    <w:jc w:val="center"/>
                    <w:rPr>
                      <w:rFonts w:hint="eastAsia" w:ascii="宋体" w:hAnsi="宋体"/>
                      <w:szCs w:val="21"/>
                    </w:rPr>
                  </w:pPr>
                  <w:r>
                    <w:rPr>
                      <w:rFonts w:ascii="宋体" w:hAnsi="宋体"/>
                      <w:szCs w:val="21"/>
                    </w:rPr>
                    <w:t>24</w:t>
                  </w:r>
                </w:p>
              </w:tc>
              <w:tc>
                <w:tcPr>
                  <w:tcW w:w="873" w:type="dxa"/>
                  <w:vAlign w:val="bottom"/>
                </w:tcPr>
                <w:p w14:paraId="0DEB7962">
                  <w:pPr>
                    <w:widowControl/>
                    <w:jc w:val="center"/>
                    <w:rPr>
                      <w:rFonts w:hint="eastAsia" w:ascii="宋体" w:hAnsi="宋体"/>
                      <w:szCs w:val="21"/>
                    </w:rPr>
                  </w:pPr>
                  <w:r>
                    <w:rPr>
                      <w:rFonts w:hint="eastAsia" w:ascii="宋体" w:hAnsi="宋体"/>
                      <w:szCs w:val="21"/>
                    </w:rPr>
                    <w:t>24</w:t>
                  </w:r>
                </w:p>
              </w:tc>
            </w:tr>
            <w:tr w14:paraId="0125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146CCC1A">
                  <w:pPr>
                    <w:widowControl/>
                    <w:jc w:val="center"/>
                    <w:rPr>
                      <w:rFonts w:hint="eastAsia" w:ascii="宋体" w:hAnsi="宋体"/>
                      <w:szCs w:val="21"/>
                    </w:rPr>
                  </w:pPr>
                  <w:r>
                    <w:rPr>
                      <w:rFonts w:ascii="宋体" w:hAnsi="宋体"/>
                      <w:szCs w:val="21"/>
                    </w:rPr>
                    <w:t>20</w:t>
                  </w:r>
                </w:p>
              </w:tc>
              <w:tc>
                <w:tcPr>
                  <w:tcW w:w="2691" w:type="pct"/>
                  <w:vAlign w:val="center"/>
                </w:tcPr>
                <w:p w14:paraId="2CDEB632">
                  <w:pPr>
                    <w:widowControl/>
                    <w:jc w:val="center"/>
                    <w:rPr>
                      <w:rFonts w:hint="eastAsia" w:ascii="宋体" w:hAnsi="宋体"/>
                      <w:szCs w:val="21"/>
                    </w:rPr>
                  </w:pPr>
                  <w:r>
                    <w:rPr>
                      <w:rFonts w:ascii="宋体" w:hAnsi="宋体"/>
                      <w:szCs w:val="21"/>
                    </w:rPr>
                    <w:t>钻井液用极压润滑剂</w:t>
                  </w:r>
                </w:p>
              </w:tc>
              <w:tc>
                <w:tcPr>
                  <w:tcW w:w="685" w:type="pct"/>
                  <w:vAlign w:val="center"/>
                </w:tcPr>
                <w:p w14:paraId="77007134">
                  <w:pPr>
                    <w:widowControl/>
                    <w:jc w:val="center"/>
                    <w:rPr>
                      <w:rFonts w:hint="eastAsia" w:ascii="宋体" w:hAnsi="宋体"/>
                      <w:szCs w:val="21"/>
                    </w:rPr>
                  </w:pPr>
                </w:p>
              </w:tc>
              <w:tc>
                <w:tcPr>
                  <w:tcW w:w="688" w:type="pct"/>
                  <w:vAlign w:val="center"/>
                </w:tcPr>
                <w:p w14:paraId="6703DE4F">
                  <w:pPr>
                    <w:widowControl/>
                    <w:jc w:val="center"/>
                    <w:rPr>
                      <w:rFonts w:hint="eastAsia" w:ascii="宋体" w:hAnsi="宋体"/>
                      <w:szCs w:val="21"/>
                    </w:rPr>
                  </w:pPr>
                  <w:r>
                    <w:rPr>
                      <w:rFonts w:ascii="宋体" w:hAnsi="宋体"/>
                      <w:szCs w:val="21"/>
                    </w:rPr>
                    <w:t>4</w:t>
                  </w:r>
                </w:p>
              </w:tc>
              <w:tc>
                <w:tcPr>
                  <w:tcW w:w="873" w:type="dxa"/>
                  <w:vAlign w:val="bottom"/>
                </w:tcPr>
                <w:p w14:paraId="1A7477CF">
                  <w:pPr>
                    <w:widowControl/>
                    <w:jc w:val="center"/>
                    <w:rPr>
                      <w:rFonts w:hint="eastAsia" w:ascii="宋体" w:hAnsi="宋体"/>
                      <w:szCs w:val="21"/>
                    </w:rPr>
                  </w:pPr>
                  <w:r>
                    <w:rPr>
                      <w:rFonts w:hint="eastAsia" w:ascii="宋体" w:hAnsi="宋体"/>
                      <w:szCs w:val="21"/>
                    </w:rPr>
                    <w:t>4</w:t>
                  </w:r>
                </w:p>
              </w:tc>
            </w:tr>
            <w:tr w14:paraId="6EE3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042608AF">
                  <w:pPr>
                    <w:widowControl/>
                    <w:jc w:val="center"/>
                    <w:rPr>
                      <w:rFonts w:hint="eastAsia" w:ascii="宋体" w:hAnsi="宋体"/>
                      <w:szCs w:val="21"/>
                    </w:rPr>
                  </w:pPr>
                  <w:r>
                    <w:rPr>
                      <w:rFonts w:ascii="宋体" w:hAnsi="宋体"/>
                      <w:szCs w:val="21"/>
                    </w:rPr>
                    <w:t>21</w:t>
                  </w:r>
                </w:p>
              </w:tc>
              <w:tc>
                <w:tcPr>
                  <w:tcW w:w="2691" w:type="pct"/>
                  <w:vAlign w:val="center"/>
                </w:tcPr>
                <w:p w14:paraId="4227D653">
                  <w:pPr>
                    <w:widowControl/>
                    <w:jc w:val="center"/>
                    <w:rPr>
                      <w:rFonts w:hint="eastAsia" w:ascii="宋体" w:hAnsi="宋体"/>
                      <w:szCs w:val="21"/>
                    </w:rPr>
                  </w:pPr>
                  <w:r>
                    <w:rPr>
                      <w:rFonts w:ascii="宋体" w:hAnsi="宋体"/>
                      <w:szCs w:val="21"/>
                    </w:rPr>
                    <w:t>钻井液用硅氟类降黏剂</w:t>
                  </w:r>
                </w:p>
              </w:tc>
              <w:tc>
                <w:tcPr>
                  <w:tcW w:w="685" w:type="pct"/>
                  <w:vAlign w:val="center"/>
                </w:tcPr>
                <w:p w14:paraId="0D560EB2">
                  <w:pPr>
                    <w:widowControl/>
                    <w:jc w:val="center"/>
                    <w:rPr>
                      <w:rFonts w:hint="eastAsia" w:ascii="宋体" w:hAnsi="宋体"/>
                      <w:szCs w:val="21"/>
                    </w:rPr>
                  </w:pPr>
                </w:p>
              </w:tc>
              <w:tc>
                <w:tcPr>
                  <w:tcW w:w="688" w:type="pct"/>
                  <w:vAlign w:val="center"/>
                </w:tcPr>
                <w:p w14:paraId="397E8367">
                  <w:pPr>
                    <w:widowControl/>
                    <w:jc w:val="center"/>
                    <w:rPr>
                      <w:rFonts w:hint="eastAsia" w:ascii="宋体" w:hAnsi="宋体"/>
                      <w:szCs w:val="21"/>
                    </w:rPr>
                  </w:pPr>
                  <w:r>
                    <w:rPr>
                      <w:rFonts w:ascii="宋体" w:hAnsi="宋体"/>
                      <w:szCs w:val="21"/>
                    </w:rPr>
                    <w:t>6</w:t>
                  </w:r>
                </w:p>
              </w:tc>
              <w:tc>
                <w:tcPr>
                  <w:tcW w:w="873" w:type="dxa"/>
                  <w:vAlign w:val="bottom"/>
                </w:tcPr>
                <w:p w14:paraId="4583DDDC">
                  <w:pPr>
                    <w:widowControl/>
                    <w:jc w:val="center"/>
                    <w:rPr>
                      <w:rFonts w:hint="eastAsia" w:ascii="宋体" w:hAnsi="宋体"/>
                      <w:szCs w:val="21"/>
                    </w:rPr>
                  </w:pPr>
                  <w:r>
                    <w:rPr>
                      <w:rFonts w:hint="eastAsia" w:ascii="宋体" w:hAnsi="宋体"/>
                      <w:szCs w:val="21"/>
                    </w:rPr>
                    <w:t>6</w:t>
                  </w:r>
                </w:p>
              </w:tc>
            </w:tr>
            <w:tr w14:paraId="17A4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19611E32">
                  <w:pPr>
                    <w:widowControl/>
                    <w:jc w:val="center"/>
                    <w:rPr>
                      <w:rFonts w:hint="eastAsia" w:ascii="宋体" w:hAnsi="宋体"/>
                      <w:szCs w:val="21"/>
                    </w:rPr>
                  </w:pPr>
                  <w:r>
                    <w:rPr>
                      <w:rFonts w:ascii="宋体" w:hAnsi="宋体"/>
                      <w:szCs w:val="21"/>
                    </w:rPr>
                    <w:t>22</w:t>
                  </w:r>
                </w:p>
              </w:tc>
              <w:tc>
                <w:tcPr>
                  <w:tcW w:w="2691" w:type="pct"/>
                  <w:vAlign w:val="center"/>
                </w:tcPr>
                <w:p w14:paraId="3DD0267A">
                  <w:pPr>
                    <w:widowControl/>
                    <w:jc w:val="center"/>
                    <w:rPr>
                      <w:rFonts w:hint="eastAsia" w:ascii="宋体" w:hAnsi="宋体"/>
                      <w:szCs w:val="21"/>
                    </w:rPr>
                  </w:pPr>
                  <w:r>
                    <w:rPr>
                      <w:rFonts w:ascii="宋体" w:hAnsi="宋体"/>
                      <w:szCs w:val="21"/>
                    </w:rPr>
                    <w:t>钻井液用有机硅稳定剂</w:t>
                  </w:r>
                </w:p>
              </w:tc>
              <w:tc>
                <w:tcPr>
                  <w:tcW w:w="685" w:type="pct"/>
                  <w:vAlign w:val="center"/>
                </w:tcPr>
                <w:p w14:paraId="7560E6A4">
                  <w:pPr>
                    <w:widowControl/>
                    <w:jc w:val="center"/>
                    <w:rPr>
                      <w:rFonts w:hint="eastAsia" w:ascii="宋体" w:hAnsi="宋体"/>
                      <w:szCs w:val="21"/>
                    </w:rPr>
                  </w:pPr>
                </w:p>
              </w:tc>
              <w:tc>
                <w:tcPr>
                  <w:tcW w:w="688" w:type="pct"/>
                  <w:vAlign w:val="center"/>
                </w:tcPr>
                <w:p w14:paraId="217D16FE">
                  <w:pPr>
                    <w:widowControl/>
                    <w:jc w:val="center"/>
                    <w:rPr>
                      <w:rFonts w:hint="eastAsia" w:ascii="宋体" w:hAnsi="宋体"/>
                      <w:szCs w:val="21"/>
                    </w:rPr>
                  </w:pPr>
                  <w:r>
                    <w:rPr>
                      <w:rFonts w:ascii="宋体" w:hAnsi="宋体"/>
                      <w:szCs w:val="21"/>
                    </w:rPr>
                    <w:t>6</w:t>
                  </w:r>
                </w:p>
              </w:tc>
              <w:tc>
                <w:tcPr>
                  <w:tcW w:w="873" w:type="dxa"/>
                  <w:vAlign w:val="bottom"/>
                </w:tcPr>
                <w:p w14:paraId="56E7DA06">
                  <w:pPr>
                    <w:widowControl/>
                    <w:jc w:val="center"/>
                    <w:rPr>
                      <w:rFonts w:hint="eastAsia" w:ascii="宋体" w:hAnsi="宋体"/>
                      <w:szCs w:val="21"/>
                    </w:rPr>
                  </w:pPr>
                  <w:r>
                    <w:rPr>
                      <w:rFonts w:hint="eastAsia" w:ascii="宋体" w:hAnsi="宋体"/>
                      <w:szCs w:val="21"/>
                    </w:rPr>
                    <w:t>6</w:t>
                  </w:r>
                </w:p>
              </w:tc>
            </w:tr>
            <w:tr w14:paraId="0DDA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0B347134">
                  <w:pPr>
                    <w:widowControl/>
                    <w:jc w:val="center"/>
                    <w:rPr>
                      <w:rFonts w:hint="eastAsia" w:ascii="宋体" w:hAnsi="宋体"/>
                      <w:szCs w:val="21"/>
                    </w:rPr>
                  </w:pPr>
                  <w:r>
                    <w:rPr>
                      <w:rFonts w:ascii="宋体" w:hAnsi="宋体"/>
                      <w:szCs w:val="21"/>
                    </w:rPr>
                    <w:t>23</w:t>
                  </w:r>
                </w:p>
              </w:tc>
              <w:tc>
                <w:tcPr>
                  <w:tcW w:w="2691" w:type="pct"/>
                  <w:vAlign w:val="center"/>
                </w:tcPr>
                <w:p w14:paraId="75E7860B">
                  <w:pPr>
                    <w:widowControl/>
                    <w:jc w:val="center"/>
                    <w:rPr>
                      <w:rFonts w:hint="eastAsia" w:ascii="宋体" w:hAnsi="宋体"/>
                      <w:szCs w:val="21"/>
                    </w:rPr>
                  </w:pPr>
                  <w:r>
                    <w:rPr>
                      <w:rFonts w:ascii="宋体" w:hAnsi="宋体"/>
                      <w:szCs w:val="21"/>
                    </w:rPr>
                    <w:t>钻井液用聚合醇Ⅰ型</w:t>
                  </w:r>
                </w:p>
              </w:tc>
              <w:tc>
                <w:tcPr>
                  <w:tcW w:w="685" w:type="pct"/>
                  <w:vAlign w:val="center"/>
                </w:tcPr>
                <w:p w14:paraId="4E0E5000">
                  <w:pPr>
                    <w:widowControl/>
                    <w:jc w:val="center"/>
                    <w:rPr>
                      <w:rFonts w:hint="eastAsia" w:ascii="宋体" w:hAnsi="宋体"/>
                      <w:szCs w:val="21"/>
                    </w:rPr>
                  </w:pPr>
                </w:p>
              </w:tc>
              <w:tc>
                <w:tcPr>
                  <w:tcW w:w="688" w:type="pct"/>
                  <w:vAlign w:val="center"/>
                </w:tcPr>
                <w:p w14:paraId="16200185">
                  <w:pPr>
                    <w:widowControl/>
                    <w:jc w:val="center"/>
                    <w:rPr>
                      <w:rFonts w:hint="eastAsia" w:ascii="宋体" w:hAnsi="宋体"/>
                      <w:szCs w:val="21"/>
                    </w:rPr>
                  </w:pPr>
                  <w:r>
                    <w:rPr>
                      <w:rFonts w:ascii="宋体" w:hAnsi="宋体"/>
                      <w:szCs w:val="21"/>
                    </w:rPr>
                    <w:t>15</w:t>
                  </w:r>
                </w:p>
              </w:tc>
              <w:tc>
                <w:tcPr>
                  <w:tcW w:w="873" w:type="dxa"/>
                  <w:vAlign w:val="bottom"/>
                </w:tcPr>
                <w:p w14:paraId="64E705E9">
                  <w:pPr>
                    <w:widowControl/>
                    <w:jc w:val="center"/>
                    <w:rPr>
                      <w:rFonts w:hint="eastAsia" w:ascii="宋体" w:hAnsi="宋体"/>
                      <w:szCs w:val="21"/>
                    </w:rPr>
                  </w:pPr>
                  <w:r>
                    <w:rPr>
                      <w:rFonts w:hint="eastAsia" w:ascii="宋体" w:hAnsi="宋体"/>
                      <w:szCs w:val="21"/>
                    </w:rPr>
                    <w:t>15</w:t>
                  </w:r>
                </w:p>
              </w:tc>
            </w:tr>
            <w:tr w14:paraId="2CD4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15E4C4E0">
                  <w:pPr>
                    <w:widowControl/>
                    <w:jc w:val="center"/>
                    <w:rPr>
                      <w:rFonts w:hint="eastAsia" w:ascii="宋体" w:hAnsi="宋体"/>
                      <w:szCs w:val="21"/>
                    </w:rPr>
                  </w:pPr>
                  <w:r>
                    <w:rPr>
                      <w:rFonts w:ascii="宋体" w:hAnsi="宋体"/>
                      <w:szCs w:val="21"/>
                    </w:rPr>
                    <w:t>24</w:t>
                  </w:r>
                </w:p>
              </w:tc>
              <w:tc>
                <w:tcPr>
                  <w:tcW w:w="2691" w:type="pct"/>
                  <w:vAlign w:val="center"/>
                </w:tcPr>
                <w:p w14:paraId="046190D5">
                  <w:pPr>
                    <w:widowControl/>
                    <w:jc w:val="center"/>
                    <w:rPr>
                      <w:rFonts w:hint="eastAsia" w:ascii="宋体" w:hAnsi="宋体"/>
                      <w:szCs w:val="21"/>
                    </w:rPr>
                  </w:pPr>
                  <w:r>
                    <w:rPr>
                      <w:rFonts w:ascii="宋体" w:hAnsi="宋体"/>
                      <w:szCs w:val="21"/>
                    </w:rPr>
                    <w:t>钻井液用羟基铝抑制防塌剂</w:t>
                  </w:r>
                </w:p>
              </w:tc>
              <w:tc>
                <w:tcPr>
                  <w:tcW w:w="685" w:type="pct"/>
                  <w:vAlign w:val="center"/>
                </w:tcPr>
                <w:p w14:paraId="2DFDEB7C">
                  <w:pPr>
                    <w:widowControl/>
                    <w:jc w:val="center"/>
                    <w:rPr>
                      <w:rFonts w:hint="eastAsia" w:ascii="宋体" w:hAnsi="宋体"/>
                      <w:szCs w:val="21"/>
                    </w:rPr>
                  </w:pPr>
                </w:p>
              </w:tc>
              <w:tc>
                <w:tcPr>
                  <w:tcW w:w="688" w:type="pct"/>
                  <w:vAlign w:val="center"/>
                </w:tcPr>
                <w:p w14:paraId="013FBF0E">
                  <w:pPr>
                    <w:widowControl/>
                    <w:jc w:val="center"/>
                    <w:rPr>
                      <w:rFonts w:hint="eastAsia" w:ascii="宋体" w:hAnsi="宋体"/>
                      <w:szCs w:val="21"/>
                    </w:rPr>
                  </w:pPr>
                  <w:r>
                    <w:rPr>
                      <w:rFonts w:ascii="宋体" w:hAnsi="宋体"/>
                      <w:szCs w:val="21"/>
                    </w:rPr>
                    <w:t>15</w:t>
                  </w:r>
                </w:p>
              </w:tc>
              <w:tc>
                <w:tcPr>
                  <w:tcW w:w="873" w:type="dxa"/>
                  <w:vAlign w:val="bottom"/>
                </w:tcPr>
                <w:p w14:paraId="059128BF">
                  <w:pPr>
                    <w:widowControl/>
                    <w:jc w:val="center"/>
                    <w:rPr>
                      <w:rFonts w:hint="eastAsia" w:ascii="宋体" w:hAnsi="宋体"/>
                      <w:szCs w:val="21"/>
                    </w:rPr>
                  </w:pPr>
                  <w:r>
                    <w:rPr>
                      <w:rFonts w:hint="eastAsia" w:ascii="宋体" w:hAnsi="宋体"/>
                      <w:szCs w:val="21"/>
                    </w:rPr>
                    <w:t>15</w:t>
                  </w:r>
                </w:p>
              </w:tc>
            </w:tr>
            <w:tr w14:paraId="0E73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7E589C61">
                  <w:pPr>
                    <w:widowControl/>
                    <w:jc w:val="center"/>
                    <w:rPr>
                      <w:rFonts w:hint="eastAsia" w:ascii="宋体" w:hAnsi="宋体"/>
                      <w:szCs w:val="21"/>
                    </w:rPr>
                  </w:pPr>
                  <w:r>
                    <w:rPr>
                      <w:rFonts w:ascii="宋体" w:hAnsi="宋体"/>
                      <w:szCs w:val="21"/>
                    </w:rPr>
                    <w:t>25</w:t>
                  </w:r>
                </w:p>
              </w:tc>
              <w:tc>
                <w:tcPr>
                  <w:tcW w:w="2691" w:type="pct"/>
                  <w:vAlign w:val="center"/>
                </w:tcPr>
                <w:p w14:paraId="2874351B">
                  <w:pPr>
                    <w:widowControl/>
                    <w:jc w:val="center"/>
                    <w:rPr>
                      <w:rFonts w:hint="eastAsia" w:ascii="宋体" w:hAnsi="宋体"/>
                      <w:szCs w:val="21"/>
                    </w:rPr>
                  </w:pPr>
                  <w:r>
                    <w:rPr>
                      <w:rFonts w:ascii="宋体" w:hAnsi="宋体"/>
                      <w:szCs w:val="21"/>
                    </w:rPr>
                    <w:t>钻井液用随钻堵漏剂</w:t>
                  </w:r>
                </w:p>
              </w:tc>
              <w:tc>
                <w:tcPr>
                  <w:tcW w:w="685" w:type="pct"/>
                  <w:vAlign w:val="center"/>
                </w:tcPr>
                <w:p w14:paraId="0D26126C">
                  <w:pPr>
                    <w:widowControl/>
                    <w:jc w:val="center"/>
                    <w:rPr>
                      <w:rFonts w:hint="eastAsia" w:ascii="宋体" w:hAnsi="宋体"/>
                      <w:szCs w:val="21"/>
                    </w:rPr>
                  </w:pPr>
                </w:p>
              </w:tc>
              <w:tc>
                <w:tcPr>
                  <w:tcW w:w="688" w:type="pct"/>
                  <w:vAlign w:val="center"/>
                </w:tcPr>
                <w:p w14:paraId="089D62E6">
                  <w:pPr>
                    <w:widowControl/>
                    <w:jc w:val="center"/>
                    <w:rPr>
                      <w:rFonts w:hint="eastAsia" w:ascii="宋体" w:hAnsi="宋体"/>
                      <w:szCs w:val="21"/>
                    </w:rPr>
                  </w:pPr>
                  <w:r>
                    <w:rPr>
                      <w:rFonts w:hint="eastAsia" w:ascii="宋体" w:hAnsi="宋体"/>
                      <w:szCs w:val="21"/>
                    </w:rPr>
                    <w:t>5</w:t>
                  </w:r>
                </w:p>
              </w:tc>
              <w:tc>
                <w:tcPr>
                  <w:tcW w:w="873" w:type="dxa"/>
                  <w:vAlign w:val="bottom"/>
                </w:tcPr>
                <w:p w14:paraId="18E7C4BC">
                  <w:pPr>
                    <w:widowControl/>
                    <w:jc w:val="center"/>
                    <w:rPr>
                      <w:rFonts w:hint="eastAsia" w:ascii="宋体" w:hAnsi="宋体"/>
                      <w:szCs w:val="21"/>
                    </w:rPr>
                  </w:pPr>
                  <w:r>
                    <w:rPr>
                      <w:rFonts w:hint="eastAsia" w:ascii="宋体" w:hAnsi="宋体"/>
                      <w:szCs w:val="21"/>
                    </w:rPr>
                    <w:t>5</w:t>
                  </w:r>
                </w:p>
              </w:tc>
            </w:tr>
            <w:tr w14:paraId="0A82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70238097">
                  <w:pPr>
                    <w:widowControl/>
                    <w:jc w:val="center"/>
                    <w:rPr>
                      <w:rFonts w:hint="eastAsia" w:ascii="宋体" w:hAnsi="宋体"/>
                      <w:szCs w:val="21"/>
                    </w:rPr>
                  </w:pPr>
                  <w:r>
                    <w:rPr>
                      <w:rFonts w:ascii="宋体" w:hAnsi="宋体"/>
                      <w:szCs w:val="21"/>
                    </w:rPr>
                    <w:t>26</w:t>
                  </w:r>
                </w:p>
              </w:tc>
              <w:tc>
                <w:tcPr>
                  <w:tcW w:w="2691" w:type="pct"/>
                  <w:vAlign w:val="center"/>
                </w:tcPr>
                <w:p w14:paraId="1D0913F3">
                  <w:pPr>
                    <w:widowControl/>
                    <w:jc w:val="center"/>
                    <w:rPr>
                      <w:rFonts w:hint="eastAsia" w:ascii="宋体" w:hAnsi="宋体"/>
                      <w:szCs w:val="21"/>
                    </w:rPr>
                  </w:pPr>
                  <w:r>
                    <w:rPr>
                      <w:rFonts w:ascii="宋体" w:hAnsi="宋体"/>
                      <w:szCs w:val="21"/>
                    </w:rPr>
                    <w:t>钻井液用</w:t>
                  </w:r>
                  <w:r>
                    <w:rPr>
                      <w:rFonts w:hint="eastAsia" w:ascii="宋体" w:hAnsi="宋体"/>
                      <w:szCs w:val="21"/>
                    </w:rPr>
                    <w:t>复合</w:t>
                  </w:r>
                  <w:r>
                    <w:rPr>
                      <w:rFonts w:ascii="宋体" w:hAnsi="宋体"/>
                      <w:szCs w:val="21"/>
                    </w:rPr>
                    <w:t>堵漏剂（储备）</w:t>
                  </w:r>
                </w:p>
              </w:tc>
              <w:tc>
                <w:tcPr>
                  <w:tcW w:w="685" w:type="pct"/>
                  <w:vAlign w:val="center"/>
                </w:tcPr>
                <w:p w14:paraId="004F04C2">
                  <w:pPr>
                    <w:widowControl/>
                    <w:jc w:val="center"/>
                    <w:rPr>
                      <w:rFonts w:hint="eastAsia" w:ascii="宋体" w:hAnsi="宋体"/>
                      <w:szCs w:val="21"/>
                    </w:rPr>
                  </w:pPr>
                </w:p>
              </w:tc>
              <w:tc>
                <w:tcPr>
                  <w:tcW w:w="688" w:type="pct"/>
                  <w:vAlign w:val="center"/>
                </w:tcPr>
                <w:p w14:paraId="727631C8">
                  <w:pPr>
                    <w:widowControl/>
                    <w:jc w:val="center"/>
                    <w:rPr>
                      <w:rFonts w:hint="eastAsia" w:ascii="宋体" w:hAnsi="宋体"/>
                      <w:szCs w:val="21"/>
                    </w:rPr>
                  </w:pPr>
                </w:p>
              </w:tc>
              <w:tc>
                <w:tcPr>
                  <w:tcW w:w="873" w:type="dxa"/>
                  <w:vAlign w:val="bottom"/>
                </w:tcPr>
                <w:p w14:paraId="3B60C569">
                  <w:pPr>
                    <w:widowControl/>
                    <w:jc w:val="center"/>
                    <w:rPr>
                      <w:rFonts w:hint="eastAsia" w:ascii="宋体" w:hAnsi="宋体"/>
                      <w:szCs w:val="21"/>
                    </w:rPr>
                  </w:pPr>
                  <w:r>
                    <w:rPr>
                      <w:rFonts w:hint="eastAsia" w:ascii="宋体" w:hAnsi="宋体"/>
                      <w:szCs w:val="21"/>
                    </w:rPr>
                    <w:t>0</w:t>
                  </w:r>
                </w:p>
              </w:tc>
            </w:tr>
            <w:tr w14:paraId="4836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3E8B9E4E">
                  <w:pPr>
                    <w:widowControl/>
                    <w:jc w:val="center"/>
                    <w:rPr>
                      <w:rFonts w:hint="eastAsia" w:ascii="宋体" w:hAnsi="宋体"/>
                      <w:szCs w:val="21"/>
                    </w:rPr>
                  </w:pPr>
                  <w:r>
                    <w:rPr>
                      <w:rFonts w:ascii="宋体" w:hAnsi="宋体"/>
                      <w:szCs w:val="21"/>
                    </w:rPr>
                    <w:t>27</w:t>
                  </w:r>
                </w:p>
              </w:tc>
              <w:tc>
                <w:tcPr>
                  <w:tcW w:w="2691" w:type="pct"/>
                  <w:vAlign w:val="center"/>
                </w:tcPr>
                <w:p w14:paraId="0D44EC95">
                  <w:pPr>
                    <w:widowControl/>
                    <w:jc w:val="center"/>
                    <w:rPr>
                      <w:rFonts w:hint="eastAsia" w:ascii="宋体" w:hAnsi="宋体"/>
                      <w:szCs w:val="21"/>
                    </w:rPr>
                  </w:pPr>
                  <w:r>
                    <w:rPr>
                      <w:rFonts w:ascii="宋体" w:hAnsi="宋体"/>
                      <w:szCs w:val="21"/>
                    </w:rPr>
                    <w:t>核桃壳（储备）</w:t>
                  </w:r>
                </w:p>
              </w:tc>
              <w:tc>
                <w:tcPr>
                  <w:tcW w:w="685" w:type="pct"/>
                  <w:vAlign w:val="center"/>
                </w:tcPr>
                <w:p w14:paraId="2834C63B">
                  <w:pPr>
                    <w:widowControl/>
                    <w:jc w:val="center"/>
                    <w:rPr>
                      <w:rFonts w:hint="eastAsia" w:ascii="宋体" w:hAnsi="宋体"/>
                      <w:szCs w:val="21"/>
                    </w:rPr>
                  </w:pPr>
                </w:p>
              </w:tc>
              <w:tc>
                <w:tcPr>
                  <w:tcW w:w="688" w:type="pct"/>
                  <w:vAlign w:val="center"/>
                </w:tcPr>
                <w:p w14:paraId="0BA57E75">
                  <w:pPr>
                    <w:widowControl/>
                    <w:jc w:val="center"/>
                    <w:rPr>
                      <w:rFonts w:hint="eastAsia" w:ascii="宋体" w:hAnsi="宋体"/>
                      <w:szCs w:val="21"/>
                    </w:rPr>
                  </w:pPr>
                </w:p>
              </w:tc>
              <w:tc>
                <w:tcPr>
                  <w:tcW w:w="873" w:type="dxa"/>
                  <w:vAlign w:val="bottom"/>
                </w:tcPr>
                <w:p w14:paraId="66F10ABF">
                  <w:pPr>
                    <w:widowControl/>
                    <w:jc w:val="center"/>
                    <w:rPr>
                      <w:rFonts w:hint="eastAsia" w:ascii="宋体" w:hAnsi="宋体"/>
                      <w:szCs w:val="21"/>
                    </w:rPr>
                  </w:pPr>
                  <w:r>
                    <w:rPr>
                      <w:rFonts w:hint="eastAsia" w:ascii="宋体" w:hAnsi="宋体"/>
                      <w:szCs w:val="21"/>
                    </w:rPr>
                    <w:t>0</w:t>
                  </w:r>
                </w:p>
              </w:tc>
            </w:tr>
            <w:tr w14:paraId="29FE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5EF8CF27">
                  <w:pPr>
                    <w:widowControl/>
                    <w:jc w:val="center"/>
                    <w:rPr>
                      <w:rFonts w:hint="eastAsia" w:ascii="宋体" w:hAnsi="宋体"/>
                      <w:szCs w:val="21"/>
                    </w:rPr>
                  </w:pPr>
                  <w:r>
                    <w:rPr>
                      <w:rFonts w:ascii="宋体" w:hAnsi="宋体"/>
                      <w:szCs w:val="21"/>
                    </w:rPr>
                    <w:t>28</w:t>
                  </w:r>
                </w:p>
              </w:tc>
              <w:tc>
                <w:tcPr>
                  <w:tcW w:w="2691" w:type="pct"/>
                  <w:vAlign w:val="center"/>
                </w:tcPr>
                <w:p w14:paraId="0A30053B">
                  <w:pPr>
                    <w:widowControl/>
                    <w:jc w:val="center"/>
                    <w:rPr>
                      <w:rFonts w:hint="eastAsia" w:ascii="宋体" w:hAnsi="宋体"/>
                      <w:szCs w:val="21"/>
                    </w:rPr>
                  </w:pPr>
                  <w:r>
                    <w:rPr>
                      <w:rFonts w:hint="eastAsia" w:ascii="宋体" w:hAnsi="宋体"/>
                      <w:szCs w:val="21"/>
                    </w:rPr>
                    <w:t>云母片</w:t>
                  </w:r>
                  <w:r>
                    <w:rPr>
                      <w:rFonts w:ascii="宋体" w:hAnsi="宋体"/>
                      <w:szCs w:val="21"/>
                    </w:rPr>
                    <w:t>（储备）</w:t>
                  </w:r>
                </w:p>
              </w:tc>
              <w:tc>
                <w:tcPr>
                  <w:tcW w:w="685" w:type="pct"/>
                  <w:vAlign w:val="center"/>
                </w:tcPr>
                <w:p w14:paraId="6F4557C9">
                  <w:pPr>
                    <w:widowControl/>
                    <w:jc w:val="center"/>
                    <w:rPr>
                      <w:rFonts w:hint="eastAsia" w:ascii="宋体" w:hAnsi="宋体"/>
                      <w:szCs w:val="21"/>
                    </w:rPr>
                  </w:pPr>
                </w:p>
              </w:tc>
              <w:tc>
                <w:tcPr>
                  <w:tcW w:w="688" w:type="pct"/>
                  <w:vAlign w:val="center"/>
                </w:tcPr>
                <w:p w14:paraId="5245B26E">
                  <w:pPr>
                    <w:widowControl/>
                    <w:jc w:val="center"/>
                    <w:rPr>
                      <w:rFonts w:hint="eastAsia" w:ascii="宋体" w:hAnsi="宋体"/>
                      <w:szCs w:val="21"/>
                    </w:rPr>
                  </w:pPr>
                </w:p>
              </w:tc>
              <w:tc>
                <w:tcPr>
                  <w:tcW w:w="873" w:type="dxa"/>
                  <w:vAlign w:val="bottom"/>
                </w:tcPr>
                <w:p w14:paraId="56DAFBE7">
                  <w:pPr>
                    <w:widowControl/>
                    <w:jc w:val="center"/>
                    <w:rPr>
                      <w:rFonts w:hint="eastAsia" w:ascii="宋体" w:hAnsi="宋体"/>
                      <w:szCs w:val="21"/>
                    </w:rPr>
                  </w:pPr>
                  <w:r>
                    <w:rPr>
                      <w:rFonts w:hint="eastAsia" w:ascii="宋体" w:hAnsi="宋体"/>
                      <w:szCs w:val="21"/>
                    </w:rPr>
                    <w:t>0</w:t>
                  </w:r>
                </w:p>
              </w:tc>
            </w:tr>
            <w:tr w14:paraId="0B28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2B473B85">
                  <w:pPr>
                    <w:widowControl/>
                    <w:jc w:val="center"/>
                    <w:rPr>
                      <w:rFonts w:hint="eastAsia" w:ascii="宋体" w:hAnsi="宋体"/>
                      <w:szCs w:val="21"/>
                    </w:rPr>
                  </w:pPr>
                  <w:r>
                    <w:rPr>
                      <w:rFonts w:hint="eastAsia" w:ascii="宋体" w:hAnsi="宋体"/>
                      <w:szCs w:val="21"/>
                    </w:rPr>
                    <w:t>29</w:t>
                  </w:r>
                </w:p>
              </w:tc>
              <w:tc>
                <w:tcPr>
                  <w:tcW w:w="2691" w:type="pct"/>
                  <w:vAlign w:val="center"/>
                </w:tcPr>
                <w:p w14:paraId="66C3180F">
                  <w:pPr>
                    <w:widowControl/>
                    <w:jc w:val="center"/>
                    <w:rPr>
                      <w:rFonts w:hint="eastAsia" w:ascii="宋体" w:hAnsi="宋体"/>
                      <w:szCs w:val="21"/>
                    </w:rPr>
                  </w:pPr>
                  <w:r>
                    <w:rPr>
                      <w:rFonts w:ascii="宋体" w:hAnsi="宋体"/>
                      <w:szCs w:val="21"/>
                    </w:rPr>
                    <w:t>钻井液用重晶石粉（一级）（储备）</w:t>
                  </w:r>
                </w:p>
              </w:tc>
              <w:tc>
                <w:tcPr>
                  <w:tcW w:w="685" w:type="pct"/>
                  <w:vAlign w:val="center"/>
                </w:tcPr>
                <w:p w14:paraId="657EE0DF">
                  <w:pPr>
                    <w:widowControl/>
                    <w:jc w:val="center"/>
                    <w:rPr>
                      <w:rFonts w:hint="eastAsia" w:ascii="宋体" w:hAnsi="宋体"/>
                      <w:szCs w:val="21"/>
                    </w:rPr>
                  </w:pPr>
                </w:p>
              </w:tc>
              <w:tc>
                <w:tcPr>
                  <w:tcW w:w="688" w:type="pct"/>
                  <w:vAlign w:val="center"/>
                </w:tcPr>
                <w:p w14:paraId="4F85BAA7">
                  <w:pPr>
                    <w:widowControl/>
                    <w:jc w:val="center"/>
                    <w:rPr>
                      <w:rFonts w:hint="eastAsia" w:ascii="宋体" w:hAnsi="宋体"/>
                      <w:szCs w:val="21"/>
                    </w:rPr>
                  </w:pPr>
                  <w:r>
                    <w:rPr>
                      <w:rFonts w:ascii="宋体" w:hAnsi="宋体"/>
                      <w:szCs w:val="21"/>
                    </w:rPr>
                    <w:t>292</w:t>
                  </w:r>
                </w:p>
              </w:tc>
              <w:tc>
                <w:tcPr>
                  <w:tcW w:w="873" w:type="dxa"/>
                  <w:vAlign w:val="bottom"/>
                </w:tcPr>
                <w:p w14:paraId="58568B3B">
                  <w:pPr>
                    <w:widowControl/>
                    <w:jc w:val="center"/>
                    <w:rPr>
                      <w:rFonts w:hint="eastAsia" w:ascii="宋体" w:hAnsi="宋体"/>
                      <w:szCs w:val="21"/>
                    </w:rPr>
                  </w:pPr>
                  <w:r>
                    <w:rPr>
                      <w:rFonts w:hint="eastAsia" w:ascii="宋体" w:hAnsi="宋体"/>
                      <w:szCs w:val="21"/>
                    </w:rPr>
                    <w:t>292</w:t>
                  </w:r>
                </w:p>
              </w:tc>
            </w:tr>
            <w:tr w14:paraId="1B92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2400EEDD">
                  <w:pPr>
                    <w:widowControl/>
                    <w:jc w:val="center"/>
                    <w:rPr>
                      <w:rFonts w:hint="eastAsia" w:ascii="宋体" w:hAnsi="宋体"/>
                      <w:szCs w:val="21"/>
                    </w:rPr>
                  </w:pPr>
                  <w:r>
                    <w:rPr>
                      <w:rFonts w:hint="eastAsia" w:ascii="宋体" w:hAnsi="宋体"/>
                      <w:szCs w:val="21"/>
                    </w:rPr>
                    <w:t>3</w:t>
                  </w:r>
                  <w:r>
                    <w:rPr>
                      <w:rFonts w:ascii="宋体" w:hAnsi="宋体"/>
                      <w:szCs w:val="21"/>
                    </w:rPr>
                    <w:t>0</w:t>
                  </w:r>
                </w:p>
              </w:tc>
              <w:tc>
                <w:tcPr>
                  <w:tcW w:w="2691" w:type="pct"/>
                  <w:vAlign w:val="center"/>
                </w:tcPr>
                <w:p w14:paraId="52D86B0D">
                  <w:pPr>
                    <w:widowControl/>
                    <w:jc w:val="center"/>
                    <w:rPr>
                      <w:rFonts w:hint="eastAsia" w:ascii="宋体" w:hAnsi="宋体"/>
                      <w:szCs w:val="21"/>
                    </w:rPr>
                  </w:pPr>
                  <w:r>
                    <w:rPr>
                      <w:rFonts w:ascii="宋体" w:hAnsi="宋体"/>
                      <w:szCs w:val="21"/>
                    </w:rPr>
                    <w:t>钻井液用重晶石粉（一级）（消耗）</w:t>
                  </w:r>
                </w:p>
              </w:tc>
              <w:tc>
                <w:tcPr>
                  <w:tcW w:w="685" w:type="pct"/>
                  <w:vAlign w:val="center"/>
                </w:tcPr>
                <w:p w14:paraId="538FB899">
                  <w:pPr>
                    <w:widowControl/>
                    <w:jc w:val="center"/>
                    <w:rPr>
                      <w:rFonts w:hint="eastAsia" w:ascii="宋体" w:hAnsi="宋体"/>
                      <w:szCs w:val="21"/>
                    </w:rPr>
                  </w:pPr>
                </w:p>
              </w:tc>
              <w:tc>
                <w:tcPr>
                  <w:tcW w:w="688" w:type="pct"/>
                  <w:vAlign w:val="center"/>
                </w:tcPr>
                <w:p w14:paraId="4BA9AE7B">
                  <w:pPr>
                    <w:widowControl/>
                    <w:jc w:val="center"/>
                    <w:rPr>
                      <w:rFonts w:hint="eastAsia" w:ascii="宋体" w:hAnsi="宋体"/>
                      <w:szCs w:val="21"/>
                    </w:rPr>
                  </w:pPr>
                  <w:r>
                    <w:rPr>
                      <w:rFonts w:ascii="宋体" w:hAnsi="宋体"/>
                      <w:szCs w:val="21"/>
                    </w:rPr>
                    <w:t>945</w:t>
                  </w:r>
                </w:p>
              </w:tc>
              <w:tc>
                <w:tcPr>
                  <w:tcW w:w="873" w:type="dxa"/>
                  <w:vAlign w:val="bottom"/>
                </w:tcPr>
                <w:p w14:paraId="479789E9">
                  <w:pPr>
                    <w:widowControl/>
                    <w:jc w:val="center"/>
                    <w:rPr>
                      <w:rFonts w:hint="eastAsia" w:ascii="宋体" w:hAnsi="宋体"/>
                      <w:szCs w:val="21"/>
                    </w:rPr>
                  </w:pPr>
                  <w:r>
                    <w:rPr>
                      <w:rFonts w:hint="eastAsia" w:ascii="宋体" w:hAnsi="宋体"/>
                      <w:szCs w:val="21"/>
                    </w:rPr>
                    <w:t>945</w:t>
                  </w:r>
                </w:p>
              </w:tc>
            </w:tr>
            <w:tr w14:paraId="1A2A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4" w:type="pct"/>
                  <w:gridSpan w:val="4"/>
                  <w:vAlign w:val="center"/>
                </w:tcPr>
                <w:p w14:paraId="61F8B177">
                  <w:pPr>
                    <w:widowControl/>
                    <w:jc w:val="center"/>
                    <w:rPr>
                      <w:rFonts w:hint="eastAsia" w:ascii="宋体" w:hAnsi="宋体"/>
                      <w:szCs w:val="21"/>
                    </w:rPr>
                  </w:pPr>
                  <w:r>
                    <w:rPr>
                      <w:rFonts w:ascii="宋体" w:hAnsi="宋体"/>
                      <w:szCs w:val="21"/>
                    </w:rPr>
                    <w:t>合计</w:t>
                  </w:r>
                </w:p>
              </w:tc>
              <w:tc>
                <w:tcPr>
                  <w:tcW w:w="873" w:type="dxa"/>
                  <w:vAlign w:val="bottom"/>
                </w:tcPr>
                <w:p w14:paraId="1CBD030A">
                  <w:pPr>
                    <w:widowControl/>
                    <w:jc w:val="center"/>
                    <w:rPr>
                      <w:rFonts w:hint="eastAsia" w:ascii="宋体" w:hAnsi="宋体"/>
                      <w:szCs w:val="21"/>
                    </w:rPr>
                  </w:pPr>
                  <w:r>
                    <w:rPr>
                      <w:rFonts w:hint="eastAsia" w:ascii="宋体" w:hAnsi="宋体"/>
                      <w:szCs w:val="21"/>
                    </w:rPr>
                    <w:t>1910</w:t>
                  </w:r>
                </w:p>
              </w:tc>
            </w:tr>
          </w:tbl>
          <w:p w14:paraId="675238D6">
            <w:pPr>
              <w:rPr>
                <w:rFonts w:hint="eastAsia" w:ascii="宋体" w:hAnsi="宋体"/>
                <w:sz w:val="18"/>
                <w:szCs w:val="18"/>
              </w:rPr>
            </w:pPr>
            <w:r>
              <w:rPr>
                <w:rFonts w:ascii="宋体" w:hAnsi="宋体"/>
                <w:sz w:val="18"/>
                <w:szCs w:val="18"/>
              </w:rPr>
              <w:t>注：表中所列钻井液材料可用同类型产品替代</w:t>
            </w:r>
            <w:r>
              <w:rPr>
                <w:rFonts w:hint="eastAsia" w:ascii="宋体" w:hAnsi="宋体"/>
                <w:sz w:val="18"/>
                <w:szCs w:val="18"/>
              </w:rPr>
              <w:t>。</w:t>
            </w:r>
          </w:p>
          <w:p w14:paraId="585B5ACF">
            <w:pPr>
              <w:rPr>
                <w:sz w:val="18"/>
                <w:szCs w:val="18"/>
              </w:rPr>
            </w:pPr>
          </w:p>
          <w:p w14:paraId="43B794B6">
            <w:pPr>
              <w:pStyle w:val="87"/>
              <w:spacing w:line="332" w:lineRule="auto"/>
            </w:pPr>
            <w:bookmarkStart w:id="30" w:name="_Ref205987146"/>
            <w:r>
              <w:rPr>
                <w:rFonts w:hint="eastAsia"/>
              </w:rPr>
              <w:t>表</w:t>
            </w:r>
            <w:r>
              <w:rPr>
                <w:rFonts w:hint="eastAsia"/>
              </w:rPr>
              <w:fldChar w:fldCharType="begin"/>
            </w:r>
            <w:r>
              <w:rPr>
                <w:rFonts w:hint="eastAsia"/>
              </w:rPr>
              <w:instrText xml:space="preserve"> SEQ 表 \*ARABIC </w:instrText>
            </w:r>
            <w:r>
              <w:rPr>
                <w:rFonts w:hint="eastAsia"/>
              </w:rPr>
              <w:fldChar w:fldCharType="separate"/>
            </w:r>
            <w:r>
              <w:t>18</w:t>
            </w:r>
            <w:r>
              <w:rPr>
                <w:rFonts w:hint="eastAsia"/>
              </w:rPr>
              <w:fldChar w:fldCharType="end"/>
            </w:r>
            <w:bookmarkEnd w:id="30"/>
            <w:r>
              <w:rPr>
                <w:rFonts w:hint="eastAsia"/>
              </w:rPr>
              <w:t xml:space="preserve">  钻井液主要成分理化性质一览表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07"/>
              <w:gridCol w:w="5078"/>
            </w:tblGrid>
            <w:tr w14:paraId="1F9B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74D0D7F7">
                  <w:pPr>
                    <w:pStyle w:val="3"/>
                    <w:spacing w:line="240" w:lineRule="auto"/>
                    <w:ind w:firstLine="0" w:firstLineChars="0"/>
                    <w:jc w:val="center"/>
                    <w:rPr>
                      <w:rFonts w:hint="eastAsia" w:cs="宋体"/>
                      <w:sz w:val="21"/>
                      <w:szCs w:val="21"/>
                    </w:rPr>
                  </w:pPr>
                  <w:r>
                    <w:rPr>
                      <w:rFonts w:hint="eastAsia" w:cs="宋体"/>
                      <w:sz w:val="21"/>
                      <w:szCs w:val="21"/>
                    </w:rPr>
                    <w:t>成分</w:t>
                  </w:r>
                </w:p>
              </w:tc>
              <w:tc>
                <w:tcPr>
                  <w:tcW w:w="1020" w:type="pct"/>
                  <w:vAlign w:val="center"/>
                </w:tcPr>
                <w:p w14:paraId="0AFA145F">
                  <w:pPr>
                    <w:pStyle w:val="3"/>
                    <w:spacing w:line="240" w:lineRule="auto"/>
                    <w:ind w:firstLine="0" w:firstLineChars="0"/>
                    <w:jc w:val="center"/>
                    <w:rPr>
                      <w:rFonts w:hint="eastAsia" w:cs="宋体"/>
                      <w:sz w:val="21"/>
                      <w:szCs w:val="21"/>
                    </w:rPr>
                  </w:pPr>
                  <w:r>
                    <w:rPr>
                      <w:rFonts w:hint="eastAsia" w:cs="宋体"/>
                      <w:sz w:val="21"/>
                      <w:szCs w:val="21"/>
                    </w:rPr>
                    <w:t>作用</w:t>
                  </w:r>
                </w:p>
              </w:tc>
              <w:tc>
                <w:tcPr>
                  <w:tcW w:w="3224" w:type="pct"/>
                  <w:vAlign w:val="center"/>
                </w:tcPr>
                <w:p w14:paraId="36EC3AE2">
                  <w:pPr>
                    <w:pStyle w:val="3"/>
                    <w:spacing w:line="240" w:lineRule="auto"/>
                    <w:ind w:firstLine="0" w:firstLineChars="0"/>
                    <w:jc w:val="center"/>
                    <w:rPr>
                      <w:rFonts w:hint="eastAsia" w:cs="宋体"/>
                      <w:sz w:val="21"/>
                      <w:szCs w:val="21"/>
                    </w:rPr>
                  </w:pPr>
                  <w:r>
                    <w:rPr>
                      <w:rFonts w:hint="eastAsia" w:cs="宋体"/>
                      <w:sz w:val="21"/>
                      <w:szCs w:val="21"/>
                    </w:rPr>
                    <w:t>理化性质</w:t>
                  </w:r>
                </w:p>
              </w:tc>
            </w:tr>
            <w:tr w14:paraId="43EB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33BC3576">
                  <w:pPr>
                    <w:pStyle w:val="3"/>
                    <w:spacing w:line="240" w:lineRule="auto"/>
                    <w:ind w:firstLine="0" w:firstLineChars="0"/>
                    <w:jc w:val="center"/>
                    <w:rPr>
                      <w:rFonts w:hint="eastAsia" w:cs="宋体"/>
                      <w:sz w:val="21"/>
                      <w:szCs w:val="21"/>
                    </w:rPr>
                  </w:pPr>
                  <w:r>
                    <w:rPr>
                      <w:rFonts w:hint="eastAsia" w:cs="宋体"/>
                      <w:sz w:val="21"/>
                      <w:szCs w:val="21"/>
                    </w:rPr>
                    <w:t>膨润土</w:t>
                  </w:r>
                </w:p>
              </w:tc>
              <w:tc>
                <w:tcPr>
                  <w:tcW w:w="1020" w:type="pct"/>
                  <w:vAlign w:val="center"/>
                </w:tcPr>
                <w:p w14:paraId="565BBA32">
                  <w:pPr>
                    <w:pStyle w:val="3"/>
                    <w:spacing w:line="240" w:lineRule="auto"/>
                    <w:ind w:firstLine="0" w:firstLineChars="0"/>
                    <w:jc w:val="center"/>
                    <w:rPr>
                      <w:rFonts w:hint="eastAsia" w:cs="宋体"/>
                      <w:sz w:val="21"/>
                      <w:szCs w:val="21"/>
                    </w:rPr>
                  </w:pPr>
                  <w:r>
                    <w:rPr>
                      <w:rFonts w:hint="eastAsia" w:cs="宋体"/>
                      <w:sz w:val="21"/>
                      <w:szCs w:val="21"/>
                    </w:rPr>
                    <w:t>增稠</w:t>
                  </w:r>
                </w:p>
              </w:tc>
              <w:tc>
                <w:tcPr>
                  <w:tcW w:w="3224" w:type="pct"/>
                  <w:vAlign w:val="center"/>
                </w:tcPr>
                <w:p w14:paraId="1802F133">
                  <w:pPr>
                    <w:pStyle w:val="3"/>
                    <w:spacing w:line="240" w:lineRule="auto"/>
                    <w:ind w:firstLine="0" w:firstLineChars="0"/>
                    <w:rPr>
                      <w:rFonts w:hint="eastAsia" w:cs="宋体"/>
                      <w:sz w:val="21"/>
                      <w:szCs w:val="21"/>
                    </w:rPr>
                  </w:pPr>
                  <w:r>
                    <w:rPr>
                      <w:rFonts w:hint="eastAsia" w:cs="宋体"/>
                      <w:sz w:val="21"/>
                      <w:szCs w:val="21"/>
                    </w:rPr>
                    <w:t>主要成分为蒙脱石，外观因含杂质的不同，有白色、灰色、灰黄色和紫红色等颜色，易吸潮，吸潮后结块。</w:t>
                  </w:r>
                </w:p>
              </w:tc>
            </w:tr>
            <w:tr w14:paraId="2FEE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4D07BA2A">
                  <w:pPr>
                    <w:pStyle w:val="3"/>
                    <w:spacing w:line="240" w:lineRule="auto"/>
                    <w:ind w:firstLine="0" w:firstLineChars="0"/>
                    <w:jc w:val="center"/>
                    <w:rPr>
                      <w:rFonts w:hint="eastAsia" w:cs="宋体"/>
                      <w:sz w:val="21"/>
                      <w:szCs w:val="21"/>
                    </w:rPr>
                  </w:pPr>
                  <w:r>
                    <w:rPr>
                      <w:rFonts w:hint="eastAsia" w:cs="宋体"/>
                      <w:sz w:val="21"/>
                      <w:szCs w:val="21"/>
                    </w:rPr>
                    <w:t>工业用氢氧化钠</w:t>
                  </w:r>
                </w:p>
              </w:tc>
              <w:tc>
                <w:tcPr>
                  <w:tcW w:w="1020" w:type="pct"/>
                  <w:vAlign w:val="center"/>
                </w:tcPr>
                <w:p w14:paraId="3C7DA916">
                  <w:pPr>
                    <w:pStyle w:val="3"/>
                    <w:spacing w:line="240" w:lineRule="auto"/>
                    <w:ind w:firstLine="0" w:firstLineChars="0"/>
                    <w:jc w:val="center"/>
                    <w:rPr>
                      <w:rFonts w:hint="eastAsia" w:cs="宋体"/>
                      <w:sz w:val="21"/>
                      <w:szCs w:val="21"/>
                    </w:rPr>
                  </w:pPr>
                  <w:r>
                    <w:rPr>
                      <w:rFonts w:hint="eastAsia" w:cs="宋体"/>
                      <w:sz w:val="21"/>
                      <w:szCs w:val="21"/>
                    </w:rPr>
                    <w:t>调节泥浆pH值，促使膨润土分散造浆</w:t>
                  </w:r>
                </w:p>
              </w:tc>
              <w:tc>
                <w:tcPr>
                  <w:tcW w:w="3224" w:type="pct"/>
                  <w:vAlign w:val="center"/>
                </w:tcPr>
                <w:p w14:paraId="3BCC83F0">
                  <w:pPr>
                    <w:pStyle w:val="3"/>
                    <w:spacing w:line="240" w:lineRule="auto"/>
                    <w:ind w:firstLine="0" w:firstLineChars="0"/>
                    <w:rPr>
                      <w:rFonts w:hint="eastAsia" w:cs="宋体"/>
                      <w:sz w:val="21"/>
                      <w:szCs w:val="21"/>
                    </w:rPr>
                  </w:pPr>
                  <w:r>
                    <w:rPr>
                      <w:rFonts w:hint="eastAsia" w:cs="宋体"/>
                      <w:sz w:val="21"/>
                      <w:szCs w:val="21"/>
                    </w:rPr>
                    <w:t>氢氧化钠又称烧碱、火碱或苛性钠，白色结晶，易吸潮，有强烈的腐蚀性。</w:t>
                  </w:r>
                </w:p>
              </w:tc>
            </w:tr>
            <w:tr w14:paraId="5CB2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6889C12B">
                  <w:pPr>
                    <w:pStyle w:val="3"/>
                    <w:spacing w:line="240" w:lineRule="auto"/>
                    <w:ind w:firstLine="0" w:firstLineChars="0"/>
                    <w:jc w:val="center"/>
                    <w:rPr>
                      <w:rFonts w:hint="eastAsia" w:cs="宋体"/>
                      <w:sz w:val="21"/>
                      <w:szCs w:val="21"/>
                    </w:rPr>
                  </w:pPr>
                  <w:r>
                    <w:rPr>
                      <w:rFonts w:hint="eastAsia" w:cs="宋体"/>
                      <w:sz w:val="21"/>
                      <w:szCs w:val="21"/>
                    </w:rPr>
                    <w:t>碳酸钠</w:t>
                  </w:r>
                </w:p>
              </w:tc>
              <w:tc>
                <w:tcPr>
                  <w:tcW w:w="1020" w:type="pct"/>
                  <w:vAlign w:val="center"/>
                </w:tcPr>
                <w:p w14:paraId="07C4871C">
                  <w:pPr>
                    <w:pStyle w:val="3"/>
                    <w:spacing w:line="240" w:lineRule="auto"/>
                    <w:ind w:firstLine="0" w:firstLineChars="0"/>
                    <w:jc w:val="center"/>
                    <w:rPr>
                      <w:rFonts w:hint="eastAsia" w:cs="宋体"/>
                      <w:sz w:val="21"/>
                      <w:szCs w:val="21"/>
                    </w:rPr>
                  </w:pPr>
                  <w:r>
                    <w:rPr>
                      <w:rFonts w:hint="eastAsia" w:cs="宋体"/>
                      <w:sz w:val="21"/>
                      <w:szCs w:val="21"/>
                    </w:rPr>
                    <w:t>促进水化，降低失水</w:t>
                  </w:r>
                </w:p>
              </w:tc>
              <w:tc>
                <w:tcPr>
                  <w:tcW w:w="3224" w:type="pct"/>
                  <w:vAlign w:val="center"/>
                </w:tcPr>
                <w:p w14:paraId="197FF3A6">
                  <w:pPr>
                    <w:pStyle w:val="3"/>
                    <w:spacing w:line="240" w:lineRule="auto"/>
                    <w:ind w:firstLine="0" w:firstLineChars="0"/>
                    <w:rPr>
                      <w:rFonts w:hint="eastAsia" w:cs="宋体"/>
                      <w:sz w:val="21"/>
                      <w:szCs w:val="21"/>
                    </w:rPr>
                  </w:pPr>
                  <w:r>
                    <w:rPr>
                      <w:rFonts w:hint="eastAsia" w:cs="宋体"/>
                      <w:sz w:val="21"/>
                      <w:szCs w:val="21"/>
                    </w:rPr>
                    <w:t>碳酸钠又称纯碱、苏打，白色粉末结晶，易溶于水，水溶液呈碱性，在空气中易吸潮结块。</w:t>
                  </w:r>
                </w:p>
              </w:tc>
            </w:tr>
            <w:tr w14:paraId="7456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54CD98D6">
                  <w:pPr>
                    <w:pStyle w:val="3"/>
                    <w:spacing w:line="240" w:lineRule="auto"/>
                    <w:ind w:firstLine="0" w:firstLineChars="0"/>
                    <w:jc w:val="center"/>
                    <w:rPr>
                      <w:rFonts w:hint="eastAsia" w:cs="宋体"/>
                      <w:sz w:val="21"/>
                      <w:szCs w:val="21"/>
                    </w:rPr>
                  </w:pPr>
                  <w:r>
                    <w:rPr>
                      <w:rFonts w:hint="eastAsia" w:cs="宋体"/>
                      <w:sz w:val="21"/>
                      <w:szCs w:val="21"/>
                    </w:rPr>
                    <w:t>氯化钙</w:t>
                  </w:r>
                </w:p>
              </w:tc>
              <w:tc>
                <w:tcPr>
                  <w:tcW w:w="1020" w:type="pct"/>
                  <w:vAlign w:val="center"/>
                </w:tcPr>
                <w:p w14:paraId="6E6D26F3">
                  <w:pPr>
                    <w:pStyle w:val="3"/>
                    <w:spacing w:line="240" w:lineRule="auto"/>
                    <w:ind w:firstLine="0" w:firstLineChars="0"/>
                    <w:jc w:val="center"/>
                    <w:rPr>
                      <w:rFonts w:hint="eastAsia" w:cs="宋体"/>
                      <w:sz w:val="21"/>
                      <w:szCs w:val="21"/>
                    </w:rPr>
                  </w:pPr>
                  <w:r>
                    <w:rPr>
                      <w:rFonts w:hint="eastAsia" w:cs="宋体"/>
                      <w:sz w:val="21"/>
                      <w:szCs w:val="21"/>
                    </w:rPr>
                    <w:t>抑制泥岩分散调整流型</w:t>
                  </w:r>
                </w:p>
              </w:tc>
              <w:tc>
                <w:tcPr>
                  <w:tcW w:w="3224" w:type="pct"/>
                  <w:vAlign w:val="center"/>
                </w:tcPr>
                <w:p w14:paraId="6C7C36FB">
                  <w:pPr>
                    <w:pStyle w:val="3"/>
                    <w:spacing w:line="240" w:lineRule="auto"/>
                    <w:ind w:firstLine="0" w:firstLineChars="0"/>
                    <w:rPr>
                      <w:rFonts w:hint="eastAsia" w:cs="宋体"/>
                      <w:sz w:val="21"/>
                      <w:szCs w:val="21"/>
                    </w:rPr>
                  </w:pPr>
                  <w:r>
                    <w:rPr>
                      <w:rFonts w:hint="eastAsia" w:cs="宋体"/>
                      <w:sz w:val="21"/>
                      <w:szCs w:val="21"/>
                    </w:rPr>
                    <w:t>无色立方结晶体，白色或灰白色，有粒状、蜂窝块状、圆球状、不规则颗粒状、粉末状。微毒、无臭、味微苦。吸湿性极强，暴露于空气中极易潮解。易溶于水，同时放出大量的热，其水溶液呈微酸性。</w:t>
                  </w:r>
                </w:p>
              </w:tc>
            </w:tr>
            <w:tr w14:paraId="74A6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26574E95">
                  <w:pPr>
                    <w:pStyle w:val="3"/>
                    <w:spacing w:line="240" w:lineRule="auto"/>
                    <w:ind w:firstLine="0" w:firstLineChars="0"/>
                    <w:jc w:val="center"/>
                    <w:rPr>
                      <w:rFonts w:hint="eastAsia" w:cs="宋体"/>
                      <w:sz w:val="21"/>
                      <w:szCs w:val="21"/>
                    </w:rPr>
                  </w:pPr>
                  <w:r>
                    <w:rPr>
                      <w:rFonts w:hint="eastAsia" w:cs="宋体"/>
                      <w:sz w:val="21"/>
                      <w:szCs w:val="21"/>
                    </w:rPr>
                    <w:t>氯化钠</w:t>
                  </w:r>
                </w:p>
              </w:tc>
              <w:tc>
                <w:tcPr>
                  <w:tcW w:w="1020" w:type="pct"/>
                  <w:vAlign w:val="center"/>
                </w:tcPr>
                <w:p w14:paraId="7E6E73C8">
                  <w:pPr>
                    <w:pStyle w:val="3"/>
                    <w:spacing w:line="240" w:lineRule="auto"/>
                    <w:ind w:firstLine="0" w:firstLineChars="0"/>
                    <w:jc w:val="center"/>
                    <w:rPr>
                      <w:rFonts w:hint="eastAsia" w:cs="宋体"/>
                      <w:sz w:val="21"/>
                      <w:szCs w:val="21"/>
                    </w:rPr>
                  </w:pPr>
                  <w:r>
                    <w:rPr>
                      <w:rFonts w:hint="eastAsia" w:cs="宋体"/>
                      <w:sz w:val="21"/>
                      <w:szCs w:val="21"/>
                      <w:shd w:val="clear" w:color="auto" w:fill="FFFFFF"/>
                    </w:rPr>
                    <w:t>降低钻井液活度，保持井壁稳定</w:t>
                  </w:r>
                </w:p>
              </w:tc>
              <w:tc>
                <w:tcPr>
                  <w:tcW w:w="3224" w:type="pct"/>
                  <w:vAlign w:val="center"/>
                </w:tcPr>
                <w:p w14:paraId="6E5CAEB3">
                  <w:pPr>
                    <w:pStyle w:val="3"/>
                    <w:spacing w:line="240" w:lineRule="auto"/>
                    <w:ind w:firstLine="0" w:firstLineChars="0"/>
                    <w:rPr>
                      <w:rFonts w:hint="eastAsia" w:cs="宋体"/>
                      <w:sz w:val="21"/>
                      <w:szCs w:val="21"/>
                    </w:rPr>
                  </w:pPr>
                  <w:r>
                    <w:rPr>
                      <w:rFonts w:hint="eastAsia" w:cs="宋体"/>
                      <w:sz w:val="21"/>
                      <w:szCs w:val="21"/>
                    </w:rPr>
                    <w:t>氯化钠是一种无机离子化合物，化学式NaCl，无色立方结晶或细小结晶粉末，味咸。外观是白色晶体状，易溶于水、甘油，微溶于乙醇（酒精）、液氨；不溶于浓盐酸。工业氯化钠可以增加钻井液的密度，以控制井下的压力，并减轻井下油气的泄漏和井喷的风险。此外，它还可以增加钻井液的粘度，增强润滑性能，从而提高钻速，减少钻井过程中的摩擦和磨损</w:t>
                  </w:r>
                </w:p>
              </w:tc>
            </w:tr>
            <w:tr w14:paraId="2501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4279A376">
                  <w:pPr>
                    <w:pStyle w:val="3"/>
                    <w:spacing w:line="240" w:lineRule="auto"/>
                    <w:ind w:firstLine="0" w:firstLineChars="0"/>
                    <w:jc w:val="center"/>
                    <w:rPr>
                      <w:rFonts w:hint="eastAsia" w:cs="宋体"/>
                      <w:sz w:val="21"/>
                      <w:szCs w:val="21"/>
                    </w:rPr>
                  </w:pPr>
                  <w:r>
                    <w:rPr>
                      <w:rFonts w:hint="eastAsia" w:cs="宋体"/>
                      <w:sz w:val="21"/>
                      <w:szCs w:val="21"/>
                    </w:rPr>
                    <w:t>氯化钾</w:t>
                  </w:r>
                </w:p>
              </w:tc>
              <w:tc>
                <w:tcPr>
                  <w:tcW w:w="1020" w:type="pct"/>
                  <w:vAlign w:val="center"/>
                </w:tcPr>
                <w:p w14:paraId="4F80D031">
                  <w:pPr>
                    <w:pStyle w:val="3"/>
                    <w:spacing w:line="240" w:lineRule="auto"/>
                    <w:ind w:firstLine="0" w:firstLineChars="0"/>
                    <w:jc w:val="center"/>
                    <w:rPr>
                      <w:rFonts w:hint="eastAsia" w:cs="宋体"/>
                      <w:sz w:val="21"/>
                      <w:szCs w:val="21"/>
                    </w:rPr>
                  </w:pPr>
                  <w:r>
                    <w:rPr>
                      <w:rFonts w:hint="eastAsia" w:cs="宋体"/>
                      <w:sz w:val="21"/>
                      <w:szCs w:val="21"/>
                    </w:rPr>
                    <w:t>降低钻井液活度，</w:t>
                  </w:r>
                  <w:r>
                    <w:rPr>
                      <w:rFonts w:hint="eastAsia" w:cs="宋体"/>
                      <w:sz w:val="21"/>
                      <w:szCs w:val="21"/>
                      <w:shd w:val="clear" w:color="auto" w:fill="FFFFFF"/>
                    </w:rPr>
                    <w:t>保持井壁稳定</w:t>
                  </w:r>
                </w:p>
              </w:tc>
              <w:tc>
                <w:tcPr>
                  <w:tcW w:w="3224" w:type="pct"/>
                  <w:vAlign w:val="center"/>
                </w:tcPr>
                <w:p w14:paraId="1BBFB7FA">
                  <w:pPr>
                    <w:pStyle w:val="3"/>
                    <w:spacing w:line="240" w:lineRule="auto"/>
                    <w:ind w:firstLine="0" w:firstLineChars="0"/>
                    <w:rPr>
                      <w:rFonts w:hint="eastAsia" w:cs="宋体"/>
                      <w:sz w:val="21"/>
                      <w:szCs w:val="21"/>
                    </w:rPr>
                  </w:pPr>
                  <w:r>
                    <w:rPr>
                      <w:rFonts w:hint="eastAsia" w:cs="宋体"/>
                      <w:sz w:val="21"/>
                      <w:szCs w:val="21"/>
                      <w:shd w:val="clear" w:color="auto" w:fill="FFFFFF"/>
                    </w:rPr>
                    <w:t>氯化钾是一种无机化合物，化学式为KCl，白色晶体，味极咸，无臭无毒性。易溶于水、醚、甘油及碱类，微溶于乙醇，但不溶于无水乙醇，有吸湿性，易结块。其作用是抗无机离子污染，降低钻井液滤失量，提高钻速，减少井下复杂情况及降低钻井成本等</w:t>
                  </w:r>
                </w:p>
              </w:tc>
            </w:tr>
            <w:tr w14:paraId="2606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4D3A4EBE">
                  <w:pPr>
                    <w:pStyle w:val="3"/>
                    <w:spacing w:line="240" w:lineRule="auto"/>
                    <w:ind w:firstLine="0" w:firstLineChars="0"/>
                    <w:jc w:val="center"/>
                    <w:rPr>
                      <w:rFonts w:hint="eastAsia" w:cs="宋体"/>
                      <w:sz w:val="21"/>
                      <w:szCs w:val="21"/>
                    </w:rPr>
                  </w:pPr>
                  <w:r>
                    <w:rPr>
                      <w:rFonts w:hint="eastAsia" w:cs="宋体"/>
                      <w:sz w:val="21"/>
                      <w:szCs w:val="21"/>
                    </w:rPr>
                    <w:t>钻井液用聚丙烯酰胺钾盐</w:t>
                  </w:r>
                </w:p>
              </w:tc>
              <w:tc>
                <w:tcPr>
                  <w:tcW w:w="1020" w:type="pct"/>
                  <w:vAlign w:val="center"/>
                </w:tcPr>
                <w:p w14:paraId="50EBB9A5">
                  <w:pPr>
                    <w:pStyle w:val="3"/>
                    <w:spacing w:line="240" w:lineRule="auto"/>
                    <w:ind w:firstLine="0" w:firstLineChars="0"/>
                    <w:jc w:val="center"/>
                    <w:rPr>
                      <w:rFonts w:hint="eastAsia" w:cs="宋体"/>
                      <w:sz w:val="21"/>
                      <w:szCs w:val="21"/>
                    </w:rPr>
                  </w:pPr>
                  <w:r>
                    <w:rPr>
                      <w:rFonts w:hint="eastAsia" w:cs="宋体"/>
                      <w:sz w:val="21"/>
                      <w:szCs w:val="21"/>
                    </w:rPr>
                    <w:t>絮凝、润滑、堵漏、降滤失</w:t>
                  </w:r>
                </w:p>
              </w:tc>
              <w:tc>
                <w:tcPr>
                  <w:tcW w:w="3224" w:type="pct"/>
                  <w:vAlign w:val="center"/>
                </w:tcPr>
                <w:p w14:paraId="7E3DDAFC">
                  <w:pPr>
                    <w:pStyle w:val="3"/>
                    <w:spacing w:line="240" w:lineRule="auto"/>
                    <w:ind w:firstLine="0" w:firstLineChars="0"/>
                    <w:rPr>
                      <w:rFonts w:hint="eastAsia" w:cs="宋体"/>
                      <w:sz w:val="21"/>
                      <w:szCs w:val="21"/>
                    </w:rPr>
                  </w:pPr>
                  <w:r>
                    <w:rPr>
                      <w:rFonts w:hint="eastAsia" w:cs="宋体"/>
                      <w:sz w:val="21"/>
                      <w:szCs w:val="21"/>
                    </w:rPr>
                    <w:t>白色或微黄色粉末、无毒、无腐蚀、易溶于水，主要用于不分散低固相水基钻井液的选择性絮凝剂</w:t>
                  </w:r>
                </w:p>
              </w:tc>
            </w:tr>
            <w:tr w14:paraId="184F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73A15D69">
                  <w:pPr>
                    <w:pStyle w:val="3"/>
                    <w:spacing w:line="240" w:lineRule="auto"/>
                    <w:ind w:firstLine="0" w:firstLineChars="0"/>
                    <w:jc w:val="center"/>
                    <w:rPr>
                      <w:rFonts w:hint="eastAsia" w:cs="宋体"/>
                      <w:sz w:val="21"/>
                      <w:szCs w:val="21"/>
                    </w:rPr>
                  </w:pPr>
                  <w:r>
                    <w:rPr>
                      <w:rFonts w:hint="eastAsia" w:cs="宋体"/>
                      <w:sz w:val="21"/>
                      <w:szCs w:val="21"/>
                    </w:rPr>
                    <w:t>水解聚丙烯腈铵盐</w:t>
                  </w:r>
                </w:p>
              </w:tc>
              <w:tc>
                <w:tcPr>
                  <w:tcW w:w="1020" w:type="pct"/>
                  <w:vAlign w:val="center"/>
                </w:tcPr>
                <w:p w14:paraId="108968A7">
                  <w:pPr>
                    <w:pStyle w:val="3"/>
                    <w:spacing w:line="240" w:lineRule="auto"/>
                    <w:ind w:firstLine="0" w:firstLineChars="0"/>
                    <w:jc w:val="center"/>
                    <w:rPr>
                      <w:rFonts w:hint="eastAsia" w:cs="宋体"/>
                      <w:sz w:val="21"/>
                      <w:szCs w:val="21"/>
                    </w:rPr>
                  </w:pPr>
                  <w:r>
                    <w:rPr>
                      <w:rFonts w:hint="eastAsia" w:cs="宋体"/>
                      <w:sz w:val="21"/>
                      <w:szCs w:val="21"/>
                    </w:rPr>
                    <w:t>防塌</w:t>
                  </w:r>
                </w:p>
              </w:tc>
              <w:tc>
                <w:tcPr>
                  <w:tcW w:w="3224" w:type="pct"/>
                  <w:vAlign w:val="center"/>
                </w:tcPr>
                <w:p w14:paraId="02808A8A">
                  <w:pPr>
                    <w:pStyle w:val="3"/>
                    <w:spacing w:line="240" w:lineRule="auto"/>
                    <w:ind w:firstLine="0" w:firstLineChars="0"/>
                    <w:rPr>
                      <w:rFonts w:hint="eastAsia" w:cs="宋体"/>
                      <w:sz w:val="21"/>
                      <w:szCs w:val="21"/>
                    </w:rPr>
                  </w:pPr>
                  <w:r>
                    <w:rPr>
                      <w:rFonts w:hint="eastAsia" w:cs="宋体"/>
                      <w:sz w:val="21"/>
                      <w:szCs w:val="21"/>
                    </w:rPr>
                    <w:t>淡黄色粉末，主要成份含有羧酸、羧氨基、酰胺基和亚铵基等，其颗粒不易结块。该产品有较强降低钻井液降滤失量和高温高压滤失量，抗温能力强，抗热稳定性好等作用，具有一定的抑制黏土水化和防塌能力，同时具有较好的抗盐以及抗污染的能力</w:t>
                  </w:r>
                </w:p>
              </w:tc>
            </w:tr>
            <w:tr w14:paraId="533B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3E3960AF">
                  <w:pPr>
                    <w:pStyle w:val="3"/>
                    <w:spacing w:line="240" w:lineRule="auto"/>
                    <w:ind w:firstLine="0" w:firstLineChars="0"/>
                    <w:jc w:val="center"/>
                    <w:rPr>
                      <w:rFonts w:hint="eastAsia" w:cs="宋体"/>
                      <w:sz w:val="21"/>
                      <w:szCs w:val="21"/>
                    </w:rPr>
                  </w:pPr>
                  <w:r>
                    <w:rPr>
                      <w:rFonts w:hint="eastAsia" w:cs="宋体"/>
                      <w:sz w:val="21"/>
                      <w:szCs w:val="21"/>
                    </w:rPr>
                    <w:t>降滤失剂</w:t>
                  </w:r>
                </w:p>
              </w:tc>
              <w:tc>
                <w:tcPr>
                  <w:tcW w:w="1020" w:type="pct"/>
                  <w:vAlign w:val="center"/>
                </w:tcPr>
                <w:p w14:paraId="3A3EDC09">
                  <w:pPr>
                    <w:pStyle w:val="3"/>
                    <w:spacing w:line="240" w:lineRule="auto"/>
                    <w:ind w:firstLine="0" w:firstLineChars="0"/>
                    <w:jc w:val="center"/>
                    <w:rPr>
                      <w:rFonts w:hint="eastAsia" w:cs="宋体"/>
                      <w:sz w:val="21"/>
                      <w:szCs w:val="21"/>
                    </w:rPr>
                  </w:pPr>
                  <w:r>
                    <w:rPr>
                      <w:rFonts w:hint="eastAsia" w:cs="宋体"/>
                      <w:sz w:val="21"/>
                      <w:szCs w:val="21"/>
                    </w:rPr>
                    <w:t>降滤失</w:t>
                  </w:r>
                </w:p>
              </w:tc>
              <w:tc>
                <w:tcPr>
                  <w:tcW w:w="3224" w:type="pct"/>
                  <w:vAlign w:val="center"/>
                </w:tcPr>
                <w:p w14:paraId="188C2388">
                  <w:pPr>
                    <w:pStyle w:val="3"/>
                    <w:spacing w:line="240" w:lineRule="auto"/>
                    <w:ind w:firstLine="0" w:firstLineChars="0"/>
                    <w:rPr>
                      <w:rFonts w:hint="eastAsia" w:cs="宋体"/>
                      <w:sz w:val="21"/>
                      <w:szCs w:val="21"/>
                    </w:rPr>
                  </w:pPr>
                  <w:r>
                    <w:rPr>
                      <w:rFonts w:hint="eastAsia" w:cs="宋体"/>
                      <w:sz w:val="21"/>
                      <w:szCs w:val="21"/>
                    </w:rPr>
                    <w:t>白色自由流动粉末或颗粒，pH值7.0～9.0，该产品有良好的降滤失效果，同时还能显著改善泥浆流变性，抗温、抗污染能力强，性能稳定</w:t>
                  </w:r>
                </w:p>
              </w:tc>
            </w:tr>
            <w:tr w14:paraId="6E86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3AEF0D68">
                  <w:pPr>
                    <w:pStyle w:val="3"/>
                    <w:spacing w:line="240" w:lineRule="auto"/>
                    <w:ind w:firstLine="0" w:firstLineChars="0"/>
                    <w:jc w:val="center"/>
                    <w:rPr>
                      <w:rFonts w:hint="eastAsia" w:cs="宋体"/>
                      <w:sz w:val="21"/>
                      <w:szCs w:val="21"/>
                    </w:rPr>
                  </w:pPr>
                  <w:r>
                    <w:rPr>
                      <w:rFonts w:hint="eastAsia" w:cs="宋体"/>
                      <w:sz w:val="21"/>
                      <w:szCs w:val="21"/>
                    </w:rPr>
                    <w:t>重晶石粉</w:t>
                  </w:r>
                </w:p>
              </w:tc>
              <w:tc>
                <w:tcPr>
                  <w:tcW w:w="1020" w:type="pct"/>
                  <w:vAlign w:val="center"/>
                </w:tcPr>
                <w:p w14:paraId="7FE2331B">
                  <w:pPr>
                    <w:pStyle w:val="3"/>
                    <w:spacing w:line="240" w:lineRule="auto"/>
                    <w:ind w:firstLine="0" w:firstLineChars="0"/>
                    <w:jc w:val="center"/>
                    <w:rPr>
                      <w:rFonts w:hint="eastAsia" w:cs="宋体"/>
                      <w:sz w:val="21"/>
                      <w:szCs w:val="21"/>
                    </w:rPr>
                  </w:pPr>
                  <w:r>
                    <w:rPr>
                      <w:rFonts w:hint="eastAsia" w:cs="宋体"/>
                      <w:sz w:val="21"/>
                      <w:szCs w:val="21"/>
                    </w:rPr>
                    <w:t>提高钻井液密度</w:t>
                  </w:r>
                </w:p>
              </w:tc>
              <w:tc>
                <w:tcPr>
                  <w:tcW w:w="3224" w:type="pct"/>
                  <w:vAlign w:val="center"/>
                </w:tcPr>
                <w:p w14:paraId="23CF9B54">
                  <w:pPr>
                    <w:pStyle w:val="3"/>
                    <w:spacing w:line="240" w:lineRule="auto"/>
                    <w:ind w:firstLine="0" w:firstLineChars="0"/>
                    <w:rPr>
                      <w:rFonts w:hint="eastAsia" w:cs="宋体"/>
                      <w:sz w:val="21"/>
                      <w:szCs w:val="21"/>
                    </w:rPr>
                  </w:pPr>
                  <w:r>
                    <w:rPr>
                      <w:rFonts w:hint="eastAsia" w:cs="宋体"/>
                      <w:sz w:val="21"/>
                      <w:szCs w:val="21"/>
                    </w:rPr>
                    <w:t>化学组成为BaSO</w:t>
                  </w:r>
                  <w:r>
                    <w:rPr>
                      <w:rFonts w:hint="eastAsia" w:cs="宋体"/>
                      <w:sz w:val="21"/>
                      <w:szCs w:val="21"/>
                      <w:vertAlign w:val="subscript"/>
                    </w:rPr>
                    <w:t>4</w:t>
                  </w:r>
                  <w:r>
                    <w:rPr>
                      <w:rFonts w:hint="eastAsia" w:cs="宋体"/>
                      <w:sz w:val="21"/>
                      <w:szCs w:val="21"/>
                    </w:rPr>
                    <w:t>，常呈厚板状或柱状晶体，多为致密块状、板状或粒状集合体。质纯时无色透明，含杂质时被染成各种颜色，条痕白色，玻璃光泽，透明至半透明</w:t>
                  </w:r>
                </w:p>
              </w:tc>
            </w:tr>
            <w:tr w14:paraId="71AC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4222DAD6">
                  <w:pPr>
                    <w:pStyle w:val="3"/>
                    <w:spacing w:line="240" w:lineRule="auto"/>
                    <w:ind w:firstLine="0" w:firstLineChars="0"/>
                    <w:jc w:val="center"/>
                    <w:rPr>
                      <w:rFonts w:hint="eastAsia" w:cs="宋体"/>
                      <w:sz w:val="21"/>
                      <w:szCs w:val="21"/>
                    </w:rPr>
                  </w:pPr>
                  <w:r>
                    <w:rPr>
                      <w:rFonts w:hint="eastAsia" w:cs="宋体"/>
                      <w:sz w:val="21"/>
                      <w:szCs w:val="21"/>
                    </w:rPr>
                    <w:t>超微细碳酸钙</w:t>
                  </w:r>
                </w:p>
              </w:tc>
              <w:tc>
                <w:tcPr>
                  <w:tcW w:w="1020" w:type="pct"/>
                  <w:vAlign w:val="center"/>
                </w:tcPr>
                <w:p w14:paraId="4E320D19">
                  <w:pPr>
                    <w:pStyle w:val="3"/>
                    <w:spacing w:line="240" w:lineRule="auto"/>
                    <w:ind w:firstLine="0" w:firstLineChars="0"/>
                    <w:jc w:val="center"/>
                    <w:rPr>
                      <w:rFonts w:hint="eastAsia" w:cs="宋体"/>
                      <w:sz w:val="21"/>
                      <w:szCs w:val="21"/>
                    </w:rPr>
                  </w:pPr>
                  <w:r>
                    <w:rPr>
                      <w:rFonts w:hint="eastAsia" w:cs="宋体"/>
                      <w:sz w:val="21"/>
                      <w:szCs w:val="21"/>
                    </w:rPr>
                    <w:t>稳定剂</w:t>
                  </w:r>
                </w:p>
              </w:tc>
              <w:tc>
                <w:tcPr>
                  <w:tcW w:w="3224" w:type="pct"/>
                  <w:vAlign w:val="center"/>
                </w:tcPr>
                <w:p w14:paraId="712D4B40">
                  <w:pPr>
                    <w:pStyle w:val="3"/>
                    <w:spacing w:line="240" w:lineRule="auto"/>
                    <w:ind w:firstLine="0" w:firstLineChars="0"/>
                    <w:rPr>
                      <w:rFonts w:hint="eastAsia" w:cs="宋体"/>
                      <w:sz w:val="21"/>
                      <w:szCs w:val="21"/>
                    </w:rPr>
                  </w:pPr>
                  <w:r>
                    <w:rPr>
                      <w:rFonts w:hint="eastAsia" w:cs="宋体"/>
                      <w:sz w:val="21"/>
                      <w:szCs w:val="21"/>
                    </w:rPr>
                    <w:t>白色微细粉末、无毒、无味、无刺激、不燃、不爆、折光率低、易于着色，不溶于水，在空气中稳定。经过活化处理后，分子结构改变、粒度分布均匀，呈极强的疏水性</w:t>
                  </w:r>
                </w:p>
              </w:tc>
            </w:tr>
            <w:tr w14:paraId="4CE7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0C7E4AFB">
                  <w:pPr>
                    <w:pStyle w:val="3"/>
                    <w:spacing w:line="240" w:lineRule="auto"/>
                    <w:ind w:firstLine="0" w:firstLineChars="0"/>
                    <w:jc w:val="center"/>
                    <w:rPr>
                      <w:rFonts w:hint="eastAsia" w:cs="宋体"/>
                      <w:sz w:val="21"/>
                      <w:szCs w:val="21"/>
                    </w:rPr>
                  </w:pPr>
                  <w:r>
                    <w:rPr>
                      <w:rFonts w:hint="eastAsia" w:cs="宋体"/>
                      <w:sz w:val="21"/>
                      <w:szCs w:val="21"/>
                    </w:rPr>
                    <w:t>纳米封堵剂</w:t>
                  </w:r>
                </w:p>
              </w:tc>
              <w:tc>
                <w:tcPr>
                  <w:tcW w:w="1020" w:type="pct"/>
                  <w:vAlign w:val="center"/>
                </w:tcPr>
                <w:p w14:paraId="640F331B">
                  <w:pPr>
                    <w:pStyle w:val="3"/>
                    <w:spacing w:line="240" w:lineRule="auto"/>
                    <w:ind w:firstLine="0" w:firstLineChars="0"/>
                    <w:jc w:val="center"/>
                    <w:rPr>
                      <w:rFonts w:hint="eastAsia" w:cs="宋体"/>
                      <w:sz w:val="21"/>
                      <w:szCs w:val="21"/>
                    </w:rPr>
                  </w:pPr>
                  <w:r>
                    <w:rPr>
                      <w:rFonts w:hint="eastAsia" w:cs="宋体"/>
                      <w:sz w:val="21"/>
                      <w:szCs w:val="21"/>
                      <w:shd w:val="clear" w:color="auto" w:fill="FFFFFF"/>
                    </w:rPr>
                    <w:t>保持井壁稳定</w:t>
                  </w:r>
                </w:p>
              </w:tc>
              <w:tc>
                <w:tcPr>
                  <w:tcW w:w="3224" w:type="pct"/>
                  <w:vAlign w:val="center"/>
                </w:tcPr>
                <w:p w14:paraId="36288E4B">
                  <w:pPr>
                    <w:pStyle w:val="3"/>
                    <w:spacing w:line="240" w:lineRule="auto"/>
                    <w:ind w:firstLine="0" w:firstLineChars="0"/>
                    <w:rPr>
                      <w:rFonts w:hint="eastAsia" w:cs="宋体"/>
                      <w:sz w:val="21"/>
                      <w:szCs w:val="21"/>
                    </w:rPr>
                  </w:pPr>
                  <w:r>
                    <w:rPr>
                      <w:rFonts w:hint="eastAsia" w:cs="宋体"/>
                      <w:sz w:val="21"/>
                      <w:szCs w:val="21"/>
                      <w:shd w:val="clear" w:color="auto" w:fill="FFFFFF"/>
                    </w:rPr>
                    <w:t>白色粉末，对微小裂缝进行有效封堵，目的是避免井壁失稳</w:t>
                  </w:r>
                </w:p>
              </w:tc>
            </w:tr>
            <w:tr w14:paraId="2AC4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6B22221D">
                  <w:pPr>
                    <w:pStyle w:val="3"/>
                    <w:spacing w:line="240" w:lineRule="auto"/>
                    <w:ind w:firstLine="0" w:firstLineChars="0"/>
                    <w:jc w:val="center"/>
                    <w:rPr>
                      <w:rFonts w:hint="eastAsia" w:cs="宋体"/>
                      <w:sz w:val="21"/>
                      <w:szCs w:val="21"/>
                    </w:rPr>
                  </w:pPr>
                  <w:bookmarkStart w:id="31" w:name="OLE_LINK114"/>
                  <w:r>
                    <w:rPr>
                      <w:rFonts w:hint="eastAsia" w:cs="宋体"/>
                      <w:sz w:val="21"/>
                      <w:szCs w:val="21"/>
                    </w:rPr>
                    <w:t>硅氟类</w:t>
                  </w:r>
                  <w:bookmarkEnd w:id="31"/>
                  <w:r>
                    <w:rPr>
                      <w:rFonts w:hint="eastAsia" w:cs="宋体"/>
                      <w:sz w:val="21"/>
                      <w:szCs w:val="21"/>
                    </w:rPr>
                    <w:t>降黏剂</w:t>
                  </w:r>
                </w:p>
              </w:tc>
              <w:tc>
                <w:tcPr>
                  <w:tcW w:w="1020" w:type="pct"/>
                  <w:vAlign w:val="center"/>
                </w:tcPr>
                <w:p w14:paraId="1783B5E3">
                  <w:pPr>
                    <w:pStyle w:val="3"/>
                    <w:spacing w:line="240" w:lineRule="auto"/>
                    <w:ind w:firstLine="0" w:firstLineChars="0"/>
                    <w:jc w:val="center"/>
                    <w:rPr>
                      <w:rFonts w:hint="eastAsia" w:cs="宋体"/>
                      <w:sz w:val="21"/>
                      <w:szCs w:val="21"/>
                    </w:rPr>
                  </w:pPr>
                  <w:r>
                    <w:rPr>
                      <w:rFonts w:hint="eastAsia" w:cs="宋体"/>
                      <w:sz w:val="21"/>
                      <w:szCs w:val="21"/>
                    </w:rPr>
                    <w:t>降粘</w:t>
                  </w:r>
                </w:p>
              </w:tc>
              <w:tc>
                <w:tcPr>
                  <w:tcW w:w="3224" w:type="pct"/>
                  <w:vAlign w:val="center"/>
                </w:tcPr>
                <w:p w14:paraId="32E588FA">
                  <w:pPr>
                    <w:pStyle w:val="3"/>
                    <w:spacing w:line="240" w:lineRule="auto"/>
                    <w:ind w:firstLine="0" w:firstLineChars="0"/>
                    <w:rPr>
                      <w:rFonts w:hint="eastAsia" w:cs="宋体"/>
                      <w:sz w:val="21"/>
                      <w:szCs w:val="21"/>
                    </w:rPr>
                  </w:pPr>
                  <w:r>
                    <w:rPr>
                      <w:rFonts w:hint="eastAsia" w:cs="宋体"/>
                      <w:sz w:val="21"/>
                      <w:szCs w:val="21"/>
                    </w:rPr>
                    <w:t>黑色粘稠液体，具有一定护壁防塌功能，用于降低体系粘度，提高泥饼质量，降低体系的滤失水量</w:t>
                  </w:r>
                </w:p>
              </w:tc>
            </w:tr>
            <w:tr w14:paraId="6AE7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55F5F3B3">
                  <w:pPr>
                    <w:pStyle w:val="3"/>
                    <w:spacing w:line="240" w:lineRule="auto"/>
                    <w:ind w:firstLine="0" w:firstLineChars="0"/>
                    <w:jc w:val="center"/>
                    <w:rPr>
                      <w:rFonts w:hint="eastAsia" w:cs="宋体"/>
                      <w:sz w:val="21"/>
                      <w:szCs w:val="21"/>
                    </w:rPr>
                  </w:pPr>
                  <w:r>
                    <w:rPr>
                      <w:rFonts w:hint="eastAsia" w:cs="宋体"/>
                      <w:sz w:val="21"/>
                      <w:szCs w:val="21"/>
                    </w:rPr>
                    <w:t>有机硅稳定剂</w:t>
                  </w:r>
                </w:p>
              </w:tc>
              <w:tc>
                <w:tcPr>
                  <w:tcW w:w="1020" w:type="pct"/>
                  <w:vAlign w:val="center"/>
                </w:tcPr>
                <w:p w14:paraId="5792EBB3">
                  <w:pPr>
                    <w:pStyle w:val="3"/>
                    <w:spacing w:line="240" w:lineRule="auto"/>
                    <w:ind w:firstLine="0" w:firstLineChars="0"/>
                    <w:jc w:val="center"/>
                    <w:rPr>
                      <w:rFonts w:hint="eastAsia" w:cs="宋体"/>
                      <w:sz w:val="21"/>
                      <w:szCs w:val="21"/>
                    </w:rPr>
                  </w:pPr>
                  <w:r>
                    <w:rPr>
                      <w:rFonts w:hint="eastAsia" w:cs="宋体"/>
                      <w:sz w:val="21"/>
                      <w:szCs w:val="21"/>
                    </w:rPr>
                    <w:t>护壁、防塌</w:t>
                  </w:r>
                </w:p>
              </w:tc>
              <w:tc>
                <w:tcPr>
                  <w:tcW w:w="3224" w:type="pct"/>
                  <w:vAlign w:val="center"/>
                </w:tcPr>
                <w:p w14:paraId="3A690B6B">
                  <w:pPr>
                    <w:pStyle w:val="3"/>
                    <w:spacing w:line="240" w:lineRule="auto"/>
                    <w:ind w:firstLine="0" w:firstLineChars="0"/>
                    <w:rPr>
                      <w:rFonts w:hint="eastAsia" w:cs="宋体"/>
                      <w:sz w:val="21"/>
                      <w:szCs w:val="21"/>
                    </w:rPr>
                  </w:pPr>
                  <w:r>
                    <w:rPr>
                      <w:rFonts w:hint="eastAsia" w:cs="宋体"/>
                      <w:sz w:val="21"/>
                      <w:szCs w:val="21"/>
                    </w:rPr>
                    <w:t>淡黄色或淡褐色液体，pH值≤12，具有较好的护壁和防塌功能，抗温能力强</w:t>
                  </w:r>
                </w:p>
              </w:tc>
            </w:tr>
            <w:tr w14:paraId="4017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5B0D48D5">
                  <w:pPr>
                    <w:pStyle w:val="3"/>
                    <w:spacing w:line="240" w:lineRule="auto"/>
                    <w:ind w:firstLine="0" w:firstLineChars="0"/>
                    <w:jc w:val="center"/>
                    <w:rPr>
                      <w:rFonts w:hint="eastAsia" w:cs="宋体"/>
                      <w:sz w:val="21"/>
                      <w:szCs w:val="21"/>
                    </w:rPr>
                  </w:pPr>
                  <w:r>
                    <w:rPr>
                      <w:rFonts w:hint="eastAsia" w:cs="宋体"/>
                      <w:sz w:val="21"/>
                      <w:szCs w:val="21"/>
                    </w:rPr>
                    <w:t>胺基聚醇</w:t>
                  </w:r>
                </w:p>
              </w:tc>
              <w:tc>
                <w:tcPr>
                  <w:tcW w:w="1020" w:type="pct"/>
                  <w:vAlign w:val="center"/>
                </w:tcPr>
                <w:p w14:paraId="27B005CC">
                  <w:pPr>
                    <w:pStyle w:val="3"/>
                    <w:spacing w:line="240" w:lineRule="auto"/>
                    <w:ind w:firstLine="0" w:firstLineChars="0"/>
                    <w:jc w:val="center"/>
                    <w:rPr>
                      <w:rFonts w:hint="eastAsia" w:cs="宋体"/>
                      <w:sz w:val="21"/>
                      <w:szCs w:val="21"/>
                    </w:rPr>
                  </w:pPr>
                  <w:r>
                    <w:rPr>
                      <w:rFonts w:hint="eastAsia" w:cs="宋体"/>
                      <w:sz w:val="21"/>
                      <w:szCs w:val="21"/>
                    </w:rPr>
                    <w:t>强抑制性</w:t>
                  </w:r>
                </w:p>
              </w:tc>
              <w:tc>
                <w:tcPr>
                  <w:tcW w:w="3224" w:type="pct"/>
                  <w:vAlign w:val="center"/>
                </w:tcPr>
                <w:p w14:paraId="26DB2499">
                  <w:pPr>
                    <w:pStyle w:val="3"/>
                    <w:spacing w:line="240" w:lineRule="auto"/>
                    <w:ind w:firstLine="0" w:firstLineChars="0"/>
                    <w:rPr>
                      <w:rFonts w:hint="eastAsia" w:cs="宋体"/>
                      <w:sz w:val="21"/>
                      <w:szCs w:val="21"/>
                    </w:rPr>
                  </w:pPr>
                  <w:r>
                    <w:rPr>
                      <w:rFonts w:hint="eastAsia" w:cs="宋体"/>
                      <w:sz w:val="21"/>
                      <w:szCs w:val="21"/>
                    </w:rPr>
                    <w:t>外观黏稠液体，由环氧乙烷、环氧丙烷、环氧丁烷和阳离子单体等在催化剂的作用下，经过起始剂活性基团单体引发、链增长、阳离子化缩聚、多步加聚等工艺反应制成</w:t>
                  </w:r>
                </w:p>
              </w:tc>
            </w:tr>
            <w:tr w14:paraId="0D6F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Align w:val="center"/>
                </w:tcPr>
                <w:p w14:paraId="6CDF6033">
                  <w:pPr>
                    <w:pStyle w:val="3"/>
                    <w:spacing w:line="240" w:lineRule="auto"/>
                    <w:ind w:firstLine="0" w:firstLineChars="0"/>
                    <w:jc w:val="center"/>
                    <w:rPr>
                      <w:rFonts w:hint="eastAsia" w:cs="宋体"/>
                      <w:sz w:val="21"/>
                      <w:szCs w:val="21"/>
                    </w:rPr>
                  </w:pPr>
                  <w:r>
                    <w:rPr>
                      <w:rFonts w:hint="eastAsia" w:cs="宋体"/>
                      <w:kern w:val="0"/>
                      <w:sz w:val="21"/>
                      <w:szCs w:val="21"/>
                    </w:rPr>
                    <w:t>堵漏剂</w:t>
                  </w:r>
                </w:p>
              </w:tc>
              <w:tc>
                <w:tcPr>
                  <w:tcW w:w="1020" w:type="pct"/>
                  <w:vAlign w:val="center"/>
                </w:tcPr>
                <w:p w14:paraId="507A7272">
                  <w:pPr>
                    <w:pStyle w:val="3"/>
                    <w:spacing w:line="240" w:lineRule="auto"/>
                    <w:ind w:firstLine="0" w:firstLineChars="0"/>
                    <w:jc w:val="center"/>
                    <w:rPr>
                      <w:rFonts w:hint="eastAsia" w:cs="宋体"/>
                      <w:sz w:val="21"/>
                      <w:szCs w:val="21"/>
                    </w:rPr>
                  </w:pPr>
                  <w:r>
                    <w:rPr>
                      <w:rFonts w:hint="eastAsia" w:cs="宋体"/>
                      <w:kern w:val="0"/>
                      <w:sz w:val="21"/>
                      <w:szCs w:val="21"/>
                    </w:rPr>
                    <w:t>堵漏剂</w:t>
                  </w:r>
                </w:p>
              </w:tc>
              <w:tc>
                <w:tcPr>
                  <w:tcW w:w="3224" w:type="pct"/>
                  <w:vAlign w:val="center"/>
                </w:tcPr>
                <w:p w14:paraId="04856B3D">
                  <w:pPr>
                    <w:pStyle w:val="3"/>
                    <w:spacing w:line="240" w:lineRule="auto"/>
                    <w:ind w:firstLine="0" w:firstLineChars="0"/>
                    <w:rPr>
                      <w:rFonts w:hint="eastAsia" w:cs="宋体"/>
                      <w:sz w:val="21"/>
                      <w:szCs w:val="21"/>
                    </w:rPr>
                  </w:pPr>
                  <w:r>
                    <w:rPr>
                      <w:rFonts w:hint="eastAsia" w:cs="宋体"/>
                      <w:kern w:val="0"/>
                      <w:sz w:val="21"/>
                      <w:szCs w:val="21"/>
                    </w:rPr>
                    <w:t>白色颗粒，黄原胶和阳离子聚合物。适用于渗漏性砂岩的孔隙型漏失和页岩的裂隙型漏失</w:t>
                  </w:r>
                </w:p>
              </w:tc>
            </w:tr>
          </w:tbl>
          <w:p w14:paraId="13EEE3AC">
            <w:pPr>
              <w:pStyle w:val="3"/>
              <w:ind w:firstLine="0" w:firstLineChars="0"/>
              <w:rPr>
                <w:rFonts w:hint="eastAsia"/>
                <w:sz w:val="21"/>
              </w:rPr>
            </w:pPr>
          </w:p>
          <w:p w14:paraId="4EA0F288">
            <w:pPr>
              <w:pStyle w:val="113"/>
              <w:rPr>
                <w:rFonts w:hint="eastAsia"/>
              </w:rPr>
            </w:pPr>
            <w:r>
              <w:rPr>
                <w:rFonts w:hint="eastAsia"/>
              </w:rPr>
              <w:t>6）固井工程</w:t>
            </w:r>
          </w:p>
          <w:p w14:paraId="0F853C54">
            <w:pPr>
              <w:pStyle w:val="113"/>
              <w:rPr>
                <w:rFonts w:hint="eastAsia"/>
              </w:rPr>
            </w:pPr>
            <w:r>
              <w:rPr>
                <w:rFonts w:hint="eastAsia"/>
              </w:rPr>
              <w:t>本项目固井方式、水泥用量等设计参数见</w:t>
            </w:r>
            <w:r>
              <w:fldChar w:fldCharType="begin"/>
            </w:r>
            <w:r>
              <w:instrText xml:space="preserve"> REF _Ref177562840 \h  \* MERGEFORMAT </w:instrText>
            </w:r>
            <w:r>
              <w:fldChar w:fldCharType="separate"/>
            </w:r>
            <w:r>
              <w:rPr>
                <w:rFonts w:hint="eastAsia"/>
              </w:rPr>
              <w:t>表19</w:t>
            </w:r>
            <w:r>
              <w:fldChar w:fldCharType="end"/>
            </w:r>
            <w:r>
              <w:rPr>
                <w:rFonts w:hint="eastAsia"/>
              </w:rPr>
              <w:t>，</w:t>
            </w:r>
            <w:r>
              <w:t>水泥浆配方设计</w:t>
            </w:r>
            <w:r>
              <w:rPr>
                <w:rFonts w:hint="eastAsia"/>
              </w:rPr>
              <w:t>见</w:t>
            </w:r>
            <w:r>
              <w:fldChar w:fldCharType="begin"/>
            </w:r>
            <w:r>
              <w:instrText xml:space="preserve"> REF _Ref195695876 \h  \* MERGEFORMAT </w:instrText>
            </w:r>
            <w:r>
              <w:fldChar w:fldCharType="separate"/>
            </w:r>
            <w:r>
              <w:rPr>
                <w:rFonts w:hint="eastAsia"/>
              </w:rPr>
              <w:t>表20</w:t>
            </w:r>
            <w:r>
              <w:fldChar w:fldCharType="end"/>
            </w:r>
            <w:r>
              <w:rPr>
                <w:rFonts w:hint="eastAsia"/>
              </w:rPr>
              <w:t>，</w:t>
            </w:r>
            <w:r>
              <w:t>注水泥浆设计</w:t>
            </w:r>
            <w:r>
              <w:rPr>
                <w:rFonts w:hint="eastAsia"/>
              </w:rPr>
              <w:t>见</w:t>
            </w:r>
            <w:r>
              <w:fldChar w:fldCharType="begin"/>
            </w:r>
            <w:r>
              <w:instrText xml:space="preserve"> REF _Ref195695882 \h  \* MERGEFORMAT </w:instrText>
            </w:r>
            <w:r>
              <w:fldChar w:fldCharType="separate"/>
            </w:r>
            <w:r>
              <w:rPr>
                <w:rFonts w:hint="eastAsia"/>
              </w:rPr>
              <w:t>表21</w:t>
            </w:r>
            <w:r>
              <w:fldChar w:fldCharType="end"/>
            </w:r>
            <w:r>
              <w:rPr>
                <w:rFonts w:hint="eastAsia"/>
              </w:rPr>
              <w:t>。</w:t>
            </w:r>
          </w:p>
          <w:p w14:paraId="05680BBB">
            <w:pPr>
              <w:pStyle w:val="12"/>
              <w:spacing w:before="120"/>
              <w:ind w:firstLine="480"/>
              <w:rPr>
                <w:rFonts w:hint="eastAsia" w:hAnsi="宋体"/>
              </w:rPr>
            </w:pPr>
            <w:bookmarkStart w:id="32" w:name="_Ref177562840"/>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19</w:t>
            </w:r>
            <w:r>
              <w:rPr>
                <w:rFonts w:hAnsi="宋体"/>
              </w:rPr>
              <w:fldChar w:fldCharType="end"/>
            </w:r>
            <w:bookmarkEnd w:id="32"/>
            <w:r>
              <w:rPr>
                <w:rFonts w:hAnsi="宋体"/>
              </w:rPr>
              <w:t xml:space="preserve">  </w:t>
            </w:r>
            <w:r>
              <w:rPr>
                <w:rFonts w:hint="eastAsia" w:hAnsi="宋体"/>
              </w:rPr>
              <w:t>固井方式、水泥用量等参数一览表</w:t>
            </w:r>
          </w:p>
          <w:tbl>
            <w:tblPr>
              <w:tblStyle w:val="29"/>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11"/>
              <w:gridCol w:w="948"/>
              <w:gridCol w:w="1492"/>
              <w:gridCol w:w="1103"/>
              <w:gridCol w:w="1003"/>
              <w:gridCol w:w="1107"/>
            </w:tblGrid>
            <w:tr w14:paraId="0BE1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pct"/>
                  <w:vAlign w:val="center"/>
                </w:tcPr>
                <w:p w14:paraId="0396B4AB">
                  <w:pPr>
                    <w:jc w:val="center"/>
                    <w:rPr>
                      <w:rFonts w:hint="eastAsia" w:ascii="宋体" w:hAnsi="宋体"/>
                    </w:rPr>
                  </w:pPr>
                  <w:r>
                    <w:rPr>
                      <w:rFonts w:ascii="宋体" w:hAnsi="宋体"/>
                    </w:rPr>
                    <w:t>套管</w:t>
                  </w:r>
                </w:p>
                <w:p w14:paraId="479DAC48">
                  <w:pPr>
                    <w:jc w:val="center"/>
                    <w:rPr>
                      <w:rFonts w:hint="eastAsia" w:ascii="宋体" w:hAnsi="宋体"/>
                    </w:rPr>
                  </w:pPr>
                  <w:r>
                    <w:rPr>
                      <w:rFonts w:ascii="宋体" w:hAnsi="宋体"/>
                    </w:rPr>
                    <w:t>程序</w:t>
                  </w:r>
                </w:p>
              </w:tc>
              <w:tc>
                <w:tcPr>
                  <w:tcW w:w="893" w:type="pct"/>
                  <w:vAlign w:val="center"/>
                </w:tcPr>
                <w:p w14:paraId="06E72DC9">
                  <w:pPr>
                    <w:jc w:val="center"/>
                    <w:rPr>
                      <w:rFonts w:hint="eastAsia" w:ascii="宋体" w:hAnsi="宋体"/>
                    </w:rPr>
                  </w:pPr>
                  <w:r>
                    <w:rPr>
                      <w:rFonts w:ascii="宋体" w:hAnsi="宋体"/>
                    </w:rPr>
                    <w:t>套管尺寸</w:t>
                  </w:r>
                </w:p>
                <w:p w14:paraId="6DD43383">
                  <w:pPr>
                    <w:jc w:val="center"/>
                    <w:rPr>
                      <w:rFonts w:hint="eastAsia" w:ascii="宋体" w:hAnsi="宋体"/>
                    </w:rPr>
                  </w:pPr>
                  <w:r>
                    <w:rPr>
                      <w:rFonts w:ascii="宋体" w:hAnsi="宋体"/>
                    </w:rPr>
                    <w:t>（mm）</w:t>
                  </w:r>
                </w:p>
              </w:tc>
              <w:tc>
                <w:tcPr>
                  <w:tcW w:w="600" w:type="pct"/>
                  <w:vAlign w:val="center"/>
                </w:tcPr>
                <w:p w14:paraId="00C90AFA">
                  <w:pPr>
                    <w:jc w:val="center"/>
                    <w:rPr>
                      <w:rFonts w:hint="eastAsia" w:ascii="宋体" w:hAnsi="宋体"/>
                    </w:rPr>
                  </w:pPr>
                  <w:r>
                    <w:rPr>
                      <w:rFonts w:ascii="宋体" w:hAnsi="宋体"/>
                    </w:rPr>
                    <w:t>管鞋位置</w:t>
                  </w:r>
                </w:p>
                <w:p w14:paraId="3BB6B8F7">
                  <w:pPr>
                    <w:jc w:val="center"/>
                    <w:rPr>
                      <w:rFonts w:hint="eastAsia" w:ascii="宋体" w:hAnsi="宋体"/>
                    </w:rPr>
                  </w:pPr>
                  <w:r>
                    <w:rPr>
                      <w:rFonts w:ascii="宋体" w:hAnsi="宋体"/>
                    </w:rPr>
                    <w:t>（m）</w:t>
                  </w:r>
                </w:p>
              </w:tc>
              <w:tc>
                <w:tcPr>
                  <w:tcW w:w="944" w:type="pct"/>
                  <w:vAlign w:val="center"/>
                </w:tcPr>
                <w:p w14:paraId="6BE2B2A5">
                  <w:pPr>
                    <w:jc w:val="center"/>
                    <w:rPr>
                      <w:rFonts w:hint="eastAsia" w:ascii="宋体" w:hAnsi="宋体"/>
                    </w:rPr>
                  </w:pPr>
                  <w:r>
                    <w:rPr>
                      <w:rFonts w:ascii="宋体" w:hAnsi="宋体"/>
                    </w:rPr>
                    <w:t>水泥浆上返深度</w:t>
                  </w:r>
                </w:p>
                <w:p w14:paraId="72EC6437">
                  <w:pPr>
                    <w:jc w:val="center"/>
                    <w:rPr>
                      <w:rFonts w:hint="eastAsia" w:ascii="宋体" w:hAnsi="宋体"/>
                    </w:rPr>
                  </w:pPr>
                  <w:r>
                    <w:rPr>
                      <w:rFonts w:ascii="宋体" w:hAnsi="宋体"/>
                    </w:rPr>
                    <w:t>（m）</w:t>
                  </w:r>
                </w:p>
              </w:tc>
              <w:tc>
                <w:tcPr>
                  <w:tcW w:w="698" w:type="pct"/>
                  <w:vAlign w:val="center"/>
                </w:tcPr>
                <w:p w14:paraId="71CD90FB">
                  <w:pPr>
                    <w:jc w:val="center"/>
                    <w:rPr>
                      <w:rFonts w:hint="eastAsia" w:ascii="宋体" w:hAnsi="宋体"/>
                    </w:rPr>
                  </w:pPr>
                  <w:r>
                    <w:rPr>
                      <w:rFonts w:ascii="宋体" w:hAnsi="宋体"/>
                    </w:rPr>
                    <w:t>水泥塞长度</w:t>
                  </w:r>
                </w:p>
                <w:p w14:paraId="763FE8E3">
                  <w:pPr>
                    <w:jc w:val="center"/>
                    <w:rPr>
                      <w:rFonts w:hint="eastAsia" w:ascii="宋体" w:hAnsi="宋体"/>
                    </w:rPr>
                  </w:pPr>
                  <w:r>
                    <w:rPr>
                      <w:rFonts w:ascii="宋体" w:hAnsi="宋体"/>
                    </w:rPr>
                    <w:t>（m）</w:t>
                  </w:r>
                </w:p>
              </w:tc>
              <w:tc>
                <w:tcPr>
                  <w:tcW w:w="635" w:type="pct"/>
                  <w:vAlign w:val="center"/>
                </w:tcPr>
                <w:p w14:paraId="0CD6487A">
                  <w:pPr>
                    <w:jc w:val="center"/>
                    <w:rPr>
                      <w:rFonts w:hint="eastAsia" w:ascii="宋体" w:hAnsi="宋体"/>
                    </w:rPr>
                  </w:pPr>
                  <w:r>
                    <w:rPr>
                      <w:rFonts w:ascii="宋体" w:hAnsi="宋体"/>
                    </w:rPr>
                    <w:t>固井方式</w:t>
                  </w:r>
                </w:p>
              </w:tc>
              <w:tc>
                <w:tcPr>
                  <w:tcW w:w="699" w:type="pct"/>
                  <w:vAlign w:val="center"/>
                </w:tcPr>
                <w:p w14:paraId="13A7151D">
                  <w:pPr>
                    <w:jc w:val="center"/>
                    <w:rPr>
                      <w:rFonts w:hint="eastAsia" w:ascii="宋体" w:hAnsi="宋体"/>
                    </w:rPr>
                  </w:pPr>
                  <w:r>
                    <w:rPr>
                      <w:rFonts w:ascii="宋体" w:hAnsi="宋体"/>
                    </w:rPr>
                    <w:t>备注</w:t>
                  </w:r>
                </w:p>
              </w:tc>
            </w:tr>
            <w:tr w14:paraId="7FBE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pct"/>
                  <w:vAlign w:val="center"/>
                </w:tcPr>
                <w:p w14:paraId="6CC83179">
                  <w:pPr>
                    <w:jc w:val="center"/>
                    <w:rPr>
                      <w:rFonts w:hint="eastAsia" w:ascii="宋体" w:hAnsi="宋体"/>
                    </w:rPr>
                  </w:pPr>
                  <w:r>
                    <w:rPr>
                      <w:rFonts w:ascii="宋体" w:hAnsi="宋体"/>
                    </w:rPr>
                    <w:t>导管</w:t>
                  </w:r>
                </w:p>
              </w:tc>
              <w:tc>
                <w:tcPr>
                  <w:tcW w:w="893" w:type="pct"/>
                  <w:vAlign w:val="center"/>
                </w:tcPr>
                <w:p w14:paraId="571EE6D7">
                  <w:pPr>
                    <w:jc w:val="center"/>
                    <w:rPr>
                      <w:rFonts w:hint="eastAsia" w:ascii="宋体" w:hAnsi="宋体"/>
                    </w:rPr>
                  </w:pPr>
                  <w:r>
                    <w:rPr>
                      <w:rFonts w:ascii="宋体" w:hAnsi="宋体"/>
                    </w:rPr>
                    <w:t>339.7</w:t>
                  </w:r>
                </w:p>
              </w:tc>
              <w:tc>
                <w:tcPr>
                  <w:tcW w:w="3577" w:type="pct"/>
                  <w:gridSpan w:val="5"/>
                  <w:vAlign w:val="center"/>
                </w:tcPr>
                <w:p w14:paraId="578AB7EC">
                  <w:pPr>
                    <w:jc w:val="center"/>
                    <w:rPr>
                      <w:rFonts w:hint="eastAsia" w:ascii="宋体" w:hAnsi="宋体"/>
                    </w:rPr>
                  </w:pPr>
                  <w:r>
                    <w:rPr>
                      <w:rFonts w:ascii="宋体" w:hAnsi="宋体"/>
                    </w:rPr>
                    <w:t>钻前施工</w:t>
                  </w:r>
                </w:p>
              </w:tc>
            </w:tr>
            <w:tr w14:paraId="4080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pct"/>
                  <w:vAlign w:val="center"/>
                </w:tcPr>
                <w:p w14:paraId="515428E5">
                  <w:pPr>
                    <w:jc w:val="center"/>
                    <w:rPr>
                      <w:rFonts w:hint="eastAsia" w:ascii="宋体" w:hAnsi="宋体"/>
                    </w:rPr>
                  </w:pPr>
                  <w:r>
                    <w:rPr>
                      <w:rFonts w:ascii="宋体" w:hAnsi="宋体"/>
                    </w:rPr>
                    <w:t>一开</w:t>
                  </w:r>
                </w:p>
              </w:tc>
              <w:tc>
                <w:tcPr>
                  <w:tcW w:w="893" w:type="pct"/>
                  <w:vAlign w:val="center"/>
                </w:tcPr>
                <w:p w14:paraId="24B1AC4A">
                  <w:pPr>
                    <w:jc w:val="center"/>
                    <w:rPr>
                      <w:rFonts w:hint="eastAsia" w:ascii="宋体" w:hAnsi="宋体"/>
                    </w:rPr>
                  </w:pPr>
                  <w:r>
                    <w:rPr>
                      <w:rFonts w:hint="eastAsia" w:ascii="宋体" w:hAnsi="宋体"/>
                    </w:rPr>
                    <w:t>260.4/</w:t>
                  </w:r>
                  <w:r>
                    <w:rPr>
                      <w:rFonts w:ascii="宋体" w:hAnsi="宋体"/>
                    </w:rPr>
                    <w:t>244.5</w:t>
                  </w:r>
                </w:p>
              </w:tc>
              <w:tc>
                <w:tcPr>
                  <w:tcW w:w="600" w:type="pct"/>
                  <w:vAlign w:val="center"/>
                </w:tcPr>
                <w:p w14:paraId="4F2B5738">
                  <w:pPr>
                    <w:jc w:val="center"/>
                    <w:rPr>
                      <w:rFonts w:hint="eastAsia" w:ascii="宋体" w:hAnsi="宋体"/>
                    </w:rPr>
                  </w:pPr>
                  <w:r>
                    <w:rPr>
                      <w:rFonts w:hint="eastAsia" w:ascii="宋体" w:hAnsi="宋体"/>
                    </w:rPr>
                    <w:t>800</w:t>
                  </w:r>
                </w:p>
              </w:tc>
              <w:tc>
                <w:tcPr>
                  <w:tcW w:w="944" w:type="pct"/>
                  <w:vAlign w:val="center"/>
                </w:tcPr>
                <w:p w14:paraId="4CBDCBFF">
                  <w:pPr>
                    <w:jc w:val="center"/>
                    <w:rPr>
                      <w:rFonts w:hint="eastAsia" w:ascii="宋体" w:hAnsi="宋体"/>
                    </w:rPr>
                  </w:pPr>
                  <w:r>
                    <w:rPr>
                      <w:rFonts w:ascii="宋体" w:hAnsi="宋体"/>
                    </w:rPr>
                    <w:t>地面</w:t>
                  </w:r>
                </w:p>
              </w:tc>
              <w:tc>
                <w:tcPr>
                  <w:tcW w:w="698" w:type="pct"/>
                  <w:vAlign w:val="center"/>
                </w:tcPr>
                <w:p w14:paraId="2847C882">
                  <w:pPr>
                    <w:jc w:val="center"/>
                    <w:rPr>
                      <w:rFonts w:hint="eastAsia" w:ascii="宋体" w:hAnsi="宋体"/>
                    </w:rPr>
                  </w:pPr>
                  <w:r>
                    <w:rPr>
                      <w:rFonts w:ascii="宋体" w:hAnsi="宋体"/>
                    </w:rPr>
                    <w:t>10</w:t>
                  </w:r>
                </w:p>
              </w:tc>
              <w:tc>
                <w:tcPr>
                  <w:tcW w:w="635" w:type="pct"/>
                  <w:vAlign w:val="center"/>
                </w:tcPr>
                <w:p w14:paraId="64E3F904">
                  <w:pPr>
                    <w:jc w:val="center"/>
                    <w:rPr>
                      <w:rFonts w:hint="eastAsia" w:ascii="宋体" w:hAnsi="宋体"/>
                    </w:rPr>
                  </w:pPr>
                  <w:r>
                    <w:rPr>
                      <w:rFonts w:hint="eastAsia" w:ascii="宋体" w:hAnsi="宋体"/>
                    </w:rPr>
                    <w:t>内插</w:t>
                  </w:r>
                </w:p>
              </w:tc>
              <w:tc>
                <w:tcPr>
                  <w:tcW w:w="699" w:type="pct"/>
                  <w:vAlign w:val="center"/>
                </w:tcPr>
                <w:p w14:paraId="18D50DD5">
                  <w:pPr>
                    <w:jc w:val="center"/>
                    <w:rPr>
                      <w:rFonts w:hint="eastAsia" w:ascii="宋体" w:hAnsi="宋体"/>
                    </w:rPr>
                  </w:pPr>
                  <w:r>
                    <w:rPr>
                      <w:rFonts w:hint="eastAsia" w:ascii="宋体" w:hAnsi="宋体"/>
                    </w:rPr>
                    <w:t>或常规</w:t>
                  </w:r>
                </w:p>
              </w:tc>
            </w:tr>
            <w:tr w14:paraId="4BA0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pct"/>
                  <w:vAlign w:val="center"/>
                </w:tcPr>
                <w:p w14:paraId="1B4089FC">
                  <w:pPr>
                    <w:jc w:val="center"/>
                    <w:rPr>
                      <w:rFonts w:hint="eastAsia" w:ascii="宋体" w:hAnsi="宋体"/>
                    </w:rPr>
                  </w:pPr>
                  <w:r>
                    <w:rPr>
                      <w:rFonts w:ascii="宋体" w:hAnsi="宋体"/>
                    </w:rPr>
                    <w:t>二开</w:t>
                  </w:r>
                </w:p>
              </w:tc>
              <w:tc>
                <w:tcPr>
                  <w:tcW w:w="893" w:type="pct"/>
                  <w:vAlign w:val="center"/>
                </w:tcPr>
                <w:p w14:paraId="15FA52A7">
                  <w:pPr>
                    <w:jc w:val="center"/>
                    <w:rPr>
                      <w:rFonts w:hint="eastAsia" w:ascii="宋体" w:hAnsi="宋体"/>
                    </w:rPr>
                  </w:pPr>
                  <w:r>
                    <w:rPr>
                      <w:rFonts w:ascii="宋体" w:hAnsi="宋体"/>
                    </w:rPr>
                    <w:t>139.7</w:t>
                  </w:r>
                </w:p>
              </w:tc>
              <w:tc>
                <w:tcPr>
                  <w:tcW w:w="600" w:type="pct"/>
                  <w:vAlign w:val="center"/>
                </w:tcPr>
                <w:p w14:paraId="3F419CCC">
                  <w:pPr>
                    <w:jc w:val="center"/>
                    <w:rPr>
                      <w:rFonts w:hint="eastAsia" w:ascii="宋体" w:hAnsi="宋体"/>
                    </w:rPr>
                  </w:pPr>
                  <w:r>
                    <w:rPr>
                      <w:rFonts w:hint="eastAsia" w:ascii="宋体" w:hAnsi="宋体"/>
                    </w:rPr>
                    <w:t>4720</w:t>
                  </w:r>
                </w:p>
              </w:tc>
              <w:tc>
                <w:tcPr>
                  <w:tcW w:w="944" w:type="pct"/>
                  <w:vAlign w:val="center"/>
                </w:tcPr>
                <w:p w14:paraId="53290690">
                  <w:pPr>
                    <w:jc w:val="center"/>
                    <w:rPr>
                      <w:rFonts w:hint="eastAsia" w:ascii="宋体" w:hAnsi="宋体"/>
                    </w:rPr>
                  </w:pPr>
                  <w:r>
                    <w:rPr>
                      <w:rFonts w:ascii="宋体" w:hAnsi="宋体"/>
                    </w:rPr>
                    <w:t>地面</w:t>
                  </w:r>
                </w:p>
              </w:tc>
              <w:tc>
                <w:tcPr>
                  <w:tcW w:w="698" w:type="pct"/>
                  <w:vAlign w:val="center"/>
                </w:tcPr>
                <w:p w14:paraId="67EDB4F3">
                  <w:pPr>
                    <w:jc w:val="center"/>
                    <w:rPr>
                      <w:rFonts w:hint="eastAsia" w:ascii="宋体" w:hAnsi="宋体"/>
                    </w:rPr>
                  </w:pPr>
                  <w:r>
                    <w:rPr>
                      <w:rFonts w:ascii="宋体" w:hAnsi="宋体"/>
                    </w:rPr>
                    <w:t>20</w:t>
                  </w:r>
                </w:p>
              </w:tc>
              <w:tc>
                <w:tcPr>
                  <w:tcW w:w="635" w:type="pct"/>
                  <w:vAlign w:val="center"/>
                </w:tcPr>
                <w:p w14:paraId="2543CB09">
                  <w:pPr>
                    <w:jc w:val="center"/>
                    <w:rPr>
                      <w:rFonts w:hint="eastAsia" w:ascii="宋体" w:hAnsi="宋体"/>
                    </w:rPr>
                  </w:pPr>
                  <w:r>
                    <w:rPr>
                      <w:rFonts w:ascii="宋体" w:hAnsi="宋体"/>
                    </w:rPr>
                    <w:t>常规</w:t>
                  </w:r>
                </w:p>
              </w:tc>
              <w:tc>
                <w:tcPr>
                  <w:tcW w:w="699" w:type="pct"/>
                  <w:vAlign w:val="center"/>
                </w:tcPr>
                <w:p w14:paraId="34D0DC4E">
                  <w:pPr>
                    <w:jc w:val="center"/>
                    <w:rPr>
                      <w:rFonts w:hint="eastAsia" w:ascii="宋体" w:hAnsi="宋体"/>
                    </w:rPr>
                  </w:pPr>
                </w:p>
              </w:tc>
            </w:tr>
          </w:tbl>
          <w:p w14:paraId="657AF2AC"/>
          <w:p w14:paraId="38BCAB25">
            <w:pPr>
              <w:pStyle w:val="12"/>
              <w:spacing w:before="120"/>
              <w:ind w:firstLine="480"/>
              <w:rPr>
                <w:rFonts w:hint="eastAsia" w:hAnsi="宋体"/>
              </w:rPr>
            </w:pPr>
            <w:bookmarkStart w:id="33" w:name="_Ref195695876"/>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20</w:t>
            </w:r>
            <w:r>
              <w:rPr>
                <w:rFonts w:hAnsi="宋体"/>
              </w:rPr>
              <w:fldChar w:fldCharType="end"/>
            </w:r>
            <w:bookmarkEnd w:id="33"/>
            <w:r>
              <w:rPr>
                <w:rFonts w:hAnsi="宋体"/>
              </w:rPr>
              <w:t xml:space="preserve">  水泥浆配方设计</w:t>
            </w:r>
          </w:p>
          <w:tbl>
            <w:tblPr>
              <w:tblStyle w:val="29"/>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12"/>
              <w:gridCol w:w="6888"/>
            </w:tblGrid>
            <w:tr w14:paraId="48E7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5" w:type="pct"/>
                  <w:vAlign w:val="center"/>
                </w:tcPr>
                <w:p w14:paraId="38FE6B2E">
                  <w:pPr>
                    <w:jc w:val="center"/>
                    <w:rPr>
                      <w:rFonts w:hint="eastAsia" w:ascii="宋体" w:hAnsi="宋体"/>
                    </w:rPr>
                  </w:pPr>
                  <w:r>
                    <w:rPr>
                      <w:rFonts w:ascii="宋体" w:hAnsi="宋体"/>
                    </w:rPr>
                    <w:t>套管程序</w:t>
                  </w:r>
                </w:p>
              </w:tc>
              <w:tc>
                <w:tcPr>
                  <w:tcW w:w="4304" w:type="pct"/>
                  <w:vAlign w:val="center"/>
                </w:tcPr>
                <w:p w14:paraId="13629B28">
                  <w:pPr>
                    <w:jc w:val="center"/>
                    <w:rPr>
                      <w:rFonts w:hint="eastAsia" w:ascii="宋体" w:hAnsi="宋体"/>
                    </w:rPr>
                  </w:pPr>
                  <w:r>
                    <w:rPr>
                      <w:rFonts w:ascii="宋体" w:hAnsi="宋体"/>
                    </w:rPr>
                    <w:t>配方</w:t>
                  </w:r>
                </w:p>
              </w:tc>
            </w:tr>
            <w:tr w14:paraId="7D3F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5" w:type="pct"/>
                  <w:vAlign w:val="center"/>
                </w:tcPr>
                <w:p w14:paraId="60F91D14">
                  <w:pPr>
                    <w:jc w:val="center"/>
                    <w:rPr>
                      <w:rFonts w:hint="eastAsia" w:ascii="宋体" w:hAnsi="宋体"/>
                    </w:rPr>
                  </w:pPr>
                  <w:r>
                    <w:rPr>
                      <w:rFonts w:ascii="宋体" w:hAnsi="宋体"/>
                    </w:rPr>
                    <w:t>一开</w:t>
                  </w:r>
                </w:p>
              </w:tc>
              <w:tc>
                <w:tcPr>
                  <w:tcW w:w="4304" w:type="pct"/>
                  <w:vAlign w:val="center"/>
                </w:tcPr>
                <w:p w14:paraId="4FDD70DD">
                  <w:pPr>
                    <w:jc w:val="center"/>
                    <w:rPr>
                      <w:rFonts w:hint="eastAsia" w:ascii="宋体" w:hAnsi="宋体"/>
                    </w:rPr>
                  </w:pPr>
                  <w:r>
                    <w:rPr>
                      <w:rFonts w:ascii="宋体" w:hAnsi="宋体"/>
                    </w:rPr>
                    <w:t>G级水泥+1.2%降失水剂+0.8%减阻剂+0.25%消泡剂+配浆水</w:t>
                  </w:r>
                </w:p>
              </w:tc>
            </w:tr>
            <w:tr w14:paraId="5935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5" w:type="pct"/>
                  <w:vMerge w:val="restart"/>
                  <w:vAlign w:val="center"/>
                </w:tcPr>
                <w:p w14:paraId="1168FF89">
                  <w:pPr>
                    <w:jc w:val="center"/>
                    <w:rPr>
                      <w:rFonts w:hint="eastAsia" w:ascii="宋体" w:hAnsi="宋体"/>
                    </w:rPr>
                  </w:pPr>
                  <w:r>
                    <w:rPr>
                      <w:rFonts w:ascii="宋体" w:hAnsi="宋体"/>
                    </w:rPr>
                    <w:t>二开</w:t>
                  </w:r>
                </w:p>
              </w:tc>
              <w:tc>
                <w:tcPr>
                  <w:tcW w:w="4304" w:type="pct"/>
                  <w:vAlign w:val="center"/>
                </w:tcPr>
                <w:p w14:paraId="041FF63A">
                  <w:pPr>
                    <w:jc w:val="center"/>
                    <w:rPr>
                      <w:rFonts w:hint="eastAsia" w:ascii="宋体" w:hAnsi="宋体"/>
                    </w:rPr>
                  </w:pPr>
                  <w:r>
                    <w:rPr>
                      <w:rFonts w:ascii="宋体" w:hAnsi="宋体"/>
                    </w:rPr>
                    <w:t>G级水泥+1.2%降失水剂+0.8%减阻剂+0.25%消泡剂+1%缓凝剂+粉煤灰+配浆水</w:t>
                  </w:r>
                </w:p>
              </w:tc>
            </w:tr>
            <w:tr w14:paraId="6931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5" w:type="pct"/>
                  <w:vMerge w:val="continue"/>
                  <w:vAlign w:val="center"/>
                </w:tcPr>
                <w:p w14:paraId="7DF3EC59">
                  <w:pPr>
                    <w:jc w:val="center"/>
                    <w:rPr>
                      <w:rFonts w:hint="eastAsia" w:ascii="宋体" w:hAnsi="宋体"/>
                    </w:rPr>
                  </w:pPr>
                </w:p>
              </w:tc>
              <w:tc>
                <w:tcPr>
                  <w:tcW w:w="4304" w:type="pct"/>
                  <w:vAlign w:val="center"/>
                </w:tcPr>
                <w:p w14:paraId="11BF0BB8">
                  <w:pPr>
                    <w:jc w:val="center"/>
                    <w:rPr>
                      <w:rFonts w:hint="eastAsia" w:ascii="宋体" w:hAnsi="宋体"/>
                    </w:rPr>
                  </w:pPr>
                  <w:r>
                    <w:rPr>
                      <w:rFonts w:ascii="宋体" w:hAnsi="宋体"/>
                    </w:rPr>
                    <w:t>G级水泥+1.5%降失水剂+1%减阻剂+0.4%消泡剂+1.5%缓凝剂+2%晶格膨胀剂+1.5%增韧剂+配浆水</w:t>
                  </w:r>
                </w:p>
              </w:tc>
            </w:tr>
          </w:tbl>
          <w:p w14:paraId="23B89B64"/>
          <w:p w14:paraId="7C2E1DD2">
            <w:pPr>
              <w:pStyle w:val="12"/>
              <w:spacing w:before="120"/>
              <w:ind w:firstLine="480"/>
              <w:rPr>
                <w:rFonts w:hint="eastAsia" w:hAnsi="宋体"/>
              </w:rPr>
            </w:pPr>
            <w:bookmarkStart w:id="34" w:name="_Ref195695882"/>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21</w:t>
            </w:r>
            <w:r>
              <w:rPr>
                <w:rFonts w:hAnsi="宋体"/>
              </w:rPr>
              <w:fldChar w:fldCharType="end"/>
            </w:r>
            <w:bookmarkEnd w:id="34"/>
            <w:r>
              <w:rPr>
                <w:rFonts w:hAnsi="宋体"/>
              </w:rPr>
              <w:t xml:space="preserve">  注水泥浆设计</w:t>
            </w:r>
          </w:p>
          <w:tbl>
            <w:tblPr>
              <w:tblStyle w:val="29"/>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193"/>
              <w:gridCol w:w="1161"/>
              <w:gridCol w:w="1161"/>
              <w:gridCol w:w="847"/>
              <w:gridCol w:w="952"/>
              <w:gridCol w:w="684"/>
              <w:gridCol w:w="887"/>
            </w:tblGrid>
            <w:tr w14:paraId="3FED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pct"/>
                  <w:vMerge w:val="restart"/>
                  <w:vAlign w:val="center"/>
                </w:tcPr>
                <w:p w14:paraId="103B00F8">
                  <w:pPr>
                    <w:jc w:val="center"/>
                    <w:rPr>
                      <w:rFonts w:hint="eastAsia" w:ascii="宋体" w:hAnsi="宋体"/>
                    </w:rPr>
                  </w:pPr>
                  <w:r>
                    <w:rPr>
                      <w:rFonts w:ascii="宋体" w:hAnsi="宋体"/>
                    </w:rPr>
                    <w:t>套管程序</w:t>
                  </w:r>
                </w:p>
              </w:tc>
              <w:tc>
                <w:tcPr>
                  <w:tcW w:w="781" w:type="pct"/>
                  <w:vMerge w:val="restart"/>
                  <w:vAlign w:val="center"/>
                </w:tcPr>
                <w:p w14:paraId="42A0F15A">
                  <w:pPr>
                    <w:jc w:val="center"/>
                    <w:rPr>
                      <w:rFonts w:hint="eastAsia" w:ascii="宋体" w:hAnsi="宋体"/>
                    </w:rPr>
                  </w:pPr>
                  <w:r>
                    <w:rPr>
                      <w:rFonts w:ascii="宋体" w:hAnsi="宋体"/>
                    </w:rPr>
                    <w:t>封固井段</w:t>
                  </w:r>
                </w:p>
                <w:p w14:paraId="3357D992">
                  <w:pPr>
                    <w:jc w:val="center"/>
                    <w:rPr>
                      <w:rFonts w:hint="eastAsia" w:ascii="宋体" w:hAnsi="宋体"/>
                    </w:rPr>
                  </w:pPr>
                  <w:r>
                    <w:rPr>
                      <w:rFonts w:ascii="宋体" w:hAnsi="宋体"/>
                    </w:rPr>
                    <w:t>（m）</w:t>
                  </w:r>
                </w:p>
              </w:tc>
              <w:tc>
                <w:tcPr>
                  <w:tcW w:w="2516" w:type="pct"/>
                  <w:gridSpan w:val="4"/>
                  <w:vAlign w:val="center"/>
                </w:tcPr>
                <w:p w14:paraId="4C4281A4">
                  <w:pPr>
                    <w:jc w:val="center"/>
                    <w:rPr>
                      <w:rFonts w:hint="eastAsia" w:ascii="宋体" w:hAnsi="宋体"/>
                    </w:rPr>
                  </w:pPr>
                  <w:r>
                    <w:rPr>
                      <w:rFonts w:ascii="宋体" w:hAnsi="宋体"/>
                    </w:rPr>
                    <w:t>水泥浆主要性能</w:t>
                  </w:r>
                </w:p>
              </w:tc>
              <w:tc>
                <w:tcPr>
                  <w:tcW w:w="1049" w:type="pct"/>
                  <w:gridSpan w:val="2"/>
                  <w:vAlign w:val="center"/>
                </w:tcPr>
                <w:p w14:paraId="2E7454FC">
                  <w:pPr>
                    <w:jc w:val="center"/>
                    <w:rPr>
                      <w:rFonts w:hint="eastAsia" w:ascii="宋体" w:hAnsi="宋体"/>
                    </w:rPr>
                  </w:pPr>
                  <w:r>
                    <w:rPr>
                      <w:rFonts w:ascii="宋体" w:hAnsi="宋体"/>
                    </w:rPr>
                    <w:t>水泥</w:t>
                  </w:r>
                </w:p>
              </w:tc>
            </w:tr>
            <w:tr w14:paraId="3C02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pct"/>
                  <w:vMerge w:val="continue"/>
                  <w:vAlign w:val="center"/>
                </w:tcPr>
                <w:p w14:paraId="03B14C79">
                  <w:pPr>
                    <w:jc w:val="center"/>
                    <w:rPr>
                      <w:rFonts w:hint="eastAsia" w:ascii="宋体" w:hAnsi="宋体"/>
                    </w:rPr>
                  </w:pPr>
                </w:p>
              </w:tc>
              <w:tc>
                <w:tcPr>
                  <w:tcW w:w="781" w:type="pct"/>
                  <w:vMerge w:val="continue"/>
                  <w:vAlign w:val="center"/>
                </w:tcPr>
                <w:p w14:paraId="43CF7448">
                  <w:pPr>
                    <w:jc w:val="center"/>
                    <w:rPr>
                      <w:rFonts w:hint="eastAsia" w:ascii="宋体" w:hAnsi="宋体"/>
                    </w:rPr>
                  </w:pPr>
                </w:p>
              </w:tc>
              <w:tc>
                <w:tcPr>
                  <w:tcW w:w="606" w:type="pct"/>
                  <w:vAlign w:val="center"/>
                </w:tcPr>
                <w:p w14:paraId="08ACBC16">
                  <w:pPr>
                    <w:jc w:val="center"/>
                    <w:rPr>
                      <w:rFonts w:hint="eastAsia" w:ascii="宋体" w:hAnsi="宋体"/>
                    </w:rPr>
                  </w:pPr>
                  <w:r>
                    <w:rPr>
                      <w:rFonts w:ascii="宋体" w:hAnsi="宋体"/>
                    </w:rPr>
                    <w:t>密度</w:t>
                  </w:r>
                </w:p>
                <w:p w14:paraId="65B847DF">
                  <w:pPr>
                    <w:jc w:val="center"/>
                    <w:rPr>
                      <w:rFonts w:hint="eastAsia" w:ascii="宋体" w:hAnsi="宋体"/>
                    </w:rPr>
                  </w:pPr>
                  <w:r>
                    <w:rPr>
                      <w:rFonts w:ascii="宋体" w:hAnsi="宋体"/>
                    </w:rPr>
                    <w:t>（g/cm3）</w:t>
                  </w:r>
                </w:p>
              </w:tc>
              <w:tc>
                <w:tcPr>
                  <w:tcW w:w="760" w:type="pct"/>
                  <w:vAlign w:val="center"/>
                </w:tcPr>
                <w:p w14:paraId="69AA1279">
                  <w:pPr>
                    <w:jc w:val="center"/>
                    <w:rPr>
                      <w:rFonts w:hint="eastAsia" w:ascii="宋体" w:hAnsi="宋体"/>
                    </w:rPr>
                  </w:pPr>
                  <w:r>
                    <w:rPr>
                      <w:rFonts w:ascii="宋体" w:hAnsi="宋体"/>
                    </w:rPr>
                    <w:t>稠化时间</w:t>
                  </w:r>
                </w:p>
                <w:p w14:paraId="3C938B57">
                  <w:pPr>
                    <w:jc w:val="center"/>
                    <w:rPr>
                      <w:rFonts w:hint="eastAsia" w:ascii="宋体" w:hAnsi="宋体"/>
                    </w:rPr>
                  </w:pPr>
                  <w:r>
                    <w:rPr>
                      <w:rFonts w:ascii="宋体" w:hAnsi="宋体"/>
                    </w:rPr>
                    <w:t>（h:min）</w:t>
                  </w:r>
                </w:p>
              </w:tc>
              <w:tc>
                <w:tcPr>
                  <w:tcW w:w="529" w:type="pct"/>
                  <w:vAlign w:val="center"/>
                </w:tcPr>
                <w:p w14:paraId="03556B37">
                  <w:pPr>
                    <w:jc w:val="center"/>
                    <w:rPr>
                      <w:rFonts w:hint="eastAsia" w:ascii="宋体" w:hAnsi="宋体"/>
                    </w:rPr>
                  </w:pPr>
                  <w:r>
                    <w:rPr>
                      <w:rFonts w:ascii="宋体" w:hAnsi="宋体"/>
                    </w:rPr>
                    <w:t>滤失量</w:t>
                  </w:r>
                </w:p>
                <w:p w14:paraId="7EFED1F4">
                  <w:pPr>
                    <w:jc w:val="center"/>
                    <w:rPr>
                      <w:rFonts w:hint="eastAsia" w:ascii="宋体" w:hAnsi="宋体"/>
                    </w:rPr>
                  </w:pPr>
                  <w:r>
                    <w:rPr>
                      <w:rFonts w:ascii="宋体" w:hAnsi="宋体"/>
                    </w:rPr>
                    <w:t>（ml）</w:t>
                  </w:r>
                </w:p>
              </w:tc>
              <w:tc>
                <w:tcPr>
                  <w:tcW w:w="620" w:type="pct"/>
                  <w:vAlign w:val="center"/>
                </w:tcPr>
                <w:p w14:paraId="10C96798">
                  <w:pPr>
                    <w:jc w:val="center"/>
                    <w:rPr>
                      <w:rFonts w:hint="eastAsia" w:ascii="宋体" w:hAnsi="宋体"/>
                    </w:rPr>
                  </w:pPr>
                  <w:r>
                    <w:rPr>
                      <w:rFonts w:ascii="宋体" w:hAnsi="宋体"/>
                    </w:rPr>
                    <w:t>抗压强度</w:t>
                  </w:r>
                </w:p>
                <w:p w14:paraId="1997F6A2">
                  <w:pPr>
                    <w:jc w:val="center"/>
                    <w:rPr>
                      <w:rFonts w:hint="eastAsia" w:ascii="宋体" w:hAnsi="宋体"/>
                    </w:rPr>
                  </w:pPr>
                  <w:r>
                    <w:rPr>
                      <w:rFonts w:ascii="宋体" w:hAnsi="宋体"/>
                    </w:rPr>
                    <w:t>（MPa）</w:t>
                  </w:r>
                </w:p>
              </w:tc>
              <w:tc>
                <w:tcPr>
                  <w:tcW w:w="464" w:type="pct"/>
                  <w:vAlign w:val="center"/>
                </w:tcPr>
                <w:p w14:paraId="75DD521B">
                  <w:pPr>
                    <w:jc w:val="center"/>
                    <w:rPr>
                      <w:rFonts w:hint="eastAsia" w:ascii="宋体" w:hAnsi="宋体"/>
                    </w:rPr>
                  </w:pPr>
                  <w:r>
                    <w:rPr>
                      <w:rFonts w:ascii="宋体" w:hAnsi="宋体"/>
                    </w:rPr>
                    <w:t>型号</w:t>
                  </w:r>
                </w:p>
              </w:tc>
              <w:tc>
                <w:tcPr>
                  <w:tcW w:w="585" w:type="pct"/>
                  <w:vAlign w:val="center"/>
                </w:tcPr>
                <w:p w14:paraId="46A3CAEC">
                  <w:pPr>
                    <w:jc w:val="center"/>
                    <w:rPr>
                      <w:rFonts w:hint="eastAsia" w:ascii="宋体" w:hAnsi="宋体"/>
                    </w:rPr>
                  </w:pPr>
                  <w:r>
                    <w:rPr>
                      <w:rFonts w:ascii="宋体" w:hAnsi="宋体"/>
                    </w:rPr>
                    <w:t>数量</w:t>
                  </w:r>
                </w:p>
                <w:p w14:paraId="14AC95FB">
                  <w:pPr>
                    <w:jc w:val="center"/>
                    <w:rPr>
                      <w:rFonts w:hint="eastAsia" w:ascii="宋体" w:hAnsi="宋体"/>
                    </w:rPr>
                  </w:pPr>
                  <w:r>
                    <w:rPr>
                      <w:rFonts w:ascii="宋体" w:hAnsi="宋体"/>
                    </w:rPr>
                    <w:t>（t）</w:t>
                  </w:r>
                </w:p>
              </w:tc>
            </w:tr>
            <w:tr w14:paraId="63AB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pct"/>
                  <w:vAlign w:val="center"/>
                </w:tcPr>
                <w:p w14:paraId="4533CD8A">
                  <w:pPr>
                    <w:jc w:val="center"/>
                    <w:rPr>
                      <w:rFonts w:hint="eastAsia" w:ascii="宋体" w:hAnsi="宋体"/>
                    </w:rPr>
                  </w:pPr>
                  <w:r>
                    <w:rPr>
                      <w:rFonts w:ascii="宋体" w:hAnsi="宋体"/>
                    </w:rPr>
                    <w:t>导管</w:t>
                  </w:r>
                </w:p>
              </w:tc>
              <w:tc>
                <w:tcPr>
                  <w:tcW w:w="781" w:type="pct"/>
                  <w:vAlign w:val="center"/>
                </w:tcPr>
                <w:p w14:paraId="6F6109BC">
                  <w:pPr>
                    <w:jc w:val="center"/>
                    <w:rPr>
                      <w:rFonts w:hint="eastAsia" w:ascii="宋体" w:hAnsi="宋体"/>
                    </w:rPr>
                  </w:pPr>
                  <w:r>
                    <w:rPr>
                      <w:rFonts w:ascii="宋体" w:hAnsi="宋体"/>
                    </w:rPr>
                    <w:t>0～50</w:t>
                  </w:r>
                </w:p>
              </w:tc>
              <w:tc>
                <w:tcPr>
                  <w:tcW w:w="3566" w:type="pct"/>
                  <w:gridSpan w:val="6"/>
                  <w:vAlign w:val="center"/>
                </w:tcPr>
                <w:p w14:paraId="78BF72FF">
                  <w:pPr>
                    <w:jc w:val="center"/>
                    <w:rPr>
                      <w:rFonts w:hint="eastAsia" w:ascii="宋体" w:hAnsi="宋体"/>
                    </w:rPr>
                  </w:pPr>
                  <w:r>
                    <w:rPr>
                      <w:rFonts w:ascii="宋体" w:hAnsi="宋体"/>
                    </w:rPr>
                    <w:t>钻前施工</w:t>
                  </w:r>
                </w:p>
              </w:tc>
            </w:tr>
            <w:tr w14:paraId="1487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pct"/>
                  <w:vAlign w:val="center"/>
                </w:tcPr>
                <w:p w14:paraId="46F35022">
                  <w:pPr>
                    <w:jc w:val="center"/>
                    <w:rPr>
                      <w:rFonts w:hint="eastAsia" w:ascii="宋体" w:hAnsi="宋体"/>
                    </w:rPr>
                  </w:pPr>
                  <w:r>
                    <w:rPr>
                      <w:rFonts w:ascii="宋体" w:hAnsi="宋体"/>
                    </w:rPr>
                    <w:t>一开</w:t>
                  </w:r>
                </w:p>
              </w:tc>
              <w:tc>
                <w:tcPr>
                  <w:tcW w:w="781" w:type="pct"/>
                  <w:vAlign w:val="center"/>
                </w:tcPr>
                <w:p w14:paraId="7F5600EA">
                  <w:pPr>
                    <w:jc w:val="center"/>
                    <w:rPr>
                      <w:rFonts w:hint="eastAsia" w:ascii="宋体" w:hAnsi="宋体"/>
                    </w:rPr>
                  </w:pPr>
                  <w:r>
                    <w:rPr>
                      <w:rFonts w:ascii="宋体" w:hAnsi="宋体"/>
                    </w:rPr>
                    <w:t>0～801</w:t>
                  </w:r>
                </w:p>
              </w:tc>
              <w:tc>
                <w:tcPr>
                  <w:tcW w:w="606" w:type="pct"/>
                  <w:vAlign w:val="center"/>
                </w:tcPr>
                <w:p w14:paraId="216E05AC">
                  <w:pPr>
                    <w:jc w:val="center"/>
                    <w:rPr>
                      <w:rFonts w:hint="eastAsia" w:ascii="宋体" w:hAnsi="宋体"/>
                    </w:rPr>
                  </w:pPr>
                  <w:r>
                    <w:rPr>
                      <w:rFonts w:ascii="宋体" w:hAnsi="宋体"/>
                    </w:rPr>
                    <w:t>1.85</w:t>
                  </w:r>
                </w:p>
              </w:tc>
              <w:tc>
                <w:tcPr>
                  <w:tcW w:w="760" w:type="pct"/>
                  <w:vAlign w:val="center"/>
                </w:tcPr>
                <w:p w14:paraId="14DC6A48">
                  <w:pPr>
                    <w:jc w:val="center"/>
                    <w:rPr>
                      <w:rFonts w:hint="eastAsia" w:ascii="宋体" w:hAnsi="宋体"/>
                    </w:rPr>
                  </w:pPr>
                  <w:r>
                    <w:rPr>
                      <w:rFonts w:ascii="宋体" w:hAnsi="宋体"/>
                    </w:rPr>
                    <w:t>2:30～3:00</w:t>
                  </w:r>
                </w:p>
              </w:tc>
              <w:tc>
                <w:tcPr>
                  <w:tcW w:w="529" w:type="pct"/>
                  <w:vAlign w:val="center"/>
                </w:tcPr>
                <w:p w14:paraId="66E61AFB">
                  <w:pPr>
                    <w:jc w:val="center"/>
                    <w:rPr>
                      <w:rFonts w:hint="eastAsia" w:ascii="宋体" w:hAnsi="宋体"/>
                    </w:rPr>
                  </w:pPr>
                  <w:r>
                    <w:rPr>
                      <w:rFonts w:ascii="宋体" w:hAnsi="宋体"/>
                    </w:rPr>
                    <w:t>&lt;</w:t>
                  </w:r>
                  <w:r>
                    <w:rPr>
                      <w:rFonts w:hint="eastAsia" w:ascii="宋体" w:hAnsi="宋体"/>
                    </w:rPr>
                    <w:t>250</w:t>
                  </w:r>
                </w:p>
              </w:tc>
              <w:tc>
                <w:tcPr>
                  <w:tcW w:w="620" w:type="pct"/>
                  <w:vAlign w:val="center"/>
                </w:tcPr>
                <w:p w14:paraId="24A5EC52">
                  <w:pPr>
                    <w:jc w:val="center"/>
                    <w:rPr>
                      <w:rFonts w:hint="eastAsia" w:ascii="宋体" w:hAnsi="宋体"/>
                    </w:rPr>
                  </w:pPr>
                  <w:r>
                    <w:rPr>
                      <w:rFonts w:ascii="宋体" w:hAnsi="宋体"/>
                    </w:rPr>
                    <w:t>≥7</w:t>
                  </w:r>
                </w:p>
              </w:tc>
              <w:tc>
                <w:tcPr>
                  <w:tcW w:w="464" w:type="pct"/>
                  <w:vAlign w:val="center"/>
                </w:tcPr>
                <w:p w14:paraId="0C67D72A">
                  <w:pPr>
                    <w:jc w:val="center"/>
                    <w:rPr>
                      <w:rFonts w:hint="eastAsia" w:ascii="宋体" w:hAnsi="宋体"/>
                    </w:rPr>
                  </w:pPr>
                  <w:r>
                    <w:rPr>
                      <w:rFonts w:ascii="宋体" w:hAnsi="宋体"/>
                    </w:rPr>
                    <w:t>G</w:t>
                  </w:r>
                </w:p>
              </w:tc>
              <w:tc>
                <w:tcPr>
                  <w:tcW w:w="585" w:type="pct"/>
                  <w:vAlign w:val="center"/>
                </w:tcPr>
                <w:p w14:paraId="06B623C7">
                  <w:pPr>
                    <w:jc w:val="center"/>
                    <w:rPr>
                      <w:rFonts w:hint="eastAsia" w:ascii="宋体" w:hAnsi="宋体"/>
                    </w:rPr>
                  </w:pPr>
                  <w:r>
                    <w:rPr>
                      <w:rFonts w:ascii="宋体" w:hAnsi="宋体"/>
                    </w:rPr>
                    <w:t>1</w:t>
                  </w:r>
                  <w:r>
                    <w:rPr>
                      <w:rFonts w:hint="eastAsia" w:ascii="宋体" w:hAnsi="宋体"/>
                    </w:rPr>
                    <w:t>25</w:t>
                  </w:r>
                </w:p>
              </w:tc>
            </w:tr>
            <w:tr w14:paraId="70A8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pct"/>
                  <w:vMerge w:val="restart"/>
                  <w:vAlign w:val="center"/>
                </w:tcPr>
                <w:p w14:paraId="23EDFAD6">
                  <w:pPr>
                    <w:jc w:val="center"/>
                    <w:rPr>
                      <w:rFonts w:hint="eastAsia" w:ascii="宋体" w:hAnsi="宋体"/>
                    </w:rPr>
                  </w:pPr>
                  <w:r>
                    <w:rPr>
                      <w:rFonts w:ascii="宋体" w:hAnsi="宋体"/>
                    </w:rPr>
                    <w:t>二开</w:t>
                  </w:r>
                </w:p>
              </w:tc>
              <w:tc>
                <w:tcPr>
                  <w:tcW w:w="781" w:type="pct"/>
                  <w:vAlign w:val="center"/>
                </w:tcPr>
                <w:p w14:paraId="7BBC9770">
                  <w:pPr>
                    <w:jc w:val="center"/>
                    <w:rPr>
                      <w:rFonts w:hint="eastAsia" w:ascii="宋体" w:hAnsi="宋体"/>
                    </w:rPr>
                  </w:pPr>
                  <w:r>
                    <w:rPr>
                      <w:rFonts w:ascii="宋体" w:hAnsi="宋体"/>
                    </w:rPr>
                    <w:t>0～</w:t>
                  </w:r>
                  <w:r>
                    <w:rPr>
                      <w:rFonts w:hint="eastAsia" w:ascii="宋体" w:hAnsi="宋体"/>
                    </w:rPr>
                    <w:t>3600</w:t>
                  </w:r>
                </w:p>
              </w:tc>
              <w:tc>
                <w:tcPr>
                  <w:tcW w:w="606" w:type="pct"/>
                  <w:vAlign w:val="center"/>
                </w:tcPr>
                <w:p w14:paraId="0D0AB0A2">
                  <w:pPr>
                    <w:jc w:val="center"/>
                    <w:rPr>
                      <w:rFonts w:hint="eastAsia" w:ascii="宋体" w:hAnsi="宋体"/>
                    </w:rPr>
                  </w:pPr>
                  <w:r>
                    <w:rPr>
                      <w:rFonts w:ascii="宋体" w:hAnsi="宋体"/>
                    </w:rPr>
                    <w:t>1.65</w:t>
                  </w:r>
                </w:p>
              </w:tc>
              <w:tc>
                <w:tcPr>
                  <w:tcW w:w="760" w:type="pct"/>
                  <w:vAlign w:val="center"/>
                </w:tcPr>
                <w:p w14:paraId="6E26DD96">
                  <w:pPr>
                    <w:jc w:val="center"/>
                    <w:rPr>
                      <w:rFonts w:hint="eastAsia" w:ascii="宋体" w:hAnsi="宋体"/>
                    </w:rPr>
                  </w:pPr>
                  <w:r>
                    <w:rPr>
                      <w:rFonts w:ascii="宋体" w:hAnsi="宋体"/>
                    </w:rPr>
                    <w:t>4:30～5:00</w:t>
                  </w:r>
                </w:p>
              </w:tc>
              <w:tc>
                <w:tcPr>
                  <w:tcW w:w="529" w:type="pct"/>
                  <w:vAlign w:val="center"/>
                </w:tcPr>
                <w:p w14:paraId="640FC02C">
                  <w:pPr>
                    <w:jc w:val="center"/>
                    <w:rPr>
                      <w:rFonts w:hint="eastAsia" w:ascii="宋体" w:hAnsi="宋体"/>
                    </w:rPr>
                  </w:pPr>
                  <w:r>
                    <w:rPr>
                      <w:rFonts w:ascii="宋体" w:hAnsi="宋体"/>
                    </w:rPr>
                    <w:t>&lt;250</w:t>
                  </w:r>
                </w:p>
              </w:tc>
              <w:tc>
                <w:tcPr>
                  <w:tcW w:w="620" w:type="pct"/>
                  <w:vAlign w:val="center"/>
                </w:tcPr>
                <w:p w14:paraId="4B4C3B6A">
                  <w:pPr>
                    <w:jc w:val="center"/>
                    <w:rPr>
                      <w:rFonts w:hint="eastAsia" w:ascii="宋体" w:hAnsi="宋体"/>
                    </w:rPr>
                  </w:pPr>
                  <w:r>
                    <w:rPr>
                      <w:rFonts w:ascii="宋体" w:hAnsi="宋体"/>
                    </w:rPr>
                    <w:t>≥7</w:t>
                  </w:r>
                </w:p>
              </w:tc>
              <w:tc>
                <w:tcPr>
                  <w:tcW w:w="464" w:type="pct"/>
                  <w:vAlign w:val="center"/>
                </w:tcPr>
                <w:p w14:paraId="46902CC5">
                  <w:pPr>
                    <w:jc w:val="center"/>
                    <w:rPr>
                      <w:rFonts w:hint="eastAsia" w:ascii="宋体" w:hAnsi="宋体"/>
                    </w:rPr>
                  </w:pPr>
                  <w:r>
                    <w:rPr>
                      <w:rFonts w:ascii="宋体" w:hAnsi="宋体"/>
                    </w:rPr>
                    <w:t>G</w:t>
                  </w:r>
                </w:p>
              </w:tc>
              <w:tc>
                <w:tcPr>
                  <w:tcW w:w="585" w:type="pct"/>
                  <w:vAlign w:val="center"/>
                </w:tcPr>
                <w:p w14:paraId="2412648C">
                  <w:pPr>
                    <w:jc w:val="center"/>
                    <w:rPr>
                      <w:rFonts w:hint="eastAsia" w:ascii="宋体" w:hAnsi="宋体"/>
                    </w:rPr>
                  </w:pPr>
                  <w:r>
                    <w:rPr>
                      <w:rFonts w:hint="eastAsia" w:ascii="宋体" w:hAnsi="宋体"/>
                    </w:rPr>
                    <w:t>200</w:t>
                  </w:r>
                </w:p>
              </w:tc>
            </w:tr>
            <w:tr w14:paraId="348D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1" w:type="pct"/>
                  <w:vMerge w:val="continue"/>
                  <w:vAlign w:val="center"/>
                </w:tcPr>
                <w:p w14:paraId="7DE09030">
                  <w:pPr>
                    <w:jc w:val="center"/>
                    <w:rPr>
                      <w:rFonts w:hint="eastAsia" w:ascii="宋体" w:hAnsi="宋体"/>
                    </w:rPr>
                  </w:pPr>
                </w:p>
              </w:tc>
              <w:tc>
                <w:tcPr>
                  <w:tcW w:w="781" w:type="pct"/>
                  <w:vAlign w:val="center"/>
                </w:tcPr>
                <w:p w14:paraId="2B087D72">
                  <w:pPr>
                    <w:jc w:val="center"/>
                    <w:rPr>
                      <w:rFonts w:hint="eastAsia" w:ascii="宋体" w:hAnsi="宋体"/>
                    </w:rPr>
                  </w:pPr>
                  <w:r>
                    <w:rPr>
                      <w:rFonts w:hint="eastAsia" w:ascii="宋体" w:hAnsi="宋体"/>
                    </w:rPr>
                    <w:t>3600</w:t>
                  </w:r>
                  <w:r>
                    <w:rPr>
                      <w:rFonts w:ascii="宋体" w:hAnsi="宋体"/>
                    </w:rPr>
                    <w:t>～</w:t>
                  </w:r>
                  <w:r>
                    <w:rPr>
                      <w:rFonts w:hint="eastAsia" w:ascii="宋体" w:hAnsi="宋体"/>
                    </w:rPr>
                    <w:t>4720</w:t>
                  </w:r>
                </w:p>
              </w:tc>
              <w:tc>
                <w:tcPr>
                  <w:tcW w:w="606" w:type="pct"/>
                  <w:vAlign w:val="center"/>
                </w:tcPr>
                <w:p w14:paraId="7FC14990">
                  <w:pPr>
                    <w:jc w:val="center"/>
                    <w:rPr>
                      <w:rFonts w:hint="eastAsia" w:ascii="宋体" w:hAnsi="宋体"/>
                    </w:rPr>
                  </w:pPr>
                  <w:r>
                    <w:rPr>
                      <w:rFonts w:ascii="宋体" w:hAnsi="宋体"/>
                    </w:rPr>
                    <w:t>1.90</w:t>
                  </w:r>
                </w:p>
              </w:tc>
              <w:tc>
                <w:tcPr>
                  <w:tcW w:w="760" w:type="pct"/>
                  <w:vAlign w:val="center"/>
                </w:tcPr>
                <w:p w14:paraId="353020A2">
                  <w:pPr>
                    <w:jc w:val="center"/>
                    <w:rPr>
                      <w:rFonts w:hint="eastAsia" w:ascii="宋体" w:hAnsi="宋体"/>
                    </w:rPr>
                  </w:pPr>
                  <w:r>
                    <w:rPr>
                      <w:rFonts w:ascii="宋体" w:hAnsi="宋体"/>
                    </w:rPr>
                    <w:t>3:00～3:30</w:t>
                  </w:r>
                </w:p>
              </w:tc>
              <w:tc>
                <w:tcPr>
                  <w:tcW w:w="529" w:type="pct"/>
                  <w:vAlign w:val="center"/>
                </w:tcPr>
                <w:p w14:paraId="1260C27E">
                  <w:pPr>
                    <w:jc w:val="center"/>
                    <w:rPr>
                      <w:rFonts w:hint="eastAsia" w:ascii="宋体" w:hAnsi="宋体"/>
                    </w:rPr>
                  </w:pPr>
                  <w:r>
                    <w:rPr>
                      <w:rFonts w:ascii="宋体" w:hAnsi="宋体"/>
                    </w:rPr>
                    <w:t>&lt;50</w:t>
                  </w:r>
                </w:p>
              </w:tc>
              <w:tc>
                <w:tcPr>
                  <w:tcW w:w="620" w:type="pct"/>
                  <w:vAlign w:val="center"/>
                </w:tcPr>
                <w:p w14:paraId="251214DF">
                  <w:pPr>
                    <w:jc w:val="center"/>
                    <w:rPr>
                      <w:rFonts w:hint="eastAsia" w:ascii="宋体" w:hAnsi="宋体"/>
                    </w:rPr>
                  </w:pPr>
                  <w:r>
                    <w:rPr>
                      <w:rFonts w:ascii="宋体" w:hAnsi="宋体"/>
                    </w:rPr>
                    <w:t>≥14</w:t>
                  </w:r>
                </w:p>
              </w:tc>
              <w:tc>
                <w:tcPr>
                  <w:tcW w:w="464" w:type="pct"/>
                  <w:vAlign w:val="center"/>
                </w:tcPr>
                <w:p w14:paraId="41B77239">
                  <w:pPr>
                    <w:jc w:val="center"/>
                    <w:rPr>
                      <w:rFonts w:hint="eastAsia" w:ascii="宋体" w:hAnsi="宋体"/>
                    </w:rPr>
                  </w:pPr>
                  <w:r>
                    <w:rPr>
                      <w:rFonts w:ascii="宋体" w:hAnsi="宋体"/>
                    </w:rPr>
                    <w:t>G</w:t>
                  </w:r>
                </w:p>
              </w:tc>
              <w:tc>
                <w:tcPr>
                  <w:tcW w:w="585" w:type="pct"/>
                  <w:vAlign w:val="center"/>
                </w:tcPr>
                <w:p w14:paraId="35A5CBED">
                  <w:pPr>
                    <w:jc w:val="center"/>
                    <w:rPr>
                      <w:rFonts w:hint="eastAsia" w:ascii="宋体" w:hAnsi="宋体"/>
                    </w:rPr>
                  </w:pPr>
                  <w:r>
                    <w:rPr>
                      <w:rFonts w:hint="eastAsia" w:ascii="宋体" w:hAnsi="宋体"/>
                    </w:rPr>
                    <w:t>70</w:t>
                  </w:r>
                </w:p>
              </w:tc>
            </w:tr>
          </w:tbl>
          <w:p w14:paraId="21549AA0"/>
          <w:p w14:paraId="45BCAD3D">
            <w:pPr>
              <w:pStyle w:val="113"/>
              <w:rPr>
                <w:rFonts w:hint="eastAsia"/>
              </w:rPr>
            </w:pPr>
            <w:r>
              <w:rPr>
                <w:rFonts w:hint="eastAsia"/>
              </w:rPr>
              <w:t>7）试油工程</w:t>
            </w:r>
          </w:p>
          <w:p w14:paraId="724ED114">
            <w:pPr>
              <w:pStyle w:val="113"/>
              <w:rPr>
                <w:rFonts w:hint="eastAsia"/>
              </w:rPr>
            </w:pPr>
            <w:r>
              <w:rPr>
                <w:rFonts w:hint="eastAsia"/>
              </w:rPr>
              <w:t>（1）储层改造工艺</w:t>
            </w:r>
          </w:p>
          <w:p w14:paraId="54B7D6E3">
            <w:pPr>
              <w:pStyle w:val="113"/>
              <w:rPr>
                <w:rFonts w:hint="eastAsia"/>
              </w:rPr>
            </w:pPr>
            <w:r>
              <w:rPr>
                <w:rFonts w:hint="eastAsia"/>
              </w:rPr>
              <w:t>本项目新钻井采用压裂工艺进行储层改造，压裂是指利用地面压裂车组，将高压大排量具有一定黏度的液体挤入油层，当把油层压出许多裂缝后，加入支撑剂充填进裂缝，提高油气层的渗透能力，以增加油井产油量的一种增产措施。</w:t>
            </w:r>
          </w:p>
          <w:p w14:paraId="2BBBAE97">
            <w:pPr>
              <w:pStyle w:val="113"/>
              <w:rPr>
                <w:rFonts w:hint="eastAsia"/>
              </w:rPr>
            </w:pPr>
            <w:r>
              <w:rPr>
                <w:rFonts w:hint="eastAsia"/>
              </w:rPr>
              <w:t>项目压裂作业施工采用1套压裂车组，压裂液体系见</w:t>
            </w:r>
            <w:r>
              <w:fldChar w:fldCharType="begin"/>
            </w:r>
            <w:r>
              <w:instrText xml:space="preserve"> </w:instrText>
            </w:r>
            <w:r>
              <w:rPr>
                <w:rFonts w:hint="eastAsia"/>
              </w:rPr>
              <w:instrText xml:space="preserve">REF _Ref193728374 \h</w:instrText>
            </w:r>
            <w:r>
              <w:instrText xml:space="preserve">  \* MERGEFORMAT </w:instrText>
            </w:r>
            <w:r>
              <w:fldChar w:fldCharType="separate"/>
            </w:r>
            <w:r>
              <w:rPr>
                <w:rFonts w:hint="eastAsia"/>
              </w:rPr>
              <w:t>表22</w:t>
            </w:r>
            <w:r>
              <w:fldChar w:fldCharType="end"/>
            </w:r>
            <w:r>
              <w:rPr>
                <w:rFonts w:hint="eastAsia"/>
              </w:rPr>
              <w:t>，压裂液主要成分理化性质见</w:t>
            </w:r>
            <w:r>
              <w:fldChar w:fldCharType="begin"/>
            </w:r>
            <w:r>
              <w:instrText xml:space="preserve"> </w:instrText>
            </w:r>
            <w:r>
              <w:rPr>
                <w:rFonts w:hint="eastAsia"/>
              </w:rPr>
              <w:instrText xml:space="preserve">REF _Ref193728378 \h</w:instrText>
            </w:r>
            <w:r>
              <w:instrText xml:space="preserve">  \* MERGEFORMAT </w:instrText>
            </w:r>
            <w:r>
              <w:fldChar w:fldCharType="separate"/>
            </w:r>
            <w:r>
              <w:rPr>
                <w:rFonts w:hint="eastAsia"/>
              </w:rPr>
              <w:t>表23</w:t>
            </w:r>
            <w:r>
              <w:fldChar w:fldCharType="end"/>
            </w:r>
            <w:r>
              <w:rPr>
                <w:rFonts w:hint="eastAsia"/>
              </w:rPr>
              <w:t>。</w:t>
            </w:r>
          </w:p>
          <w:p w14:paraId="5A258E73">
            <w:pPr>
              <w:pStyle w:val="12"/>
              <w:spacing w:before="120"/>
              <w:ind w:firstLine="480"/>
            </w:pPr>
            <w:bookmarkStart w:id="35" w:name="_Ref193728374"/>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22</w:t>
            </w:r>
            <w:r>
              <w:rPr>
                <w:rFonts w:hAnsi="宋体"/>
              </w:rPr>
              <w:fldChar w:fldCharType="end"/>
            </w:r>
            <w:bookmarkEnd w:id="35"/>
            <w:r>
              <w:rPr>
                <w:rFonts w:hAnsi="宋体"/>
              </w:rPr>
              <w:t xml:space="preserve">  </w:t>
            </w:r>
            <w:r>
              <w:rPr>
                <w:rFonts w:hint="eastAsia"/>
              </w:rPr>
              <w:t>压裂液体系一览表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2519"/>
              <w:gridCol w:w="1853"/>
              <w:gridCol w:w="2314"/>
            </w:tblGrid>
            <w:tr w14:paraId="0C71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6DD6C96F">
                  <w:pPr>
                    <w:jc w:val="center"/>
                    <w:rPr>
                      <w:rFonts w:hint="eastAsia" w:ascii="宋体" w:hAnsi="宋体"/>
                      <w:bCs/>
                    </w:rPr>
                  </w:pPr>
                  <w:r>
                    <w:rPr>
                      <w:rFonts w:hint="eastAsia" w:ascii="宋体" w:hAnsi="宋体"/>
                      <w:bCs/>
                    </w:rPr>
                    <w:t>序号</w:t>
                  </w:r>
                </w:p>
              </w:tc>
              <w:tc>
                <w:tcPr>
                  <w:tcW w:w="1600" w:type="pct"/>
                  <w:tcBorders>
                    <w:top w:val="single" w:color="auto" w:sz="4" w:space="0"/>
                    <w:left w:val="single" w:color="auto" w:sz="4" w:space="0"/>
                    <w:bottom w:val="single" w:color="auto" w:sz="4" w:space="0"/>
                    <w:right w:val="single" w:color="auto" w:sz="4" w:space="0"/>
                  </w:tcBorders>
                  <w:vAlign w:val="center"/>
                </w:tcPr>
                <w:p w14:paraId="63FAAA99">
                  <w:pPr>
                    <w:jc w:val="center"/>
                    <w:rPr>
                      <w:rFonts w:hint="eastAsia" w:ascii="宋体" w:hAnsi="宋体"/>
                      <w:bCs/>
                    </w:rPr>
                  </w:pPr>
                  <w:r>
                    <w:rPr>
                      <w:rFonts w:hint="eastAsia" w:ascii="宋体" w:hAnsi="宋体"/>
                      <w:bCs/>
                    </w:rPr>
                    <w:t>药品名称</w:t>
                  </w:r>
                </w:p>
              </w:tc>
              <w:tc>
                <w:tcPr>
                  <w:tcW w:w="1177" w:type="pct"/>
                  <w:tcBorders>
                    <w:top w:val="single" w:color="auto" w:sz="4" w:space="0"/>
                    <w:left w:val="single" w:color="auto" w:sz="4" w:space="0"/>
                    <w:bottom w:val="single" w:color="auto" w:sz="4" w:space="0"/>
                    <w:right w:val="single" w:color="auto" w:sz="4" w:space="0"/>
                  </w:tcBorders>
                  <w:vAlign w:val="center"/>
                </w:tcPr>
                <w:p w14:paraId="226F926A">
                  <w:pPr>
                    <w:jc w:val="center"/>
                    <w:rPr>
                      <w:rFonts w:hint="eastAsia" w:ascii="宋体" w:hAnsi="宋体"/>
                      <w:bCs/>
                    </w:rPr>
                  </w:pPr>
                  <w:r>
                    <w:rPr>
                      <w:rFonts w:hint="eastAsia" w:ascii="宋体" w:hAnsi="宋体"/>
                      <w:bCs/>
                    </w:rPr>
                    <w:t>药品代号</w:t>
                  </w:r>
                </w:p>
              </w:tc>
              <w:tc>
                <w:tcPr>
                  <w:tcW w:w="1469" w:type="pct"/>
                  <w:tcBorders>
                    <w:top w:val="single" w:color="auto" w:sz="4" w:space="0"/>
                    <w:left w:val="single" w:color="auto" w:sz="4" w:space="0"/>
                    <w:bottom w:val="single" w:color="auto" w:sz="4" w:space="0"/>
                    <w:right w:val="single" w:color="auto" w:sz="4" w:space="0"/>
                  </w:tcBorders>
                  <w:vAlign w:val="center"/>
                </w:tcPr>
                <w:p w14:paraId="2D50B663">
                  <w:pPr>
                    <w:jc w:val="center"/>
                    <w:rPr>
                      <w:rFonts w:hint="eastAsia" w:ascii="宋体" w:hAnsi="宋体"/>
                      <w:bCs/>
                    </w:rPr>
                  </w:pPr>
                  <w:r>
                    <w:rPr>
                      <w:rFonts w:hint="eastAsia" w:ascii="宋体" w:hAnsi="宋体"/>
                      <w:bCs/>
                    </w:rPr>
                    <w:t>百分比（%）</w:t>
                  </w:r>
                </w:p>
              </w:tc>
            </w:tr>
            <w:tr w14:paraId="3C92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580E30C">
                  <w:pPr>
                    <w:jc w:val="center"/>
                    <w:rPr>
                      <w:rFonts w:hint="eastAsia" w:ascii="宋体" w:hAnsi="宋体"/>
                      <w:bCs/>
                    </w:rPr>
                  </w:pPr>
                  <w:r>
                    <w:rPr>
                      <w:rFonts w:hint="eastAsia" w:ascii="宋体" w:hAnsi="宋体"/>
                      <w:bCs/>
                    </w:rPr>
                    <w:t>配液添加</w:t>
                  </w:r>
                </w:p>
              </w:tc>
            </w:tr>
            <w:tr w14:paraId="7A1E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6AE0DAC2">
                  <w:pPr>
                    <w:jc w:val="center"/>
                    <w:rPr>
                      <w:rFonts w:hint="eastAsia" w:ascii="宋体" w:hAnsi="宋体"/>
                      <w:bCs/>
                    </w:rPr>
                  </w:pPr>
                  <w:r>
                    <w:rPr>
                      <w:rFonts w:hint="eastAsia" w:ascii="宋体" w:hAnsi="宋体"/>
                      <w:bCs/>
                    </w:rPr>
                    <w:t>1</w:t>
                  </w:r>
                </w:p>
              </w:tc>
              <w:tc>
                <w:tcPr>
                  <w:tcW w:w="1600" w:type="pct"/>
                  <w:tcBorders>
                    <w:top w:val="single" w:color="auto" w:sz="4" w:space="0"/>
                    <w:left w:val="single" w:color="auto" w:sz="4" w:space="0"/>
                    <w:bottom w:val="single" w:color="auto" w:sz="4" w:space="0"/>
                    <w:right w:val="single" w:color="auto" w:sz="4" w:space="0"/>
                  </w:tcBorders>
                  <w:vAlign w:val="center"/>
                </w:tcPr>
                <w:p w14:paraId="4F354654">
                  <w:pPr>
                    <w:jc w:val="center"/>
                    <w:rPr>
                      <w:rFonts w:hint="eastAsia" w:ascii="宋体" w:hAnsi="宋体"/>
                      <w:bCs/>
                    </w:rPr>
                  </w:pPr>
                  <w:r>
                    <w:rPr>
                      <w:rFonts w:hint="eastAsia" w:ascii="宋体" w:hAnsi="宋体"/>
                      <w:bCs/>
                    </w:rPr>
                    <w:t>低浓度速溶瓜胶</w:t>
                  </w:r>
                </w:p>
              </w:tc>
              <w:tc>
                <w:tcPr>
                  <w:tcW w:w="1177" w:type="pct"/>
                  <w:tcBorders>
                    <w:top w:val="single" w:color="auto" w:sz="4" w:space="0"/>
                    <w:left w:val="single" w:color="auto" w:sz="4" w:space="0"/>
                    <w:bottom w:val="single" w:color="auto" w:sz="4" w:space="0"/>
                    <w:right w:val="single" w:color="auto" w:sz="4" w:space="0"/>
                  </w:tcBorders>
                  <w:vAlign w:val="center"/>
                </w:tcPr>
                <w:p w14:paraId="49D7D61D">
                  <w:pPr>
                    <w:jc w:val="center"/>
                    <w:rPr>
                      <w:rFonts w:hint="eastAsia" w:ascii="宋体" w:hAnsi="宋体"/>
                      <w:bCs/>
                    </w:rPr>
                  </w:pPr>
                  <w:r>
                    <w:rPr>
                      <w:rFonts w:hint="eastAsia" w:ascii="宋体" w:hAnsi="宋体"/>
                      <w:bCs/>
                    </w:rPr>
                    <w:t>SRG-2</w:t>
                  </w:r>
                </w:p>
              </w:tc>
              <w:tc>
                <w:tcPr>
                  <w:tcW w:w="1469" w:type="pct"/>
                  <w:tcBorders>
                    <w:top w:val="single" w:color="auto" w:sz="4" w:space="0"/>
                    <w:left w:val="single" w:color="auto" w:sz="4" w:space="0"/>
                    <w:bottom w:val="single" w:color="auto" w:sz="4" w:space="0"/>
                    <w:right w:val="single" w:color="auto" w:sz="4" w:space="0"/>
                  </w:tcBorders>
                  <w:vAlign w:val="center"/>
                </w:tcPr>
                <w:p w14:paraId="783DE8F4">
                  <w:pPr>
                    <w:jc w:val="center"/>
                    <w:rPr>
                      <w:rFonts w:hint="eastAsia" w:ascii="宋体" w:hAnsi="宋体"/>
                      <w:bCs/>
                    </w:rPr>
                  </w:pPr>
                  <w:r>
                    <w:rPr>
                      <w:rFonts w:hint="eastAsia" w:ascii="宋体" w:hAnsi="宋体"/>
                      <w:bCs/>
                    </w:rPr>
                    <w:t>0.45</w:t>
                  </w:r>
                </w:p>
              </w:tc>
            </w:tr>
            <w:tr w14:paraId="0FFA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0B523527">
                  <w:pPr>
                    <w:jc w:val="center"/>
                    <w:rPr>
                      <w:rFonts w:hint="eastAsia" w:ascii="宋体" w:hAnsi="宋体"/>
                      <w:bCs/>
                    </w:rPr>
                  </w:pPr>
                  <w:r>
                    <w:rPr>
                      <w:rFonts w:hint="eastAsia" w:ascii="宋体" w:hAnsi="宋体"/>
                      <w:bCs/>
                    </w:rPr>
                    <w:t>2</w:t>
                  </w:r>
                </w:p>
              </w:tc>
              <w:tc>
                <w:tcPr>
                  <w:tcW w:w="1600" w:type="pct"/>
                  <w:tcBorders>
                    <w:top w:val="single" w:color="auto" w:sz="4" w:space="0"/>
                    <w:left w:val="single" w:color="auto" w:sz="4" w:space="0"/>
                    <w:bottom w:val="single" w:color="auto" w:sz="4" w:space="0"/>
                    <w:right w:val="single" w:color="auto" w:sz="4" w:space="0"/>
                  </w:tcBorders>
                  <w:vAlign w:val="center"/>
                </w:tcPr>
                <w:p w14:paraId="6BCDC958">
                  <w:pPr>
                    <w:jc w:val="center"/>
                    <w:rPr>
                      <w:rFonts w:hint="eastAsia" w:ascii="宋体" w:hAnsi="宋体"/>
                      <w:bCs/>
                    </w:rPr>
                  </w:pPr>
                  <w:r>
                    <w:rPr>
                      <w:rFonts w:hint="eastAsia" w:ascii="宋体" w:hAnsi="宋体"/>
                      <w:bCs/>
                    </w:rPr>
                    <w:t>清水</w:t>
                  </w:r>
                </w:p>
              </w:tc>
              <w:tc>
                <w:tcPr>
                  <w:tcW w:w="1177" w:type="pct"/>
                  <w:tcBorders>
                    <w:top w:val="single" w:color="auto" w:sz="4" w:space="0"/>
                    <w:left w:val="single" w:color="auto" w:sz="4" w:space="0"/>
                    <w:bottom w:val="single" w:color="auto" w:sz="4" w:space="0"/>
                    <w:right w:val="single" w:color="auto" w:sz="4" w:space="0"/>
                  </w:tcBorders>
                  <w:vAlign w:val="center"/>
                </w:tcPr>
                <w:p w14:paraId="50B22D4E">
                  <w:pPr>
                    <w:jc w:val="center"/>
                    <w:rPr>
                      <w:rFonts w:hint="eastAsia" w:ascii="宋体" w:hAnsi="宋体"/>
                      <w:bCs/>
                    </w:rPr>
                  </w:pPr>
                  <w:r>
                    <w:rPr>
                      <w:rFonts w:hint="eastAsia" w:ascii="宋体" w:hAnsi="宋体"/>
                      <w:bCs/>
                    </w:rPr>
                    <w:t>/</w:t>
                  </w:r>
                </w:p>
              </w:tc>
              <w:tc>
                <w:tcPr>
                  <w:tcW w:w="1469" w:type="pct"/>
                  <w:tcBorders>
                    <w:top w:val="single" w:color="auto" w:sz="4" w:space="0"/>
                    <w:left w:val="single" w:color="auto" w:sz="4" w:space="0"/>
                    <w:bottom w:val="single" w:color="auto" w:sz="4" w:space="0"/>
                    <w:right w:val="single" w:color="auto" w:sz="4" w:space="0"/>
                  </w:tcBorders>
                  <w:vAlign w:val="center"/>
                </w:tcPr>
                <w:p w14:paraId="5E80D862">
                  <w:pPr>
                    <w:jc w:val="center"/>
                    <w:rPr>
                      <w:rFonts w:hint="eastAsia" w:ascii="宋体" w:hAnsi="宋体"/>
                      <w:bCs/>
                    </w:rPr>
                  </w:pPr>
                  <w:r>
                    <w:rPr>
                      <w:rFonts w:hint="eastAsia" w:ascii="宋体" w:hAnsi="宋体"/>
                      <w:bCs/>
                    </w:rPr>
                    <w:t>97.33</w:t>
                  </w:r>
                </w:p>
              </w:tc>
            </w:tr>
            <w:tr w14:paraId="45B2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08B693F4">
                  <w:pPr>
                    <w:jc w:val="center"/>
                    <w:rPr>
                      <w:rFonts w:hint="eastAsia" w:ascii="宋体" w:hAnsi="宋体"/>
                      <w:bCs/>
                    </w:rPr>
                  </w:pPr>
                  <w:r>
                    <w:rPr>
                      <w:rFonts w:hint="eastAsia" w:ascii="宋体" w:hAnsi="宋体"/>
                      <w:bCs/>
                    </w:rPr>
                    <w:t>3</w:t>
                  </w:r>
                </w:p>
              </w:tc>
              <w:tc>
                <w:tcPr>
                  <w:tcW w:w="1600" w:type="pct"/>
                  <w:tcBorders>
                    <w:top w:val="single" w:color="auto" w:sz="4" w:space="0"/>
                    <w:left w:val="single" w:color="auto" w:sz="4" w:space="0"/>
                    <w:bottom w:val="single" w:color="auto" w:sz="4" w:space="0"/>
                    <w:right w:val="single" w:color="auto" w:sz="4" w:space="0"/>
                  </w:tcBorders>
                  <w:vAlign w:val="center"/>
                </w:tcPr>
                <w:p w14:paraId="5F56B647">
                  <w:pPr>
                    <w:jc w:val="center"/>
                    <w:rPr>
                      <w:rFonts w:hint="eastAsia" w:ascii="宋体" w:hAnsi="宋体"/>
                      <w:bCs/>
                    </w:rPr>
                  </w:pPr>
                  <w:r>
                    <w:rPr>
                      <w:rFonts w:hint="eastAsia" w:ascii="宋体" w:hAnsi="宋体"/>
                      <w:bCs/>
                    </w:rPr>
                    <w:t>pH调节剂</w:t>
                  </w:r>
                </w:p>
              </w:tc>
              <w:tc>
                <w:tcPr>
                  <w:tcW w:w="1177" w:type="pct"/>
                  <w:tcBorders>
                    <w:top w:val="single" w:color="auto" w:sz="4" w:space="0"/>
                    <w:left w:val="single" w:color="auto" w:sz="4" w:space="0"/>
                    <w:bottom w:val="single" w:color="auto" w:sz="4" w:space="0"/>
                    <w:right w:val="single" w:color="auto" w:sz="4" w:space="0"/>
                  </w:tcBorders>
                  <w:vAlign w:val="center"/>
                </w:tcPr>
                <w:p w14:paraId="1C9BBC4E">
                  <w:pPr>
                    <w:jc w:val="center"/>
                    <w:rPr>
                      <w:rFonts w:hint="eastAsia" w:ascii="宋体" w:hAnsi="宋体"/>
                      <w:bCs/>
                    </w:rPr>
                  </w:pPr>
                  <w:r>
                    <w:rPr>
                      <w:rFonts w:hint="eastAsia" w:ascii="宋体" w:hAnsi="宋体"/>
                      <w:bCs/>
                    </w:rPr>
                    <w:t>NaOH</w:t>
                  </w:r>
                </w:p>
              </w:tc>
              <w:tc>
                <w:tcPr>
                  <w:tcW w:w="1469" w:type="pct"/>
                  <w:tcBorders>
                    <w:top w:val="single" w:color="auto" w:sz="4" w:space="0"/>
                    <w:left w:val="single" w:color="auto" w:sz="4" w:space="0"/>
                    <w:bottom w:val="single" w:color="auto" w:sz="4" w:space="0"/>
                    <w:right w:val="single" w:color="auto" w:sz="4" w:space="0"/>
                  </w:tcBorders>
                  <w:vAlign w:val="center"/>
                </w:tcPr>
                <w:p w14:paraId="1D93AF24">
                  <w:pPr>
                    <w:jc w:val="center"/>
                    <w:rPr>
                      <w:rFonts w:hint="eastAsia" w:ascii="宋体" w:hAnsi="宋体"/>
                      <w:bCs/>
                    </w:rPr>
                  </w:pPr>
                  <w:r>
                    <w:rPr>
                      <w:rFonts w:hint="eastAsia" w:ascii="宋体" w:hAnsi="宋体"/>
                      <w:bCs/>
                    </w:rPr>
                    <w:t>0.01</w:t>
                  </w:r>
                </w:p>
              </w:tc>
            </w:tr>
            <w:tr w14:paraId="3FB3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734C6E2B">
                  <w:pPr>
                    <w:jc w:val="center"/>
                    <w:rPr>
                      <w:rFonts w:hint="eastAsia" w:ascii="宋体" w:hAnsi="宋体"/>
                      <w:bCs/>
                    </w:rPr>
                  </w:pPr>
                  <w:r>
                    <w:rPr>
                      <w:rFonts w:hint="eastAsia" w:ascii="宋体" w:hAnsi="宋体"/>
                      <w:bCs/>
                    </w:rPr>
                    <w:t>4</w:t>
                  </w:r>
                </w:p>
              </w:tc>
              <w:tc>
                <w:tcPr>
                  <w:tcW w:w="1600" w:type="pct"/>
                  <w:tcBorders>
                    <w:top w:val="single" w:color="auto" w:sz="4" w:space="0"/>
                    <w:left w:val="single" w:color="auto" w:sz="4" w:space="0"/>
                    <w:bottom w:val="single" w:color="auto" w:sz="4" w:space="0"/>
                    <w:right w:val="single" w:color="auto" w:sz="4" w:space="0"/>
                  </w:tcBorders>
                  <w:vAlign w:val="center"/>
                </w:tcPr>
                <w:p w14:paraId="562B58D6">
                  <w:pPr>
                    <w:jc w:val="center"/>
                    <w:rPr>
                      <w:rFonts w:hint="eastAsia" w:ascii="宋体" w:hAnsi="宋体"/>
                      <w:bCs/>
                    </w:rPr>
                  </w:pPr>
                  <w:r>
                    <w:rPr>
                      <w:rFonts w:hint="eastAsia" w:ascii="宋体" w:hAnsi="宋体"/>
                      <w:bCs/>
                    </w:rPr>
                    <w:t>消泡剂</w:t>
                  </w:r>
                </w:p>
              </w:tc>
              <w:tc>
                <w:tcPr>
                  <w:tcW w:w="1177" w:type="pct"/>
                  <w:tcBorders>
                    <w:top w:val="single" w:color="auto" w:sz="4" w:space="0"/>
                    <w:left w:val="single" w:color="auto" w:sz="4" w:space="0"/>
                    <w:bottom w:val="single" w:color="auto" w:sz="4" w:space="0"/>
                    <w:right w:val="single" w:color="auto" w:sz="4" w:space="0"/>
                  </w:tcBorders>
                  <w:vAlign w:val="center"/>
                </w:tcPr>
                <w:p w14:paraId="57FBF543">
                  <w:pPr>
                    <w:jc w:val="center"/>
                    <w:rPr>
                      <w:rFonts w:hint="eastAsia" w:ascii="宋体" w:hAnsi="宋体"/>
                      <w:bCs/>
                    </w:rPr>
                  </w:pPr>
                  <w:r>
                    <w:rPr>
                      <w:rFonts w:hint="eastAsia" w:ascii="宋体" w:hAnsi="宋体"/>
                      <w:bCs/>
                    </w:rPr>
                    <w:t>SJ-10</w:t>
                  </w:r>
                </w:p>
              </w:tc>
              <w:tc>
                <w:tcPr>
                  <w:tcW w:w="1469" w:type="pct"/>
                  <w:tcBorders>
                    <w:top w:val="single" w:color="auto" w:sz="4" w:space="0"/>
                    <w:left w:val="single" w:color="auto" w:sz="4" w:space="0"/>
                    <w:bottom w:val="single" w:color="auto" w:sz="4" w:space="0"/>
                    <w:right w:val="single" w:color="auto" w:sz="4" w:space="0"/>
                  </w:tcBorders>
                  <w:vAlign w:val="center"/>
                </w:tcPr>
                <w:p w14:paraId="77FCFE47">
                  <w:pPr>
                    <w:jc w:val="center"/>
                    <w:rPr>
                      <w:rFonts w:hint="eastAsia" w:ascii="宋体" w:hAnsi="宋体"/>
                      <w:bCs/>
                    </w:rPr>
                  </w:pPr>
                  <w:r>
                    <w:rPr>
                      <w:rFonts w:hint="eastAsia" w:ascii="宋体" w:hAnsi="宋体"/>
                      <w:bCs/>
                    </w:rPr>
                    <w:t>0.03</w:t>
                  </w:r>
                </w:p>
              </w:tc>
            </w:tr>
            <w:tr w14:paraId="2D69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720E056F">
                  <w:pPr>
                    <w:jc w:val="center"/>
                    <w:rPr>
                      <w:rFonts w:hint="eastAsia" w:ascii="宋体" w:hAnsi="宋体"/>
                      <w:bCs/>
                    </w:rPr>
                  </w:pPr>
                  <w:r>
                    <w:rPr>
                      <w:rFonts w:hint="eastAsia" w:ascii="宋体" w:hAnsi="宋体"/>
                      <w:bCs/>
                    </w:rPr>
                    <w:t>5</w:t>
                  </w:r>
                </w:p>
              </w:tc>
              <w:tc>
                <w:tcPr>
                  <w:tcW w:w="1600" w:type="pct"/>
                  <w:tcBorders>
                    <w:top w:val="single" w:color="auto" w:sz="4" w:space="0"/>
                    <w:left w:val="single" w:color="auto" w:sz="4" w:space="0"/>
                    <w:bottom w:val="single" w:color="auto" w:sz="4" w:space="0"/>
                    <w:right w:val="single" w:color="auto" w:sz="4" w:space="0"/>
                  </w:tcBorders>
                  <w:vAlign w:val="center"/>
                </w:tcPr>
                <w:p w14:paraId="1EF3794C">
                  <w:pPr>
                    <w:jc w:val="center"/>
                    <w:rPr>
                      <w:rFonts w:hint="eastAsia" w:ascii="宋体" w:hAnsi="宋体"/>
                      <w:bCs/>
                    </w:rPr>
                  </w:pPr>
                  <w:r>
                    <w:rPr>
                      <w:rFonts w:hint="eastAsia" w:ascii="宋体" w:hAnsi="宋体"/>
                      <w:bCs/>
                    </w:rPr>
                    <w:t>助排剂</w:t>
                  </w:r>
                </w:p>
              </w:tc>
              <w:tc>
                <w:tcPr>
                  <w:tcW w:w="1177" w:type="pct"/>
                  <w:tcBorders>
                    <w:top w:val="single" w:color="auto" w:sz="4" w:space="0"/>
                    <w:left w:val="single" w:color="auto" w:sz="4" w:space="0"/>
                    <w:bottom w:val="single" w:color="auto" w:sz="4" w:space="0"/>
                    <w:right w:val="single" w:color="auto" w:sz="4" w:space="0"/>
                  </w:tcBorders>
                  <w:vAlign w:val="center"/>
                </w:tcPr>
                <w:p w14:paraId="7D8129C1">
                  <w:pPr>
                    <w:jc w:val="center"/>
                    <w:rPr>
                      <w:rFonts w:hint="eastAsia" w:ascii="宋体" w:hAnsi="宋体"/>
                      <w:bCs/>
                    </w:rPr>
                  </w:pPr>
                  <w:r>
                    <w:rPr>
                      <w:rFonts w:hint="eastAsia" w:ascii="宋体" w:hAnsi="宋体"/>
                      <w:bCs/>
                    </w:rPr>
                    <w:t>ME-2</w:t>
                  </w:r>
                </w:p>
              </w:tc>
              <w:tc>
                <w:tcPr>
                  <w:tcW w:w="1469" w:type="pct"/>
                  <w:tcBorders>
                    <w:top w:val="single" w:color="auto" w:sz="4" w:space="0"/>
                    <w:left w:val="single" w:color="auto" w:sz="4" w:space="0"/>
                    <w:bottom w:val="single" w:color="auto" w:sz="4" w:space="0"/>
                    <w:right w:val="single" w:color="auto" w:sz="4" w:space="0"/>
                  </w:tcBorders>
                  <w:vAlign w:val="center"/>
                </w:tcPr>
                <w:p w14:paraId="5F2BC673">
                  <w:pPr>
                    <w:jc w:val="center"/>
                    <w:rPr>
                      <w:rFonts w:hint="eastAsia" w:ascii="宋体" w:hAnsi="宋体"/>
                      <w:bCs/>
                    </w:rPr>
                  </w:pPr>
                  <w:r>
                    <w:rPr>
                      <w:rFonts w:hint="eastAsia" w:ascii="宋体" w:hAnsi="宋体"/>
                      <w:bCs/>
                    </w:rPr>
                    <w:t>0.1</w:t>
                  </w:r>
                </w:p>
              </w:tc>
            </w:tr>
            <w:tr w14:paraId="364C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33577811">
                  <w:pPr>
                    <w:jc w:val="center"/>
                    <w:rPr>
                      <w:rFonts w:hint="eastAsia" w:ascii="宋体" w:hAnsi="宋体"/>
                      <w:bCs/>
                    </w:rPr>
                  </w:pPr>
                  <w:r>
                    <w:rPr>
                      <w:rFonts w:hint="eastAsia" w:ascii="宋体" w:hAnsi="宋体"/>
                      <w:bCs/>
                    </w:rPr>
                    <w:t>6</w:t>
                  </w:r>
                </w:p>
              </w:tc>
              <w:tc>
                <w:tcPr>
                  <w:tcW w:w="1600" w:type="pct"/>
                  <w:tcBorders>
                    <w:top w:val="single" w:color="auto" w:sz="4" w:space="0"/>
                    <w:left w:val="single" w:color="auto" w:sz="4" w:space="0"/>
                    <w:bottom w:val="single" w:color="auto" w:sz="4" w:space="0"/>
                    <w:right w:val="single" w:color="auto" w:sz="4" w:space="0"/>
                  </w:tcBorders>
                  <w:vAlign w:val="center"/>
                </w:tcPr>
                <w:p w14:paraId="3DA60090">
                  <w:pPr>
                    <w:jc w:val="center"/>
                    <w:rPr>
                      <w:rFonts w:hint="eastAsia" w:ascii="宋体" w:hAnsi="宋体"/>
                      <w:bCs/>
                    </w:rPr>
                  </w:pPr>
                  <w:r>
                    <w:rPr>
                      <w:rFonts w:hint="eastAsia" w:ascii="宋体" w:hAnsi="宋体"/>
                      <w:bCs/>
                    </w:rPr>
                    <w:t>有机防膨剂</w:t>
                  </w:r>
                </w:p>
              </w:tc>
              <w:tc>
                <w:tcPr>
                  <w:tcW w:w="1177" w:type="pct"/>
                  <w:tcBorders>
                    <w:top w:val="single" w:color="auto" w:sz="4" w:space="0"/>
                    <w:left w:val="single" w:color="auto" w:sz="4" w:space="0"/>
                    <w:bottom w:val="single" w:color="auto" w:sz="4" w:space="0"/>
                    <w:right w:val="single" w:color="auto" w:sz="4" w:space="0"/>
                  </w:tcBorders>
                  <w:vAlign w:val="center"/>
                </w:tcPr>
                <w:p w14:paraId="24706CBB">
                  <w:pPr>
                    <w:jc w:val="center"/>
                    <w:rPr>
                      <w:rFonts w:hint="eastAsia" w:ascii="宋体" w:hAnsi="宋体"/>
                      <w:bCs/>
                    </w:rPr>
                  </w:pPr>
                  <w:r>
                    <w:rPr>
                      <w:rFonts w:hint="eastAsia" w:ascii="宋体" w:hAnsi="宋体"/>
                      <w:bCs/>
                    </w:rPr>
                    <w:t>/</w:t>
                  </w:r>
                </w:p>
              </w:tc>
              <w:tc>
                <w:tcPr>
                  <w:tcW w:w="1469" w:type="pct"/>
                  <w:tcBorders>
                    <w:top w:val="single" w:color="auto" w:sz="4" w:space="0"/>
                    <w:left w:val="single" w:color="auto" w:sz="4" w:space="0"/>
                    <w:bottom w:val="single" w:color="auto" w:sz="4" w:space="0"/>
                    <w:right w:val="single" w:color="auto" w:sz="4" w:space="0"/>
                  </w:tcBorders>
                  <w:vAlign w:val="center"/>
                </w:tcPr>
                <w:p w14:paraId="0808024D">
                  <w:pPr>
                    <w:jc w:val="center"/>
                    <w:rPr>
                      <w:rFonts w:hint="eastAsia" w:ascii="宋体" w:hAnsi="宋体"/>
                      <w:bCs/>
                    </w:rPr>
                  </w:pPr>
                  <w:r>
                    <w:rPr>
                      <w:rFonts w:hint="eastAsia" w:ascii="宋体" w:hAnsi="宋体"/>
                      <w:bCs/>
                    </w:rPr>
                    <w:t>0.5</w:t>
                  </w:r>
                </w:p>
              </w:tc>
            </w:tr>
            <w:tr w14:paraId="497D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41E8E682">
                  <w:pPr>
                    <w:jc w:val="center"/>
                    <w:rPr>
                      <w:rFonts w:hint="eastAsia" w:ascii="宋体" w:hAnsi="宋体"/>
                      <w:bCs/>
                    </w:rPr>
                  </w:pPr>
                  <w:r>
                    <w:rPr>
                      <w:rFonts w:hint="eastAsia" w:ascii="宋体" w:hAnsi="宋体"/>
                      <w:bCs/>
                    </w:rPr>
                    <w:t>7</w:t>
                  </w:r>
                </w:p>
              </w:tc>
              <w:tc>
                <w:tcPr>
                  <w:tcW w:w="1600" w:type="pct"/>
                  <w:tcBorders>
                    <w:top w:val="single" w:color="auto" w:sz="4" w:space="0"/>
                    <w:left w:val="single" w:color="auto" w:sz="4" w:space="0"/>
                    <w:bottom w:val="single" w:color="auto" w:sz="4" w:space="0"/>
                    <w:right w:val="single" w:color="auto" w:sz="4" w:space="0"/>
                  </w:tcBorders>
                  <w:vAlign w:val="center"/>
                </w:tcPr>
                <w:p w14:paraId="1EDFF187">
                  <w:pPr>
                    <w:jc w:val="center"/>
                    <w:rPr>
                      <w:rFonts w:hint="eastAsia" w:ascii="宋体" w:hAnsi="宋体"/>
                      <w:bCs/>
                    </w:rPr>
                  </w:pPr>
                  <w:r>
                    <w:rPr>
                      <w:rFonts w:hint="eastAsia" w:ascii="宋体" w:hAnsi="宋体"/>
                      <w:bCs/>
                    </w:rPr>
                    <w:t>氯化钾</w:t>
                  </w:r>
                </w:p>
              </w:tc>
              <w:tc>
                <w:tcPr>
                  <w:tcW w:w="1177" w:type="pct"/>
                  <w:tcBorders>
                    <w:top w:val="single" w:color="auto" w:sz="4" w:space="0"/>
                    <w:left w:val="single" w:color="auto" w:sz="4" w:space="0"/>
                    <w:bottom w:val="single" w:color="auto" w:sz="4" w:space="0"/>
                    <w:right w:val="single" w:color="auto" w:sz="4" w:space="0"/>
                  </w:tcBorders>
                  <w:vAlign w:val="center"/>
                </w:tcPr>
                <w:p w14:paraId="10419BE4">
                  <w:pPr>
                    <w:jc w:val="center"/>
                    <w:rPr>
                      <w:rFonts w:hint="eastAsia" w:ascii="宋体" w:hAnsi="宋体"/>
                      <w:bCs/>
                    </w:rPr>
                  </w:pPr>
                  <w:r>
                    <w:rPr>
                      <w:rFonts w:hint="eastAsia" w:ascii="宋体" w:hAnsi="宋体"/>
                      <w:bCs/>
                    </w:rPr>
                    <w:t>KCl</w:t>
                  </w:r>
                </w:p>
              </w:tc>
              <w:tc>
                <w:tcPr>
                  <w:tcW w:w="1469" w:type="pct"/>
                  <w:tcBorders>
                    <w:top w:val="single" w:color="auto" w:sz="4" w:space="0"/>
                    <w:left w:val="single" w:color="auto" w:sz="4" w:space="0"/>
                    <w:bottom w:val="single" w:color="auto" w:sz="4" w:space="0"/>
                    <w:right w:val="single" w:color="auto" w:sz="4" w:space="0"/>
                  </w:tcBorders>
                  <w:vAlign w:val="center"/>
                </w:tcPr>
                <w:p w14:paraId="4006371F">
                  <w:pPr>
                    <w:jc w:val="center"/>
                    <w:rPr>
                      <w:rFonts w:hint="eastAsia" w:ascii="宋体" w:hAnsi="宋体"/>
                      <w:bCs/>
                    </w:rPr>
                  </w:pPr>
                  <w:r>
                    <w:rPr>
                      <w:rFonts w:hint="eastAsia" w:ascii="宋体" w:hAnsi="宋体"/>
                      <w:bCs/>
                    </w:rPr>
                    <w:t>1</w:t>
                  </w:r>
                </w:p>
              </w:tc>
            </w:tr>
            <w:tr w14:paraId="0CA7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6B5AE4CA">
                  <w:pPr>
                    <w:jc w:val="center"/>
                    <w:rPr>
                      <w:rFonts w:hint="eastAsia" w:ascii="宋体" w:hAnsi="宋体"/>
                      <w:bCs/>
                    </w:rPr>
                  </w:pPr>
                  <w:r>
                    <w:rPr>
                      <w:rFonts w:hint="eastAsia" w:ascii="宋体" w:hAnsi="宋体"/>
                      <w:bCs/>
                    </w:rPr>
                    <w:t>8</w:t>
                  </w:r>
                </w:p>
              </w:tc>
              <w:tc>
                <w:tcPr>
                  <w:tcW w:w="1600" w:type="pct"/>
                  <w:tcBorders>
                    <w:top w:val="single" w:color="auto" w:sz="4" w:space="0"/>
                    <w:left w:val="single" w:color="auto" w:sz="4" w:space="0"/>
                    <w:bottom w:val="single" w:color="auto" w:sz="4" w:space="0"/>
                    <w:right w:val="single" w:color="auto" w:sz="4" w:space="0"/>
                  </w:tcBorders>
                  <w:vAlign w:val="center"/>
                </w:tcPr>
                <w:p w14:paraId="190818B0">
                  <w:pPr>
                    <w:jc w:val="center"/>
                    <w:rPr>
                      <w:rFonts w:hint="eastAsia" w:ascii="宋体" w:hAnsi="宋体"/>
                      <w:bCs/>
                    </w:rPr>
                  </w:pPr>
                  <w:r>
                    <w:rPr>
                      <w:rFonts w:hint="eastAsia" w:ascii="宋体" w:hAnsi="宋体"/>
                      <w:bCs/>
                    </w:rPr>
                    <w:t>杀菌剂</w:t>
                  </w:r>
                </w:p>
              </w:tc>
              <w:tc>
                <w:tcPr>
                  <w:tcW w:w="1177" w:type="pct"/>
                  <w:tcBorders>
                    <w:top w:val="single" w:color="auto" w:sz="4" w:space="0"/>
                    <w:left w:val="single" w:color="auto" w:sz="4" w:space="0"/>
                    <w:bottom w:val="single" w:color="auto" w:sz="4" w:space="0"/>
                    <w:right w:val="single" w:color="auto" w:sz="4" w:space="0"/>
                  </w:tcBorders>
                  <w:vAlign w:val="center"/>
                </w:tcPr>
                <w:p w14:paraId="66A7E2CA">
                  <w:pPr>
                    <w:jc w:val="center"/>
                    <w:rPr>
                      <w:rFonts w:hint="eastAsia" w:ascii="宋体" w:hAnsi="宋体"/>
                      <w:bCs/>
                    </w:rPr>
                  </w:pPr>
                  <w:r>
                    <w:rPr>
                      <w:rFonts w:hint="eastAsia" w:ascii="宋体" w:hAnsi="宋体"/>
                      <w:bCs/>
                    </w:rPr>
                    <w:t>甲醛</w:t>
                  </w:r>
                </w:p>
              </w:tc>
              <w:tc>
                <w:tcPr>
                  <w:tcW w:w="1469" w:type="pct"/>
                  <w:tcBorders>
                    <w:top w:val="single" w:color="auto" w:sz="4" w:space="0"/>
                    <w:left w:val="single" w:color="auto" w:sz="4" w:space="0"/>
                    <w:bottom w:val="single" w:color="auto" w:sz="4" w:space="0"/>
                    <w:right w:val="single" w:color="auto" w:sz="4" w:space="0"/>
                  </w:tcBorders>
                  <w:vAlign w:val="center"/>
                </w:tcPr>
                <w:p w14:paraId="51B44AD4">
                  <w:pPr>
                    <w:jc w:val="center"/>
                    <w:rPr>
                      <w:rFonts w:hint="eastAsia" w:ascii="宋体" w:hAnsi="宋体"/>
                      <w:bCs/>
                    </w:rPr>
                  </w:pPr>
                  <w:r>
                    <w:rPr>
                      <w:rFonts w:hint="eastAsia" w:ascii="宋体" w:hAnsi="宋体"/>
                      <w:bCs/>
                    </w:rPr>
                    <w:t>0.05</w:t>
                  </w:r>
                </w:p>
              </w:tc>
            </w:tr>
            <w:tr w14:paraId="186F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3BEC3F0">
                  <w:pPr>
                    <w:jc w:val="center"/>
                    <w:rPr>
                      <w:rFonts w:hint="eastAsia" w:ascii="宋体" w:hAnsi="宋体"/>
                      <w:bCs/>
                    </w:rPr>
                  </w:pPr>
                  <w:r>
                    <w:rPr>
                      <w:rFonts w:hint="eastAsia" w:ascii="宋体" w:hAnsi="宋体"/>
                      <w:bCs/>
                    </w:rPr>
                    <w:t>现场添加</w:t>
                  </w:r>
                </w:p>
              </w:tc>
            </w:tr>
            <w:tr w14:paraId="09C2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08C2A8F3">
                  <w:pPr>
                    <w:jc w:val="center"/>
                    <w:rPr>
                      <w:rFonts w:hint="eastAsia" w:ascii="宋体" w:hAnsi="宋体"/>
                      <w:bCs/>
                    </w:rPr>
                  </w:pPr>
                  <w:r>
                    <w:rPr>
                      <w:rFonts w:hint="eastAsia" w:ascii="宋体" w:hAnsi="宋体"/>
                      <w:bCs/>
                    </w:rPr>
                    <w:t>9</w:t>
                  </w:r>
                </w:p>
              </w:tc>
              <w:tc>
                <w:tcPr>
                  <w:tcW w:w="1600" w:type="pct"/>
                  <w:tcBorders>
                    <w:top w:val="single" w:color="auto" w:sz="4" w:space="0"/>
                    <w:left w:val="single" w:color="auto" w:sz="4" w:space="0"/>
                    <w:bottom w:val="single" w:color="auto" w:sz="4" w:space="0"/>
                    <w:right w:val="single" w:color="auto" w:sz="4" w:space="0"/>
                  </w:tcBorders>
                  <w:vAlign w:val="center"/>
                </w:tcPr>
                <w:p w14:paraId="2ED835CA">
                  <w:pPr>
                    <w:jc w:val="center"/>
                    <w:rPr>
                      <w:rFonts w:hint="eastAsia" w:ascii="宋体" w:hAnsi="宋体"/>
                      <w:bCs/>
                    </w:rPr>
                  </w:pPr>
                  <w:r>
                    <w:rPr>
                      <w:rFonts w:hint="eastAsia" w:ascii="宋体" w:hAnsi="宋体"/>
                      <w:bCs/>
                    </w:rPr>
                    <w:t>有机锆交联剂</w:t>
                  </w:r>
                </w:p>
              </w:tc>
              <w:tc>
                <w:tcPr>
                  <w:tcW w:w="1177" w:type="pct"/>
                  <w:tcBorders>
                    <w:top w:val="single" w:color="auto" w:sz="4" w:space="0"/>
                    <w:left w:val="single" w:color="auto" w:sz="4" w:space="0"/>
                    <w:bottom w:val="single" w:color="auto" w:sz="4" w:space="0"/>
                    <w:right w:val="single" w:color="auto" w:sz="4" w:space="0"/>
                  </w:tcBorders>
                  <w:vAlign w:val="center"/>
                </w:tcPr>
                <w:p w14:paraId="3794531C">
                  <w:pPr>
                    <w:jc w:val="center"/>
                    <w:rPr>
                      <w:rFonts w:hint="eastAsia" w:ascii="宋体" w:hAnsi="宋体"/>
                      <w:bCs/>
                    </w:rPr>
                  </w:pPr>
                  <w:r>
                    <w:rPr>
                      <w:rFonts w:hint="eastAsia" w:ascii="宋体" w:hAnsi="宋体"/>
                      <w:bCs/>
                    </w:rPr>
                    <w:t>MAZ-1</w:t>
                  </w:r>
                </w:p>
              </w:tc>
              <w:tc>
                <w:tcPr>
                  <w:tcW w:w="1469" w:type="pct"/>
                  <w:tcBorders>
                    <w:top w:val="single" w:color="auto" w:sz="4" w:space="0"/>
                    <w:left w:val="single" w:color="auto" w:sz="4" w:space="0"/>
                    <w:bottom w:val="single" w:color="auto" w:sz="4" w:space="0"/>
                    <w:right w:val="single" w:color="auto" w:sz="4" w:space="0"/>
                  </w:tcBorders>
                  <w:vAlign w:val="center"/>
                </w:tcPr>
                <w:p w14:paraId="50453303">
                  <w:pPr>
                    <w:jc w:val="center"/>
                    <w:rPr>
                      <w:rFonts w:hint="eastAsia" w:ascii="宋体" w:hAnsi="宋体"/>
                      <w:bCs/>
                    </w:rPr>
                  </w:pPr>
                  <w:r>
                    <w:rPr>
                      <w:rFonts w:hint="eastAsia" w:ascii="宋体" w:hAnsi="宋体"/>
                      <w:bCs/>
                    </w:rPr>
                    <w:t>0.5</w:t>
                  </w:r>
                </w:p>
              </w:tc>
            </w:tr>
            <w:tr w14:paraId="2096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14:paraId="110FD13C">
                  <w:pPr>
                    <w:jc w:val="center"/>
                    <w:rPr>
                      <w:rFonts w:hint="eastAsia" w:ascii="宋体" w:hAnsi="宋体"/>
                      <w:bCs/>
                    </w:rPr>
                  </w:pPr>
                  <w:r>
                    <w:rPr>
                      <w:rFonts w:hint="eastAsia" w:ascii="宋体" w:hAnsi="宋体"/>
                      <w:bCs/>
                    </w:rPr>
                    <w:t>10</w:t>
                  </w:r>
                </w:p>
              </w:tc>
              <w:tc>
                <w:tcPr>
                  <w:tcW w:w="1600" w:type="pct"/>
                  <w:tcBorders>
                    <w:top w:val="single" w:color="auto" w:sz="4" w:space="0"/>
                    <w:left w:val="single" w:color="auto" w:sz="4" w:space="0"/>
                    <w:bottom w:val="single" w:color="auto" w:sz="4" w:space="0"/>
                    <w:right w:val="single" w:color="auto" w:sz="4" w:space="0"/>
                  </w:tcBorders>
                  <w:vAlign w:val="center"/>
                </w:tcPr>
                <w:p w14:paraId="26DA92A9">
                  <w:pPr>
                    <w:jc w:val="center"/>
                    <w:rPr>
                      <w:rFonts w:hint="eastAsia" w:ascii="宋体" w:hAnsi="宋体"/>
                      <w:bCs/>
                    </w:rPr>
                  </w:pPr>
                  <w:r>
                    <w:rPr>
                      <w:rFonts w:hint="eastAsia" w:ascii="宋体" w:hAnsi="宋体"/>
                      <w:bCs/>
                    </w:rPr>
                    <w:t>破胶剂</w:t>
                  </w:r>
                </w:p>
              </w:tc>
              <w:tc>
                <w:tcPr>
                  <w:tcW w:w="1177" w:type="pct"/>
                  <w:tcBorders>
                    <w:top w:val="single" w:color="auto" w:sz="4" w:space="0"/>
                    <w:left w:val="single" w:color="auto" w:sz="4" w:space="0"/>
                    <w:bottom w:val="single" w:color="auto" w:sz="4" w:space="0"/>
                    <w:right w:val="single" w:color="auto" w:sz="4" w:space="0"/>
                  </w:tcBorders>
                  <w:vAlign w:val="center"/>
                </w:tcPr>
                <w:p w14:paraId="2A392926">
                  <w:pPr>
                    <w:jc w:val="center"/>
                    <w:rPr>
                      <w:rFonts w:hint="eastAsia" w:ascii="宋体" w:hAnsi="宋体"/>
                      <w:bCs/>
                    </w:rPr>
                  </w:pPr>
                  <w:r>
                    <w:rPr>
                      <w:rFonts w:hint="eastAsia" w:ascii="宋体" w:hAnsi="宋体"/>
                      <w:bCs/>
                    </w:rPr>
                    <w:t>EB-1</w:t>
                  </w:r>
                </w:p>
              </w:tc>
              <w:tc>
                <w:tcPr>
                  <w:tcW w:w="1469" w:type="pct"/>
                  <w:tcBorders>
                    <w:top w:val="single" w:color="auto" w:sz="4" w:space="0"/>
                    <w:left w:val="single" w:color="auto" w:sz="4" w:space="0"/>
                    <w:bottom w:val="single" w:color="auto" w:sz="4" w:space="0"/>
                    <w:right w:val="single" w:color="auto" w:sz="4" w:space="0"/>
                  </w:tcBorders>
                  <w:vAlign w:val="center"/>
                </w:tcPr>
                <w:p w14:paraId="6DEC62C8">
                  <w:pPr>
                    <w:jc w:val="center"/>
                    <w:rPr>
                      <w:rFonts w:hint="eastAsia" w:ascii="宋体" w:hAnsi="宋体"/>
                      <w:bCs/>
                    </w:rPr>
                  </w:pPr>
                  <w:r>
                    <w:rPr>
                      <w:rFonts w:hint="eastAsia" w:ascii="宋体" w:hAnsi="宋体"/>
                      <w:bCs/>
                    </w:rPr>
                    <w:t>0.03</w:t>
                  </w:r>
                </w:p>
              </w:tc>
            </w:tr>
          </w:tbl>
          <w:p w14:paraId="46DB49BA"/>
          <w:p w14:paraId="65A8412E">
            <w:pPr>
              <w:pStyle w:val="12"/>
              <w:spacing w:before="120"/>
              <w:ind w:firstLine="480"/>
            </w:pPr>
            <w:bookmarkStart w:id="36" w:name="_Ref193728378"/>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23</w:t>
            </w:r>
            <w:r>
              <w:rPr>
                <w:rFonts w:hAnsi="宋体"/>
              </w:rPr>
              <w:fldChar w:fldCharType="end"/>
            </w:r>
            <w:bookmarkEnd w:id="36"/>
            <w:r>
              <w:rPr>
                <w:rFonts w:hAnsi="宋体"/>
              </w:rPr>
              <w:t xml:space="preserve">  </w:t>
            </w:r>
            <w:r>
              <w:rPr>
                <w:rFonts w:hint="eastAsia"/>
              </w:rPr>
              <w:t>压裂液主要成分理化性质一览表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6725"/>
            </w:tblGrid>
            <w:tr w14:paraId="19CB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pct"/>
                  <w:vAlign w:val="center"/>
                </w:tcPr>
                <w:p w14:paraId="02D96F09">
                  <w:pPr>
                    <w:jc w:val="center"/>
                    <w:rPr>
                      <w:rFonts w:hint="eastAsia" w:ascii="宋体" w:hAnsi="宋体"/>
                      <w:bCs/>
                    </w:rPr>
                  </w:pPr>
                  <w:r>
                    <w:rPr>
                      <w:rFonts w:hint="eastAsia" w:ascii="宋体" w:hAnsi="宋体"/>
                      <w:bCs/>
                    </w:rPr>
                    <w:t>成分</w:t>
                  </w:r>
                </w:p>
              </w:tc>
              <w:tc>
                <w:tcPr>
                  <w:tcW w:w="4271" w:type="pct"/>
                  <w:vAlign w:val="center"/>
                </w:tcPr>
                <w:p w14:paraId="6A856044">
                  <w:pPr>
                    <w:jc w:val="center"/>
                    <w:rPr>
                      <w:rFonts w:hint="eastAsia" w:ascii="宋体" w:hAnsi="宋体"/>
                      <w:bCs/>
                    </w:rPr>
                  </w:pPr>
                  <w:r>
                    <w:rPr>
                      <w:rFonts w:hint="eastAsia" w:ascii="宋体" w:hAnsi="宋体"/>
                      <w:bCs/>
                    </w:rPr>
                    <w:t>理化性质</w:t>
                  </w:r>
                </w:p>
              </w:tc>
            </w:tr>
            <w:tr w14:paraId="6CF4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1EAAB914">
                  <w:pPr>
                    <w:jc w:val="center"/>
                    <w:rPr>
                      <w:rFonts w:hint="eastAsia" w:ascii="宋体" w:hAnsi="宋体"/>
                      <w:bCs/>
                    </w:rPr>
                  </w:pPr>
                  <w:r>
                    <w:rPr>
                      <w:rFonts w:hint="eastAsia" w:ascii="宋体" w:hAnsi="宋体"/>
                      <w:bCs/>
                    </w:rPr>
                    <w:t>瓜胶</w:t>
                  </w:r>
                </w:p>
              </w:tc>
              <w:tc>
                <w:tcPr>
                  <w:tcW w:w="4271" w:type="pct"/>
                  <w:vAlign w:val="center"/>
                </w:tcPr>
                <w:p w14:paraId="168AFC0D">
                  <w:pPr>
                    <w:jc w:val="center"/>
                    <w:rPr>
                      <w:rFonts w:hint="eastAsia" w:ascii="宋体" w:hAnsi="宋体"/>
                      <w:bCs/>
                    </w:rPr>
                  </w:pPr>
                  <w:r>
                    <w:rPr>
                      <w:rFonts w:hint="eastAsia" w:ascii="宋体" w:hAnsi="宋体"/>
                      <w:bCs/>
                    </w:rPr>
                    <w:t>瓜尔胶，是豆科植物瓜尔豆的提取物，是一种半乳甘露聚糖，在冷水和热水中有出众的分散能力，不会产生结团现象，提高了制造和生产操作的方便，广泛应用于储层压裂的工作液，具有优良的黏弹性能和携砂性能，降低施工摩阻，使压裂液体系残渣含量大幅度降低，减少其对储层的伤害程度，降低了储层压裂改造成本，提高储层压裂改造效果。</w:t>
                  </w:r>
                </w:p>
              </w:tc>
            </w:tr>
            <w:tr w14:paraId="15FC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6F47DF6C">
                  <w:pPr>
                    <w:jc w:val="center"/>
                    <w:rPr>
                      <w:rFonts w:hint="eastAsia" w:ascii="宋体" w:hAnsi="宋体"/>
                      <w:bCs/>
                    </w:rPr>
                  </w:pPr>
                  <w:r>
                    <w:rPr>
                      <w:rFonts w:hint="eastAsia" w:ascii="宋体" w:hAnsi="宋体"/>
                      <w:bCs/>
                    </w:rPr>
                    <w:t>pH调节剂</w:t>
                  </w:r>
                </w:p>
              </w:tc>
              <w:tc>
                <w:tcPr>
                  <w:tcW w:w="4271" w:type="pct"/>
                  <w:vAlign w:val="center"/>
                </w:tcPr>
                <w:p w14:paraId="33531943">
                  <w:pPr>
                    <w:jc w:val="center"/>
                    <w:rPr>
                      <w:rFonts w:hint="eastAsia" w:ascii="宋体" w:hAnsi="宋体"/>
                      <w:bCs/>
                    </w:rPr>
                  </w:pPr>
                  <w:r>
                    <w:rPr>
                      <w:rFonts w:hint="eastAsia" w:ascii="宋体" w:hAnsi="宋体"/>
                      <w:bCs/>
                    </w:rPr>
                    <w:t>氢氧化钠又称烧碱、火碱或苛性钠。白色结晶，有液体、固体片状三种产品，纯度从50%至99%不等，密度2g/cm</w:t>
                  </w:r>
                  <w:r>
                    <w:rPr>
                      <w:rFonts w:hint="eastAsia" w:ascii="宋体" w:hAnsi="宋体"/>
                      <w:bCs/>
                      <w:vertAlign w:val="superscript"/>
                    </w:rPr>
                    <w:t>3</w:t>
                  </w:r>
                  <w:r>
                    <w:rPr>
                      <w:rFonts w:hint="eastAsia" w:ascii="宋体" w:hAnsi="宋体"/>
                      <w:bCs/>
                    </w:rPr>
                    <w:t>～2.2g/cm</w:t>
                  </w:r>
                  <w:r>
                    <w:rPr>
                      <w:rFonts w:hint="eastAsia" w:ascii="宋体" w:hAnsi="宋体"/>
                      <w:bCs/>
                      <w:vertAlign w:val="superscript"/>
                    </w:rPr>
                    <w:t>3</w:t>
                  </w:r>
                  <w:r>
                    <w:rPr>
                      <w:rFonts w:hint="eastAsia" w:ascii="宋体" w:hAnsi="宋体"/>
                      <w:bCs/>
                    </w:rPr>
                    <w:t>，易吸潮，有强烈的腐蚀性</w:t>
                  </w:r>
                </w:p>
              </w:tc>
            </w:tr>
            <w:tr w14:paraId="56BD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238BBB6C">
                  <w:pPr>
                    <w:jc w:val="center"/>
                    <w:rPr>
                      <w:rFonts w:hint="eastAsia" w:ascii="宋体" w:hAnsi="宋体"/>
                      <w:bCs/>
                    </w:rPr>
                  </w:pPr>
                  <w:r>
                    <w:rPr>
                      <w:rFonts w:hint="eastAsia" w:ascii="宋体" w:hAnsi="宋体"/>
                      <w:bCs/>
                    </w:rPr>
                    <w:t>消泡剂</w:t>
                  </w:r>
                </w:p>
              </w:tc>
              <w:tc>
                <w:tcPr>
                  <w:tcW w:w="4271" w:type="pct"/>
                  <w:vAlign w:val="center"/>
                </w:tcPr>
                <w:p w14:paraId="42A1DD8D">
                  <w:pPr>
                    <w:jc w:val="center"/>
                    <w:rPr>
                      <w:rFonts w:hint="eastAsia" w:ascii="宋体" w:hAnsi="宋体"/>
                      <w:bCs/>
                    </w:rPr>
                  </w:pPr>
                  <w:r>
                    <w:rPr>
                      <w:rFonts w:hint="eastAsia" w:ascii="宋体" w:hAnsi="宋体"/>
                      <w:bCs/>
                    </w:rPr>
                    <w:t>能很好地分散在浆液中，抑制浆液中的因其他助剂等原因产生的顽固性泡沫</w:t>
                  </w:r>
                </w:p>
              </w:tc>
            </w:tr>
            <w:tr w14:paraId="5AD5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32F4ED80">
                  <w:pPr>
                    <w:jc w:val="center"/>
                    <w:rPr>
                      <w:rFonts w:hint="eastAsia" w:ascii="宋体" w:hAnsi="宋体"/>
                      <w:bCs/>
                    </w:rPr>
                  </w:pPr>
                  <w:r>
                    <w:rPr>
                      <w:rFonts w:hint="eastAsia" w:ascii="宋体" w:hAnsi="宋体"/>
                      <w:bCs/>
                    </w:rPr>
                    <w:t>助排剂</w:t>
                  </w:r>
                </w:p>
              </w:tc>
              <w:tc>
                <w:tcPr>
                  <w:tcW w:w="4271" w:type="pct"/>
                  <w:vAlign w:val="center"/>
                </w:tcPr>
                <w:p w14:paraId="79480430">
                  <w:pPr>
                    <w:jc w:val="center"/>
                    <w:rPr>
                      <w:rFonts w:hint="eastAsia" w:ascii="宋体" w:hAnsi="宋体"/>
                      <w:bCs/>
                    </w:rPr>
                  </w:pPr>
                  <w:r>
                    <w:rPr>
                      <w:rFonts w:hint="eastAsia" w:ascii="宋体" w:hAnsi="宋体"/>
                      <w:bCs/>
                    </w:rPr>
                    <w:t>在压裂液中加入助排剂的主要目的是降低表面张力，降低返排压裂液需要克服的地层喉道毛管力，从而促进压裂液返排。在致密油、气和页岩油、气的开采过程中，压裂液的滞留会对储层造成严重的水相圈闭损害，因此助排剂在这些开采过程中不可或缺。</w:t>
                  </w:r>
                </w:p>
              </w:tc>
            </w:tr>
            <w:tr w14:paraId="03E0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51FE0DCA">
                  <w:pPr>
                    <w:jc w:val="center"/>
                    <w:rPr>
                      <w:rFonts w:hint="eastAsia" w:ascii="宋体" w:hAnsi="宋体"/>
                      <w:bCs/>
                    </w:rPr>
                  </w:pPr>
                  <w:r>
                    <w:rPr>
                      <w:rFonts w:hint="eastAsia" w:ascii="宋体" w:hAnsi="宋体"/>
                      <w:bCs/>
                    </w:rPr>
                    <w:t>有机防膨剂</w:t>
                  </w:r>
                </w:p>
              </w:tc>
              <w:tc>
                <w:tcPr>
                  <w:tcW w:w="4271" w:type="pct"/>
                  <w:vAlign w:val="center"/>
                </w:tcPr>
                <w:p w14:paraId="1A63DB4C">
                  <w:pPr>
                    <w:jc w:val="center"/>
                    <w:rPr>
                      <w:rFonts w:hint="eastAsia" w:ascii="宋体" w:hAnsi="宋体"/>
                      <w:bCs/>
                    </w:rPr>
                  </w:pPr>
                  <w:r>
                    <w:rPr>
                      <w:rFonts w:hint="eastAsia" w:ascii="宋体" w:hAnsi="宋体"/>
                      <w:bCs/>
                    </w:rPr>
                    <w:t>增吸附在黏土颗粒表面，防止水敏性矿物水化膨胀及分散运移对油气层造成的伤害，增强油层的胶结强度，防止地层出砂</w:t>
                  </w:r>
                </w:p>
              </w:tc>
            </w:tr>
            <w:tr w14:paraId="6339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5DA95C25">
                  <w:pPr>
                    <w:jc w:val="center"/>
                    <w:rPr>
                      <w:rFonts w:hint="eastAsia" w:ascii="宋体" w:hAnsi="宋体"/>
                      <w:bCs/>
                    </w:rPr>
                  </w:pPr>
                  <w:r>
                    <w:rPr>
                      <w:rFonts w:hint="eastAsia" w:ascii="宋体" w:hAnsi="宋体"/>
                      <w:bCs/>
                    </w:rPr>
                    <w:t>氯化钾</w:t>
                  </w:r>
                </w:p>
              </w:tc>
              <w:tc>
                <w:tcPr>
                  <w:tcW w:w="4271" w:type="pct"/>
                  <w:vAlign w:val="center"/>
                </w:tcPr>
                <w:p w14:paraId="4540D507">
                  <w:pPr>
                    <w:jc w:val="center"/>
                    <w:rPr>
                      <w:rFonts w:hint="eastAsia" w:ascii="宋体" w:hAnsi="宋体"/>
                      <w:bCs/>
                    </w:rPr>
                  </w:pPr>
                  <w:r>
                    <w:rPr>
                      <w:rFonts w:hint="eastAsia" w:ascii="宋体" w:hAnsi="宋体"/>
                      <w:bCs/>
                    </w:rPr>
                    <w:t>调节流型，抗无机离子污染，降低滤失，稳定井壁</w:t>
                  </w:r>
                </w:p>
              </w:tc>
            </w:tr>
            <w:tr w14:paraId="16DD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26B3B4F1">
                  <w:pPr>
                    <w:jc w:val="center"/>
                    <w:rPr>
                      <w:rFonts w:hint="eastAsia" w:ascii="宋体" w:hAnsi="宋体"/>
                      <w:bCs/>
                    </w:rPr>
                  </w:pPr>
                  <w:r>
                    <w:rPr>
                      <w:rFonts w:hint="eastAsia" w:ascii="宋体" w:hAnsi="宋体"/>
                      <w:bCs/>
                    </w:rPr>
                    <w:t>杀菌剂</w:t>
                  </w:r>
                </w:p>
              </w:tc>
              <w:tc>
                <w:tcPr>
                  <w:tcW w:w="4271" w:type="pct"/>
                  <w:vAlign w:val="center"/>
                </w:tcPr>
                <w:p w14:paraId="57313C25">
                  <w:pPr>
                    <w:jc w:val="center"/>
                    <w:rPr>
                      <w:rFonts w:hint="eastAsia" w:ascii="宋体" w:hAnsi="宋体"/>
                      <w:bCs/>
                    </w:rPr>
                  </w:pPr>
                  <w:r>
                    <w:rPr>
                      <w:rFonts w:hint="eastAsia" w:ascii="宋体" w:hAnsi="宋体"/>
                      <w:bCs/>
                    </w:rPr>
                    <w:t>杀灭和减少压裂液中各种有害微生物群落（真菌、细菌、酵母）及藻类，使其降低到安全的含量范围内，从而维护压裂液中各种助剂的正常使用性能</w:t>
                  </w:r>
                </w:p>
              </w:tc>
            </w:tr>
            <w:tr w14:paraId="5DE6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3EF7A5FC">
                  <w:pPr>
                    <w:jc w:val="center"/>
                    <w:rPr>
                      <w:rFonts w:hint="eastAsia" w:ascii="宋体" w:hAnsi="宋体"/>
                      <w:bCs/>
                    </w:rPr>
                  </w:pPr>
                  <w:r>
                    <w:rPr>
                      <w:rFonts w:hint="eastAsia" w:ascii="宋体" w:hAnsi="宋体"/>
                      <w:bCs/>
                    </w:rPr>
                    <w:t>有机锆交联剂</w:t>
                  </w:r>
                </w:p>
              </w:tc>
              <w:tc>
                <w:tcPr>
                  <w:tcW w:w="4271" w:type="pct"/>
                  <w:vAlign w:val="center"/>
                </w:tcPr>
                <w:p w14:paraId="3DA78000">
                  <w:pPr>
                    <w:jc w:val="center"/>
                    <w:rPr>
                      <w:rFonts w:hint="eastAsia" w:ascii="宋体" w:hAnsi="宋体"/>
                      <w:bCs/>
                    </w:rPr>
                  </w:pPr>
                  <w:r>
                    <w:rPr>
                      <w:rFonts w:hint="eastAsia" w:ascii="宋体" w:hAnsi="宋体"/>
                      <w:bCs/>
                    </w:rPr>
                    <w:t>保持压裂液的悬砂、造缝能力，降低滤失</w:t>
                  </w:r>
                </w:p>
              </w:tc>
            </w:tr>
            <w:tr w14:paraId="2DA7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68900498">
                  <w:pPr>
                    <w:jc w:val="center"/>
                    <w:rPr>
                      <w:rFonts w:hint="eastAsia" w:ascii="宋体" w:hAnsi="宋体"/>
                      <w:bCs/>
                    </w:rPr>
                  </w:pPr>
                  <w:r>
                    <w:rPr>
                      <w:rFonts w:hint="eastAsia" w:ascii="宋体" w:hAnsi="宋体"/>
                      <w:bCs/>
                    </w:rPr>
                    <w:t>破胶剂</w:t>
                  </w:r>
                </w:p>
              </w:tc>
              <w:tc>
                <w:tcPr>
                  <w:tcW w:w="4271" w:type="pct"/>
                  <w:vAlign w:val="center"/>
                </w:tcPr>
                <w:p w14:paraId="780D3499">
                  <w:pPr>
                    <w:jc w:val="center"/>
                    <w:rPr>
                      <w:rFonts w:hint="eastAsia" w:ascii="宋体" w:hAnsi="宋体"/>
                      <w:bCs/>
                    </w:rPr>
                  </w:pPr>
                  <w:r>
                    <w:rPr>
                      <w:rFonts w:hint="eastAsia" w:ascii="宋体" w:hAnsi="宋体"/>
                      <w:bCs/>
                    </w:rPr>
                    <w:t>延缓中、高温储层压裂液冻胶破胶，在压裂施工中使冻胶保持较高的黏度，有利于造缝和携砂，施工后可使压裂液彻底破胶水化，利于返排，降低施工风险，减少压裂液对支撑裂缝导流能力的伤害</w:t>
                  </w:r>
                </w:p>
              </w:tc>
            </w:tr>
          </w:tbl>
          <w:p w14:paraId="1BA34CB3">
            <w:pPr>
              <w:pStyle w:val="113"/>
              <w:rPr>
                <w:rFonts w:hint="eastAsia"/>
              </w:rPr>
            </w:pPr>
          </w:p>
          <w:p w14:paraId="62C22220">
            <w:pPr>
              <w:pStyle w:val="113"/>
              <w:rPr>
                <w:rFonts w:hint="eastAsia"/>
              </w:rPr>
            </w:pPr>
            <w:r>
              <w:rPr>
                <w:rFonts w:hint="eastAsia"/>
              </w:rPr>
              <w:t>（2）试油设备</w:t>
            </w:r>
          </w:p>
          <w:p w14:paraId="4CA4212E">
            <w:pPr>
              <w:pStyle w:val="113"/>
              <w:rPr>
                <w:rFonts w:hint="eastAsia"/>
              </w:rPr>
            </w:pPr>
            <w:r>
              <w:rPr>
                <w:rFonts w:hint="eastAsia"/>
              </w:rPr>
              <w:t>试油采用主要设备包括：通井机、柴油发电机、采油设备（抽油机、储油罐）等，另外还有先进的井下工具：MFE系列测试工具、APR系列测试工具、膨胀封隔器系列测试工具、各种井下修井工具、各型支柱和卡瓦封隔器、各种电缆桥塞、液压桥塞、桥塞钻取工具、移动试油设施及附属设备流程等。</w:t>
            </w:r>
          </w:p>
          <w:p w14:paraId="4F99CFB4">
            <w:pPr>
              <w:pStyle w:val="113"/>
              <w:rPr>
                <w:rFonts w:hint="eastAsia"/>
                <w:bCs/>
              </w:rPr>
            </w:pPr>
            <w:r>
              <w:rPr>
                <w:bCs/>
              </w:rPr>
              <w:t>4</w:t>
            </w:r>
            <w:r>
              <w:rPr>
                <w:rFonts w:hint="eastAsia"/>
                <w:bCs/>
              </w:rPr>
              <w:t>、公用工程</w:t>
            </w:r>
          </w:p>
          <w:p w14:paraId="5AC21F1B">
            <w:pPr>
              <w:pStyle w:val="113"/>
              <w:rPr>
                <w:rFonts w:hint="eastAsia"/>
              </w:rPr>
            </w:pPr>
            <w:r>
              <w:rPr>
                <w:rFonts w:hint="eastAsia"/>
              </w:rPr>
              <w:t>1）给水</w:t>
            </w:r>
          </w:p>
          <w:p w14:paraId="64302C2B">
            <w:pPr>
              <w:pStyle w:val="113"/>
              <w:rPr>
                <w:rFonts w:hint="eastAsia"/>
              </w:rPr>
            </w:pPr>
            <w:r>
              <w:rPr>
                <w:rFonts w:hint="eastAsia"/>
              </w:rPr>
              <w:t>施工期的生产用水包括钻井用水、井下作业用水</w:t>
            </w:r>
            <w:r>
              <w:rPr>
                <w:rFonts w:hint="eastAsia"/>
                <w:szCs w:val="21"/>
              </w:rPr>
              <w:t>、压裂液配置用水</w:t>
            </w:r>
            <w:r>
              <w:rPr>
                <w:rFonts w:hint="eastAsia"/>
              </w:rPr>
              <w:t>及施工人员生活用水。生产用水部分由罐车从附近站场拉运至施工现场，施工人员生活用水采用桶装饮用水。</w:t>
            </w:r>
          </w:p>
          <w:p w14:paraId="271B53E6">
            <w:pPr>
              <w:pStyle w:val="113"/>
              <w:rPr>
                <w:rFonts w:hint="eastAsia"/>
              </w:rPr>
            </w:pPr>
            <w:r>
              <w:rPr>
                <w:rFonts w:hint="eastAsia"/>
              </w:rPr>
              <w:t>①钻井用水</w:t>
            </w:r>
          </w:p>
          <w:p w14:paraId="5E6E7612">
            <w:pPr>
              <w:pStyle w:val="3"/>
              <w:ind w:firstLine="420"/>
              <w:rPr>
                <w:rFonts w:hint="eastAsia"/>
                <w:sz w:val="21"/>
                <w:szCs w:val="21"/>
              </w:rPr>
            </w:pPr>
            <w:r>
              <w:rPr>
                <w:rFonts w:hint="eastAsia"/>
                <w:sz w:val="21"/>
                <w:szCs w:val="21"/>
              </w:rPr>
              <w:t>钻井期生产用水主要为泥浆配比用水，根据建设单位长期开发运行经验，本项目整个钻井期生产用水量约2360m</w:t>
            </w:r>
            <w:r>
              <w:rPr>
                <w:rFonts w:hint="eastAsia"/>
                <w:sz w:val="21"/>
                <w:szCs w:val="21"/>
                <w:vertAlign w:val="superscript"/>
              </w:rPr>
              <w:t>3</w:t>
            </w:r>
            <w:r>
              <w:rPr>
                <w:rFonts w:hint="eastAsia"/>
                <w:sz w:val="21"/>
                <w:szCs w:val="21"/>
              </w:rPr>
              <w:t>，由罐车拉运。</w:t>
            </w:r>
          </w:p>
          <w:p w14:paraId="4EB4705F">
            <w:pPr>
              <w:pStyle w:val="113"/>
              <w:rPr>
                <w:rFonts w:hint="eastAsia"/>
                <w:szCs w:val="21"/>
              </w:rPr>
            </w:pPr>
            <w:r>
              <w:rPr>
                <w:rFonts w:hint="eastAsia"/>
              </w:rPr>
              <w:t>②井下作业用水</w:t>
            </w:r>
          </w:p>
          <w:p w14:paraId="7B47D290">
            <w:pPr>
              <w:pStyle w:val="113"/>
              <w:rPr>
                <w:rFonts w:hint="eastAsia"/>
              </w:rPr>
            </w:pPr>
            <w:r>
              <w:rPr>
                <w:rFonts w:hint="eastAsia"/>
              </w:rPr>
              <w:t>本项目试油时，需要通刮洗井，目的是去除井筒内壁上的毛刺、残余固井水泥，根据井身设计资料及建设单位长期开发运行经验，本项目通刮洗井用水量约为721.6</w:t>
            </w:r>
            <w:r>
              <w:t>m</w:t>
            </w:r>
            <w:r>
              <w:rPr>
                <w:rFonts w:hint="eastAsia"/>
                <w:vertAlign w:val="superscript"/>
              </w:rPr>
              <w:t>3</w:t>
            </w:r>
            <w:r>
              <w:rPr>
                <w:rFonts w:hint="eastAsia"/>
              </w:rPr>
              <w:t>，由罐车拉运。</w:t>
            </w:r>
          </w:p>
          <w:p w14:paraId="0D65C74A">
            <w:pPr>
              <w:pStyle w:val="113"/>
              <w:rPr>
                <w:rFonts w:hint="eastAsia"/>
                <w:szCs w:val="21"/>
              </w:rPr>
            </w:pPr>
            <w:r>
              <w:rPr>
                <w:rFonts w:hint="eastAsia"/>
              </w:rPr>
              <w:t>③</w:t>
            </w:r>
            <w:r>
              <w:rPr>
                <w:rFonts w:hint="eastAsia"/>
                <w:szCs w:val="21"/>
              </w:rPr>
              <w:t>压裂液配置用水</w:t>
            </w:r>
          </w:p>
          <w:p w14:paraId="149B27CB">
            <w:pPr>
              <w:pStyle w:val="3"/>
              <w:ind w:firstLine="420"/>
              <w:rPr>
                <w:rFonts w:hint="eastAsia"/>
                <w:sz w:val="21"/>
                <w:szCs w:val="21"/>
              </w:rPr>
            </w:pPr>
            <w:r>
              <w:rPr>
                <w:rFonts w:hint="eastAsia"/>
                <w:sz w:val="21"/>
                <w:szCs w:val="21"/>
              </w:rPr>
              <w:t>根据压裂工程设计资料，压裂液配置用水量约</w:t>
            </w:r>
            <w:r>
              <w:rPr>
                <w:sz w:val="21"/>
                <w:szCs w:val="21"/>
              </w:rPr>
              <w:t>1460</w:t>
            </w:r>
            <w:r>
              <w:rPr>
                <w:rFonts w:hint="eastAsia"/>
                <w:sz w:val="21"/>
                <w:szCs w:val="21"/>
              </w:rPr>
              <w:t>m</w:t>
            </w:r>
            <w:r>
              <w:rPr>
                <w:rFonts w:hint="eastAsia"/>
                <w:sz w:val="21"/>
                <w:szCs w:val="21"/>
                <w:vertAlign w:val="superscript"/>
              </w:rPr>
              <w:t>3</w:t>
            </w:r>
            <w:r>
              <w:rPr>
                <w:rFonts w:hint="eastAsia"/>
                <w:sz w:val="21"/>
                <w:szCs w:val="21"/>
              </w:rPr>
              <w:t>，</w:t>
            </w:r>
            <w:r>
              <w:rPr>
                <w:rFonts w:hint="eastAsia" w:cs="宋体"/>
                <w:sz w:val="21"/>
                <w:szCs w:val="21"/>
              </w:rPr>
              <w:t>由罐车拉运</w:t>
            </w:r>
            <w:r>
              <w:rPr>
                <w:rFonts w:hint="eastAsia"/>
                <w:sz w:val="21"/>
                <w:szCs w:val="21"/>
              </w:rPr>
              <w:t>。</w:t>
            </w:r>
          </w:p>
          <w:p w14:paraId="1F525C48">
            <w:pPr>
              <w:pStyle w:val="3"/>
              <w:ind w:firstLine="420"/>
              <w:rPr>
                <w:rFonts w:hint="eastAsia" w:cs="宋体"/>
                <w:sz w:val="21"/>
                <w:szCs w:val="21"/>
              </w:rPr>
            </w:pPr>
            <w:r>
              <w:rPr>
                <w:rFonts w:hint="eastAsia" w:cs="宋体"/>
                <w:sz w:val="21"/>
                <w:szCs w:val="21"/>
              </w:rPr>
              <w:t>④锅炉软水系统用水</w:t>
            </w:r>
          </w:p>
          <w:p w14:paraId="35AAFF36">
            <w:pPr>
              <w:pStyle w:val="3"/>
              <w:ind w:firstLine="420"/>
              <w:rPr>
                <w:rFonts w:hint="eastAsia" w:cs="宋体"/>
                <w:sz w:val="21"/>
                <w:szCs w:val="21"/>
              </w:rPr>
            </w:pPr>
            <w:r>
              <w:rPr>
                <w:rFonts w:hint="eastAsia" w:cs="宋体"/>
                <w:sz w:val="21"/>
                <w:szCs w:val="21"/>
              </w:rPr>
              <w:t>结合本项目施工计划，本项目蒸汽锅炉工作时间约为</w:t>
            </w:r>
            <w:r>
              <w:rPr>
                <w:rFonts w:cs="宋体"/>
                <w:sz w:val="21"/>
                <w:szCs w:val="21"/>
              </w:rPr>
              <w:t>90d</w:t>
            </w:r>
            <w:r>
              <w:rPr>
                <w:rFonts w:hint="eastAsia" w:cs="宋体"/>
                <w:sz w:val="21"/>
                <w:szCs w:val="21"/>
              </w:rPr>
              <w:t>，每天工作24h。满负荷运行时蒸汽产量为</w:t>
            </w:r>
            <w:r>
              <w:rPr>
                <w:rFonts w:cs="宋体"/>
                <w:sz w:val="21"/>
                <w:szCs w:val="21"/>
              </w:rPr>
              <w:t>5400t</w:t>
            </w:r>
            <w:r>
              <w:rPr>
                <w:rFonts w:hint="eastAsia" w:cs="宋体"/>
                <w:sz w:val="21"/>
                <w:szCs w:val="21"/>
              </w:rPr>
              <w:t>，锅炉排污按锅炉规模的3%计，则本项目所需软水量为</w:t>
            </w:r>
            <w:r>
              <w:rPr>
                <w:rFonts w:cs="宋体"/>
                <w:sz w:val="21"/>
                <w:szCs w:val="21"/>
              </w:rPr>
              <w:t>5567t</w:t>
            </w:r>
            <w:r>
              <w:rPr>
                <w:rFonts w:hint="eastAsia" w:cs="宋体"/>
                <w:sz w:val="21"/>
                <w:szCs w:val="21"/>
              </w:rPr>
              <w:t>。本项目供热过程采取蒸汽直接加热方式，损耗按锅炉规模的30%计，蒸汽冷凝水回用于生产，则蒸汽冷凝水回水量为</w:t>
            </w:r>
            <w:r>
              <w:rPr>
                <w:rFonts w:cs="宋体"/>
                <w:sz w:val="21"/>
                <w:szCs w:val="21"/>
              </w:rPr>
              <w:t>3780</w:t>
            </w:r>
            <w:r>
              <w:rPr>
                <w:rFonts w:hint="eastAsia" w:cs="宋体"/>
                <w:sz w:val="21"/>
                <w:szCs w:val="21"/>
              </w:rPr>
              <w:t>.0</w:t>
            </w:r>
            <w:r>
              <w:rPr>
                <w:rFonts w:cs="宋体"/>
                <w:sz w:val="21"/>
                <w:szCs w:val="21"/>
              </w:rPr>
              <w:t>t</w:t>
            </w:r>
            <w:r>
              <w:rPr>
                <w:rFonts w:hint="eastAsia" w:cs="宋体"/>
                <w:sz w:val="21"/>
                <w:szCs w:val="21"/>
              </w:rPr>
              <w:t>，则补充软水量为</w:t>
            </w:r>
            <w:r>
              <w:rPr>
                <w:rFonts w:cs="宋体"/>
                <w:sz w:val="21"/>
                <w:szCs w:val="21"/>
              </w:rPr>
              <w:t>1787</w:t>
            </w:r>
            <w:r>
              <w:rPr>
                <w:rFonts w:hint="eastAsia" w:cs="宋体"/>
                <w:sz w:val="21"/>
                <w:szCs w:val="21"/>
              </w:rPr>
              <w:t>.0</w:t>
            </w:r>
            <w:r>
              <w:rPr>
                <w:rFonts w:cs="宋体"/>
                <w:sz w:val="21"/>
                <w:szCs w:val="21"/>
              </w:rPr>
              <w:t>t</w:t>
            </w:r>
            <w:r>
              <w:rPr>
                <w:rFonts w:hint="eastAsia" w:cs="宋体"/>
                <w:sz w:val="21"/>
                <w:szCs w:val="21"/>
              </w:rPr>
              <w:t>。</w:t>
            </w:r>
          </w:p>
          <w:p w14:paraId="7C0D9846">
            <w:pPr>
              <w:pStyle w:val="3"/>
              <w:ind w:firstLine="420"/>
              <w:rPr>
                <w:rFonts w:hint="eastAsia" w:cs="宋体"/>
                <w:sz w:val="21"/>
                <w:szCs w:val="21"/>
              </w:rPr>
            </w:pPr>
            <w:r>
              <w:rPr>
                <w:rFonts w:hint="eastAsia" w:cs="宋体"/>
                <w:sz w:val="21"/>
                <w:szCs w:val="21"/>
              </w:rPr>
              <w:t>根据厂家资料，本项目使用锅炉软水系统出水率约为9</w:t>
            </w:r>
            <w:r>
              <w:rPr>
                <w:rFonts w:cs="宋体"/>
                <w:sz w:val="21"/>
                <w:szCs w:val="21"/>
              </w:rPr>
              <w:t>8%</w:t>
            </w:r>
            <w:r>
              <w:rPr>
                <w:rFonts w:hint="eastAsia" w:cs="宋体"/>
                <w:sz w:val="21"/>
                <w:szCs w:val="21"/>
              </w:rPr>
              <w:t>，则本项目制备软水所需新鲜水量为</w:t>
            </w:r>
            <w:r>
              <w:rPr>
                <w:rFonts w:cs="宋体"/>
                <w:sz w:val="21"/>
                <w:szCs w:val="21"/>
              </w:rPr>
              <w:t>1824</w:t>
            </w:r>
            <w:r>
              <w:rPr>
                <w:rFonts w:hint="eastAsia" w:cs="宋体"/>
                <w:sz w:val="21"/>
                <w:szCs w:val="21"/>
              </w:rPr>
              <w:t>.0</w:t>
            </w:r>
            <w:r>
              <w:rPr>
                <w:rFonts w:cs="宋体"/>
                <w:sz w:val="21"/>
                <w:szCs w:val="21"/>
              </w:rPr>
              <w:t>m</w:t>
            </w:r>
            <w:r>
              <w:rPr>
                <w:rFonts w:cs="宋体"/>
                <w:sz w:val="21"/>
                <w:szCs w:val="21"/>
                <w:vertAlign w:val="superscript"/>
              </w:rPr>
              <w:t>3</w:t>
            </w:r>
            <w:r>
              <w:rPr>
                <w:rFonts w:hint="eastAsia" w:cs="宋体"/>
                <w:sz w:val="21"/>
                <w:szCs w:val="21"/>
              </w:rPr>
              <w:t>，由罐车拉运。</w:t>
            </w:r>
          </w:p>
          <w:p w14:paraId="3097B795">
            <w:pPr>
              <w:pStyle w:val="3"/>
              <w:ind w:firstLine="420"/>
              <w:rPr>
                <w:rFonts w:hint="eastAsia" w:cs="宋体"/>
                <w:sz w:val="21"/>
                <w:szCs w:val="21"/>
              </w:rPr>
            </w:pPr>
            <w:r>
              <w:rPr>
                <w:rFonts w:hint="eastAsia" w:cs="宋体"/>
                <w:sz w:val="21"/>
                <w:szCs w:val="21"/>
              </w:rPr>
              <w:t>⑤尿素配置用水</w:t>
            </w:r>
          </w:p>
          <w:p w14:paraId="476A963C">
            <w:pPr>
              <w:pStyle w:val="3"/>
              <w:ind w:firstLine="420"/>
              <w:rPr>
                <w:rFonts w:hint="eastAsia" w:cs="宋体"/>
                <w:sz w:val="21"/>
                <w:szCs w:val="21"/>
              </w:rPr>
            </w:pPr>
            <w:r>
              <w:rPr>
                <w:rFonts w:hint="eastAsia" w:cs="宋体"/>
                <w:sz w:val="21"/>
                <w:szCs w:val="21"/>
              </w:rPr>
              <w:t>本项目生物质锅炉采用S</w:t>
            </w:r>
            <w:r>
              <w:rPr>
                <w:rFonts w:cs="宋体"/>
                <w:sz w:val="21"/>
                <w:szCs w:val="21"/>
              </w:rPr>
              <w:t>NCR</w:t>
            </w:r>
            <w:r>
              <w:rPr>
                <w:rFonts w:hint="eastAsia" w:cs="宋体"/>
                <w:sz w:val="21"/>
                <w:szCs w:val="21"/>
              </w:rPr>
              <w:t>炉内脱硝，用新鲜水将尿素颗粒溶解配制成浓度为50%的尿素溶液；尿素溶解罐搅拌器进行搅拌均匀待用，尿素小时耗量0.0</w:t>
            </w:r>
            <w:r>
              <w:rPr>
                <w:rFonts w:cs="宋体"/>
                <w:sz w:val="21"/>
                <w:szCs w:val="21"/>
              </w:rPr>
              <w:t>03</w:t>
            </w:r>
            <w:r>
              <w:rPr>
                <w:rFonts w:hint="eastAsia" w:cs="宋体"/>
                <w:sz w:val="21"/>
                <w:szCs w:val="21"/>
              </w:rPr>
              <w:t>t/h，配制尿素溶液用水量为0.</w:t>
            </w:r>
            <w:r>
              <w:rPr>
                <w:rFonts w:cs="宋体"/>
                <w:sz w:val="21"/>
                <w:szCs w:val="21"/>
              </w:rPr>
              <w:t>003</w:t>
            </w:r>
            <w:r>
              <w:rPr>
                <w:rFonts w:hint="eastAsia" w:cs="宋体"/>
                <w:sz w:val="21"/>
                <w:szCs w:val="21"/>
              </w:rPr>
              <w:t>m</w:t>
            </w:r>
            <w:r>
              <w:rPr>
                <w:rFonts w:hint="eastAsia" w:cs="宋体"/>
                <w:sz w:val="21"/>
                <w:szCs w:val="21"/>
                <w:vertAlign w:val="superscript"/>
              </w:rPr>
              <w:t>3</w:t>
            </w:r>
            <w:r>
              <w:rPr>
                <w:rFonts w:hint="eastAsia" w:cs="宋体"/>
                <w:sz w:val="21"/>
                <w:szCs w:val="21"/>
              </w:rPr>
              <w:t>/h。本项目蒸汽锅炉工作时间约为</w:t>
            </w:r>
            <w:r>
              <w:rPr>
                <w:rFonts w:cs="宋体"/>
                <w:sz w:val="21"/>
                <w:szCs w:val="21"/>
              </w:rPr>
              <w:t>90d</w:t>
            </w:r>
            <w:r>
              <w:rPr>
                <w:rFonts w:hint="eastAsia" w:cs="宋体"/>
                <w:sz w:val="21"/>
                <w:szCs w:val="21"/>
              </w:rPr>
              <w:t>，每天工作24h，则尿素配置用水量约为6</w:t>
            </w:r>
            <w:r>
              <w:rPr>
                <w:rFonts w:cs="宋体"/>
                <w:sz w:val="21"/>
                <w:szCs w:val="21"/>
              </w:rPr>
              <w:t>.5m</w:t>
            </w:r>
            <w:r>
              <w:rPr>
                <w:rFonts w:cs="宋体"/>
                <w:sz w:val="21"/>
                <w:szCs w:val="21"/>
                <w:vertAlign w:val="superscript"/>
              </w:rPr>
              <w:t>3</w:t>
            </w:r>
            <w:r>
              <w:rPr>
                <w:rFonts w:hint="eastAsia" w:cs="宋体"/>
                <w:sz w:val="21"/>
                <w:szCs w:val="21"/>
              </w:rPr>
              <w:t>。</w:t>
            </w:r>
          </w:p>
          <w:p w14:paraId="5F126418">
            <w:pPr>
              <w:pStyle w:val="3"/>
              <w:ind w:firstLine="420"/>
              <w:rPr>
                <w:rFonts w:hint="eastAsia" w:cs="宋体"/>
                <w:sz w:val="21"/>
                <w:szCs w:val="21"/>
              </w:rPr>
            </w:pPr>
            <w:r>
              <w:rPr>
                <w:rFonts w:hint="eastAsia" w:cs="宋体"/>
                <w:sz w:val="21"/>
                <w:szCs w:val="21"/>
              </w:rPr>
              <w:t>⑥脱硫系统用水</w:t>
            </w:r>
          </w:p>
          <w:p w14:paraId="5F96E6ED">
            <w:pPr>
              <w:pStyle w:val="3"/>
              <w:ind w:firstLine="420"/>
              <w:rPr>
                <w:rFonts w:hint="eastAsia" w:cs="宋体"/>
                <w:sz w:val="21"/>
                <w:szCs w:val="21"/>
              </w:rPr>
            </w:pPr>
            <w:r>
              <w:rPr>
                <w:rFonts w:hint="eastAsia" w:cs="宋体"/>
                <w:sz w:val="21"/>
                <w:szCs w:val="21"/>
              </w:rPr>
              <w:t>根据锅炉配套脱硫塔设计文件，氢氧化钙湿法脱硫系统中制石灰浆液用水量 0.</w:t>
            </w:r>
            <w:r>
              <w:rPr>
                <w:rFonts w:cs="宋体"/>
                <w:sz w:val="21"/>
                <w:szCs w:val="21"/>
              </w:rPr>
              <w:t>12</w:t>
            </w:r>
            <w:r>
              <w:rPr>
                <w:rFonts w:hint="eastAsia" w:cs="宋体"/>
                <w:sz w:val="21"/>
                <w:szCs w:val="21"/>
              </w:rPr>
              <w:t>m</w:t>
            </w:r>
            <w:r>
              <w:rPr>
                <w:rFonts w:hint="eastAsia" w:cs="宋体"/>
                <w:sz w:val="21"/>
                <w:szCs w:val="21"/>
                <w:vertAlign w:val="superscript"/>
              </w:rPr>
              <w:t>3</w:t>
            </w:r>
            <w:r>
              <w:rPr>
                <w:rFonts w:hint="eastAsia" w:cs="宋体"/>
                <w:sz w:val="21"/>
                <w:szCs w:val="21"/>
              </w:rPr>
              <w:t>/h；脱硫系统排水由自带处理系统沉淀处理后循环使用，循环水量为</w:t>
            </w:r>
            <w:r>
              <w:rPr>
                <w:rFonts w:cs="宋体"/>
                <w:sz w:val="21"/>
                <w:szCs w:val="21"/>
              </w:rPr>
              <w:t>10</w:t>
            </w:r>
            <w:r>
              <w:rPr>
                <w:rFonts w:hint="eastAsia" w:cs="宋体"/>
                <w:sz w:val="21"/>
                <w:szCs w:val="21"/>
              </w:rPr>
              <w:t>m</w:t>
            </w:r>
            <w:r>
              <w:rPr>
                <w:rFonts w:hint="eastAsia" w:cs="宋体"/>
                <w:sz w:val="21"/>
                <w:szCs w:val="21"/>
                <w:vertAlign w:val="superscript"/>
              </w:rPr>
              <w:t>3</w:t>
            </w:r>
            <w:r>
              <w:rPr>
                <w:rFonts w:hint="eastAsia" w:cs="宋体"/>
                <w:sz w:val="21"/>
                <w:szCs w:val="21"/>
              </w:rPr>
              <w:t>/h。蒸发损失取循环水量的10%，补充蒸发损失水量为</w:t>
            </w:r>
            <w:r>
              <w:rPr>
                <w:rFonts w:cs="宋体"/>
                <w:sz w:val="21"/>
                <w:szCs w:val="21"/>
              </w:rPr>
              <w:t>1</w:t>
            </w:r>
            <w:r>
              <w:rPr>
                <w:rFonts w:hint="eastAsia" w:cs="宋体"/>
                <w:sz w:val="21"/>
                <w:szCs w:val="21"/>
              </w:rPr>
              <w:t>m</w:t>
            </w:r>
            <w:r>
              <w:rPr>
                <w:rFonts w:hint="eastAsia" w:cs="宋体"/>
                <w:sz w:val="21"/>
                <w:szCs w:val="21"/>
                <w:vertAlign w:val="superscript"/>
              </w:rPr>
              <w:t>3</w:t>
            </w:r>
            <w:r>
              <w:rPr>
                <w:rFonts w:hint="eastAsia" w:cs="宋体"/>
                <w:sz w:val="21"/>
                <w:szCs w:val="21"/>
              </w:rPr>
              <w:t>/h，湿法脱硫系统总补水量约</w:t>
            </w:r>
            <w:r>
              <w:rPr>
                <w:rFonts w:cs="宋体"/>
                <w:sz w:val="21"/>
                <w:szCs w:val="21"/>
              </w:rPr>
              <w:t>1.12</w:t>
            </w:r>
            <w:r>
              <w:rPr>
                <w:rFonts w:hint="eastAsia" w:cs="宋体"/>
                <w:sz w:val="21"/>
                <w:szCs w:val="21"/>
              </w:rPr>
              <w:t>m</w:t>
            </w:r>
            <w:r>
              <w:rPr>
                <w:rFonts w:hint="eastAsia" w:cs="宋体"/>
                <w:sz w:val="21"/>
                <w:szCs w:val="21"/>
                <w:vertAlign w:val="superscript"/>
              </w:rPr>
              <w:t>3</w:t>
            </w:r>
            <w:r>
              <w:rPr>
                <w:rFonts w:hint="eastAsia" w:cs="宋体"/>
                <w:sz w:val="21"/>
                <w:szCs w:val="21"/>
              </w:rPr>
              <w:t>/h。本项目蒸汽锅炉工作时间约为</w:t>
            </w:r>
            <w:r>
              <w:rPr>
                <w:rFonts w:cs="宋体"/>
                <w:sz w:val="21"/>
                <w:szCs w:val="21"/>
              </w:rPr>
              <w:t>90d</w:t>
            </w:r>
            <w:r>
              <w:rPr>
                <w:rFonts w:hint="eastAsia" w:cs="宋体"/>
                <w:sz w:val="21"/>
                <w:szCs w:val="21"/>
              </w:rPr>
              <w:t>，每天工作24h，则脱硫系统用水量约为</w:t>
            </w:r>
            <w:r>
              <w:rPr>
                <w:rFonts w:cs="宋体"/>
                <w:sz w:val="21"/>
                <w:szCs w:val="21"/>
              </w:rPr>
              <w:t>2419.2m</w:t>
            </w:r>
            <w:r>
              <w:rPr>
                <w:rFonts w:cs="宋体"/>
                <w:sz w:val="21"/>
                <w:szCs w:val="21"/>
                <w:vertAlign w:val="superscript"/>
              </w:rPr>
              <w:t>3</w:t>
            </w:r>
            <w:r>
              <w:rPr>
                <w:rFonts w:hint="eastAsia" w:cs="宋体"/>
                <w:sz w:val="21"/>
                <w:szCs w:val="21"/>
              </w:rPr>
              <w:t>。本项目软水系统排水和锅炉排污水回用于脱硫系统，回用水量为</w:t>
            </w:r>
            <w:r>
              <w:rPr>
                <w:rFonts w:cs="宋体"/>
                <w:sz w:val="21"/>
                <w:szCs w:val="21"/>
              </w:rPr>
              <w:t>204m</w:t>
            </w:r>
            <w:r>
              <w:rPr>
                <w:rFonts w:cs="宋体"/>
                <w:sz w:val="21"/>
                <w:szCs w:val="21"/>
                <w:vertAlign w:val="superscript"/>
              </w:rPr>
              <w:t>3</w:t>
            </w:r>
            <w:r>
              <w:rPr>
                <w:rFonts w:hint="eastAsia" w:cs="宋体"/>
                <w:sz w:val="21"/>
                <w:szCs w:val="21"/>
              </w:rPr>
              <w:t>，则脱硫系统新鲜水用量为</w:t>
            </w:r>
            <w:r>
              <w:rPr>
                <w:rFonts w:cs="宋体"/>
                <w:sz w:val="21"/>
                <w:szCs w:val="21"/>
              </w:rPr>
              <w:t>2215.2m</w:t>
            </w:r>
            <w:r>
              <w:rPr>
                <w:rFonts w:cs="宋体"/>
                <w:sz w:val="21"/>
                <w:szCs w:val="21"/>
                <w:vertAlign w:val="superscript"/>
              </w:rPr>
              <w:t>3</w:t>
            </w:r>
            <w:r>
              <w:rPr>
                <w:rFonts w:hint="eastAsia" w:cs="宋体"/>
                <w:sz w:val="21"/>
                <w:szCs w:val="21"/>
              </w:rPr>
              <w:t>。</w:t>
            </w:r>
          </w:p>
          <w:p w14:paraId="3B25F5C1">
            <w:pPr>
              <w:pStyle w:val="113"/>
              <w:rPr>
                <w:rFonts w:hint="eastAsia"/>
                <w:szCs w:val="21"/>
              </w:rPr>
            </w:pPr>
            <w:r>
              <w:rPr>
                <w:rFonts w:hint="eastAsia"/>
                <w:szCs w:val="21"/>
              </w:rPr>
              <w:t>⑦</w:t>
            </w:r>
            <w:r>
              <w:rPr>
                <w:rFonts w:hint="eastAsia"/>
              </w:rPr>
              <w:t>生活用水</w:t>
            </w:r>
          </w:p>
          <w:p w14:paraId="3A51B6EB">
            <w:pPr>
              <w:pStyle w:val="113"/>
              <w:rPr>
                <w:rFonts w:hint="eastAsia"/>
              </w:rPr>
            </w:pPr>
            <w:r>
              <w:rPr>
                <w:rFonts w:hint="eastAsia"/>
              </w:rPr>
              <w:t>本项目单井钻井周期</w:t>
            </w:r>
            <w:r>
              <w:rPr>
                <w:rFonts w:hint="eastAsia"/>
                <w:bCs/>
              </w:rPr>
              <w:t>80</w:t>
            </w:r>
            <w:r>
              <w:rPr>
                <w:rFonts w:hint="eastAsia"/>
              </w:rPr>
              <w:t>d，钻井队实行三班二倒制度，实际每天在岗人数为</w:t>
            </w:r>
            <w:r>
              <w:rPr>
                <w:rFonts w:hint="eastAsia"/>
                <w:bCs/>
              </w:rPr>
              <w:t>24</w:t>
            </w:r>
            <w:r>
              <w:rPr>
                <w:rFonts w:hint="eastAsia"/>
              </w:rPr>
              <w:t>人，生活用水定额为</w:t>
            </w:r>
            <w:r>
              <w:rPr>
                <w:rFonts w:hint="eastAsia"/>
                <w:bCs/>
              </w:rPr>
              <w:t>50</w:t>
            </w:r>
            <w:r>
              <w:rPr>
                <w:rFonts w:hint="eastAsia"/>
              </w:rPr>
              <w:t>L/人·d，用水量为</w:t>
            </w:r>
            <w:r>
              <w:rPr>
                <w:rFonts w:hint="eastAsia"/>
                <w:bCs/>
              </w:rPr>
              <w:t>1.2</w:t>
            </w:r>
            <w:r>
              <w:rPr>
                <w:rFonts w:hint="eastAsia"/>
              </w:rPr>
              <w:t>m</w:t>
            </w:r>
            <w:r>
              <w:rPr>
                <w:rFonts w:hint="eastAsia"/>
                <w:vertAlign w:val="superscript"/>
              </w:rPr>
              <w:t>3</w:t>
            </w:r>
            <w:r>
              <w:rPr>
                <w:rFonts w:hint="eastAsia"/>
              </w:rPr>
              <w:t>/d，钻井期全部生活用水量约9</w:t>
            </w:r>
            <w:r>
              <w:t>6</w:t>
            </w:r>
            <w:r>
              <w:rPr>
                <w:rFonts w:hint="eastAsia"/>
              </w:rPr>
              <w:t>m</w:t>
            </w:r>
            <w:r>
              <w:rPr>
                <w:rFonts w:hint="eastAsia"/>
                <w:vertAlign w:val="superscript"/>
              </w:rPr>
              <w:t>3</w:t>
            </w:r>
            <w:r>
              <w:rPr>
                <w:rFonts w:hint="eastAsia"/>
              </w:rPr>
              <w:t>；</w:t>
            </w:r>
          </w:p>
          <w:p w14:paraId="6BE32BFC">
            <w:pPr>
              <w:pStyle w:val="3"/>
              <w:ind w:firstLine="420"/>
              <w:rPr>
                <w:rFonts w:hint="eastAsia"/>
                <w:sz w:val="21"/>
                <w:szCs w:val="21"/>
              </w:rPr>
            </w:pPr>
            <w:r>
              <w:rPr>
                <w:rFonts w:hint="eastAsia"/>
                <w:sz w:val="21"/>
                <w:szCs w:val="21"/>
              </w:rPr>
              <w:t>本项目单井试油周期</w:t>
            </w:r>
            <w:r>
              <w:rPr>
                <w:rFonts w:hint="eastAsia"/>
                <w:bCs/>
                <w:sz w:val="21"/>
                <w:szCs w:val="21"/>
              </w:rPr>
              <w:t>80</w:t>
            </w:r>
            <w:r>
              <w:rPr>
                <w:rFonts w:hint="eastAsia"/>
                <w:sz w:val="21"/>
                <w:szCs w:val="21"/>
              </w:rPr>
              <w:t>d，每天在岗人员</w:t>
            </w:r>
            <w:r>
              <w:rPr>
                <w:rFonts w:hint="eastAsia"/>
                <w:bCs/>
                <w:sz w:val="21"/>
                <w:szCs w:val="21"/>
              </w:rPr>
              <w:t>20</w:t>
            </w:r>
            <w:r>
              <w:rPr>
                <w:rFonts w:hint="eastAsia"/>
                <w:sz w:val="21"/>
                <w:szCs w:val="21"/>
              </w:rPr>
              <w:t>人，每人每天用水量为</w:t>
            </w:r>
            <w:r>
              <w:rPr>
                <w:rFonts w:hint="eastAsia"/>
                <w:bCs/>
                <w:sz w:val="21"/>
                <w:szCs w:val="21"/>
              </w:rPr>
              <w:t>50</w:t>
            </w:r>
            <w:r>
              <w:rPr>
                <w:rFonts w:hint="eastAsia"/>
                <w:sz w:val="21"/>
                <w:szCs w:val="21"/>
              </w:rPr>
              <w:t>L，用水量为</w:t>
            </w:r>
            <w:r>
              <w:rPr>
                <w:rFonts w:hint="eastAsia"/>
                <w:bCs/>
                <w:sz w:val="21"/>
                <w:szCs w:val="21"/>
              </w:rPr>
              <w:t>1</w:t>
            </w:r>
            <w:r>
              <w:rPr>
                <w:rFonts w:hint="eastAsia"/>
                <w:sz w:val="21"/>
                <w:szCs w:val="21"/>
              </w:rPr>
              <w:t>m</w:t>
            </w:r>
            <w:r>
              <w:rPr>
                <w:rFonts w:hint="eastAsia"/>
                <w:sz w:val="21"/>
                <w:szCs w:val="21"/>
                <w:vertAlign w:val="superscript"/>
              </w:rPr>
              <w:t>3</w:t>
            </w:r>
            <w:r>
              <w:rPr>
                <w:rFonts w:hint="eastAsia"/>
                <w:sz w:val="21"/>
                <w:szCs w:val="21"/>
              </w:rPr>
              <w:t>/d，整个试油期生活用水量为80m</w:t>
            </w:r>
            <w:r>
              <w:rPr>
                <w:rFonts w:hint="eastAsia"/>
                <w:sz w:val="21"/>
                <w:szCs w:val="21"/>
                <w:vertAlign w:val="superscript"/>
              </w:rPr>
              <w:t>3</w:t>
            </w:r>
            <w:r>
              <w:rPr>
                <w:rFonts w:hint="eastAsia"/>
                <w:sz w:val="21"/>
                <w:szCs w:val="21"/>
              </w:rPr>
              <w:t>，用水由车辆拉运。</w:t>
            </w:r>
          </w:p>
          <w:p w14:paraId="051B61DB">
            <w:pPr>
              <w:pStyle w:val="113"/>
              <w:rPr>
                <w:rFonts w:hint="eastAsia"/>
              </w:rPr>
            </w:pPr>
            <w:r>
              <w:t>2</w:t>
            </w:r>
            <w:r>
              <w:rPr>
                <w:rFonts w:hint="eastAsia"/>
              </w:rPr>
              <w:t>）排水</w:t>
            </w:r>
          </w:p>
          <w:p w14:paraId="0685B30D">
            <w:pPr>
              <w:pStyle w:val="113"/>
              <w:rPr>
                <w:rFonts w:hint="eastAsia"/>
                <w:snapToGrid w:val="0"/>
              </w:rPr>
            </w:pPr>
            <w:r>
              <w:rPr>
                <w:rFonts w:hint="eastAsia"/>
                <w:snapToGrid w:val="0"/>
              </w:rPr>
              <w:t>①</w:t>
            </w:r>
            <w:r>
              <w:rPr>
                <w:rFonts w:hint="eastAsia"/>
              </w:rPr>
              <w:t>井下作业废液</w:t>
            </w:r>
          </w:p>
          <w:p w14:paraId="5232BECE">
            <w:pPr>
              <w:pStyle w:val="113"/>
              <w:rPr>
                <w:rFonts w:hint="eastAsia"/>
                <w:snapToGrid w:val="0"/>
              </w:rPr>
            </w:pPr>
            <w:r>
              <w:rPr>
                <w:rFonts w:hint="eastAsia"/>
                <w:snapToGrid w:val="0"/>
              </w:rPr>
              <w:t>根据类比调查，试油期每百米井深产生废水约12.23m</w:t>
            </w:r>
            <w:r>
              <w:rPr>
                <w:rFonts w:hint="eastAsia"/>
                <w:snapToGrid w:val="0"/>
                <w:vertAlign w:val="superscript"/>
              </w:rPr>
              <w:t>3</w:t>
            </w:r>
            <w:r>
              <w:rPr>
                <w:rFonts w:hint="eastAsia"/>
                <w:snapToGrid w:val="0"/>
              </w:rPr>
              <w:t>，整个试油周期产生废水577.3m</w:t>
            </w:r>
            <w:r>
              <w:rPr>
                <w:rFonts w:hint="eastAsia"/>
                <w:snapToGrid w:val="0"/>
                <w:vertAlign w:val="superscript"/>
              </w:rPr>
              <w:t>3</w:t>
            </w:r>
            <w:r>
              <w:rPr>
                <w:rFonts w:hint="eastAsia"/>
                <w:snapToGrid w:val="0"/>
              </w:rPr>
              <w:t>，</w:t>
            </w:r>
            <w:r>
              <w:rPr>
                <w:rFonts w:hint="eastAsia"/>
              </w:rPr>
              <w:t>井下作业废液</w:t>
            </w:r>
            <w:r>
              <w:rPr>
                <w:rFonts w:hint="eastAsia"/>
                <w:snapToGrid w:val="0"/>
              </w:rPr>
              <w:t>定期拉运至春风一号联合站采出水处理系统处理，经处理达到</w:t>
            </w:r>
            <w:r>
              <w:rPr>
                <w:rFonts w:hint="eastAsia"/>
                <w:szCs w:val="21"/>
              </w:rPr>
              <w:t>《碎屑岩油藏注水水质指标技术要求及分析方法》（SY/T 5329-20</w:t>
            </w:r>
            <w:r>
              <w:rPr>
                <w:szCs w:val="21"/>
              </w:rPr>
              <w:t>2</w:t>
            </w:r>
            <w:r>
              <w:rPr>
                <w:rFonts w:hint="eastAsia"/>
                <w:szCs w:val="21"/>
              </w:rPr>
              <w:t>2）</w:t>
            </w:r>
            <w:r>
              <w:rPr>
                <w:rFonts w:hint="eastAsia"/>
                <w:snapToGrid w:val="0"/>
              </w:rPr>
              <w:t>对应储层空气渗透率下的水质主要控制指标后回注含油层用于产能开发，不外排。</w:t>
            </w:r>
          </w:p>
          <w:p w14:paraId="7FCED0CE">
            <w:pPr>
              <w:pStyle w:val="113"/>
              <w:rPr>
                <w:rFonts w:hint="eastAsia"/>
                <w:snapToGrid w:val="0"/>
              </w:rPr>
            </w:pPr>
            <w:r>
              <w:rPr>
                <w:rFonts w:hint="eastAsia"/>
                <w:snapToGrid w:val="0"/>
              </w:rPr>
              <w:t>②压裂返排液</w:t>
            </w:r>
          </w:p>
          <w:p w14:paraId="3C2D6539">
            <w:pPr>
              <w:pStyle w:val="113"/>
              <w:rPr>
                <w:rFonts w:hint="eastAsia"/>
                <w:szCs w:val="21"/>
              </w:rPr>
            </w:pPr>
            <w:r>
              <w:rPr>
                <w:rFonts w:hint="eastAsia"/>
                <w:szCs w:val="21"/>
              </w:rPr>
              <w:t>根据施工单位经验数据，本项目压裂阶段注入压裂液量约为</w:t>
            </w:r>
            <w:r>
              <w:rPr>
                <w:szCs w:val="21"/>
              </w:rPr>
              <w:t>1500</w:t>
            </w:r>
            <w:r>
              <w:rPr>
                <w:rFonts w:hint="eastAsia"/>
                <w:szCs w:val="21"/>
              </w:rPr>
              <w:t>m</w:t>
            </w:r>
            <w:r>
              <w:rPr>
                <w:rFonts w:hint="eastAsia"/>
                <w:szCs w:val="21"/>
                <w:vertAlign w:val="superscript"/>
              </w:rPr>
              <w:t>3</w:t>
            </w:r>
            <w:r>
              <w:rPr>
                <w:rFonts w:hint="eastAsia"/>
                <w:szCs w:val="21"/>
              </w:rPr>
              <w:t>，返排率约</w:t>
            </w:r>
            <w:r>
              <w:rPr>
                <w:szCs w:val="21"/>
              </w:rPr>
              <w:t>20</w:t>
            </w:r>
            <w:r>
              <w:rPr>
                <w:rFonts w:hint="eastAsia"/>
                <w:szCs w:val="21"/>
              </w:rPr>
              <w:t>%，压裂液返排量约为</w:t>
            </w:r>
            <w:r>
              <w:rPr>
                <w:szCs w:val="21"/>
              </w:rPr>
              <w:t>300</w:t>
            </w:r>
            <w:r>
              <w:rPr>
                <w:rFonts w:hint="eastAsia"/>
                <w:szCs w:val="21"/>
              </w:rPr>
              <w:t>m</w:t>
            </w:r>
            <w:r>
              <w:rPr>
                <w:rFonts w:hint="eastAsia"/>
                <w:szCs w:val="21"/>
                <w:vertAlign w:val="superscript"/>
              </w:rPr>
              <w:t>3</w:t>
            </w:r>
            <w:r>
              <w:rPr>
                <w:rFonts w:hint="eastAsia"/>
                <w:szCs w:val="21"/>
              </w:rPr>
              <w:t>。压裂施工后返排的废液成分较为简单，压裂阶段结束后拉运至</w:t>
            </w:r>
            <w:r>
              <w:rPr>
                <w:rFonts w:hint="eastAsia"/>
                <w:snapToGrid w:val="0"/>
              </w:rPr>
              <w:t>春风一号联合站采出水处理系统处理，经处理达到</w:t>
            </w:r>
            <w:r>
              <w:rPr>
                <w:rFonts w:hint="eastAsia"/>
                <w:szCs w:val="21"/>
              </w:rPr>
              <w:t>《碎屑岩油藏注水水质指标技术要求及分析方法》（SY/T 5329-20</w:t>
            </w:r>
            <w:r>
              <w:rPr>
                <w:szCs w:val="21"/>
              </w:rPr>
              <w:t>2</w:t>
            </w:r>
            <w:r>
              <w:rPr>
                <w:rFonts w:hint="eastAsia"/>
                <w:szCs w:val="21"/>
              </w:rPr>
              <w:t>2）</w:t>
            </w:r>
            <w:r>
              <w:rPr>
                <w:rFonts w:hint="eastAsia"/>
                <w:snapToGrid w:val="0"/>
              </w:rPr>
              <w:t>对应储层空气渗透率下的水质主要控制指标后回注含油层用于产能开发，不外排。</w:t>
            </w:r>
          </w:p>
          <w:p w14:paraId="3491153F">
            <w:pPr>
              <w:pStyle w:val="113"/>
              <w:rPr>
                <w:rFonts w:hint="eastAsia"/>
                <w:snapToGrid w:val="0"/>
              </w:rPr>
            </w:pPr>
            <w:r>
              <w:rPr>
                <w:rFonts w:hint="eastAsia"/>
              </w:rPr>
              <w:t>③</w:t>
            </w:r>
            <w:r>
              <w:rPr>
                <w:rFonts w:hint="eastAsia"/>
                <w:snapToGrid w:val="0"/>
              </w:rPr>
              <w:t>软水系统排水</w:t>
            </w:r>
          </w:p>
          <w:p w14:paraId="3CE8EE0D">
            <w:pPr>
              <w:pStyle w:val="113"/>
              <w:rPr>
                <w:rFonts w:hint="eastAsia"/>
                <w:snapToGrid w:val="0"/>
              </w:rPr>
            </w:pPr>
            <w:r>
              <w:rPr>
                <w:rFonts w:hint="eastAsia"/>
                <w:snapToGrid w:val="0"/>
              </w:rPr>
              <w:t>本项目锅炉自带软水制备系统，软水制备率约9</w:t>
            </w:r>
            <w:r>
              <w:rPr>
                <w:snapToGrid w:val="0"/>
              </w:rPr>
              <w:t>8%</w:t>
            </w:r>
            <w:r>
              <w:rPr>
                <w:rFonts w:hint="eastAsia"/>
                <w:snapToGrid w:val="0"/>
              </w:rPr>
              <w:t>。其在制备软水过程中会产生一定量的反冲洗水，该部分废水属于含盐清净下水，产生量约为</w:t>
            </w:r>
            <w:r>
              <w:rPr>
                <w:snapToGrid w:val="0"/>
              </w:rPr>
              <w:t>37</w:t>
            </w:r>
            <w:r>
              <w:rPr>
                <w:rFonts w:hint="eastAsia"/>
                <w:snapToGrid w:val="0"/>
              </w:rPr>
              <w:t>.0</w:t>
            </w:r>
            <w:r>
              <w:rPr>
                <w:rFonts w:hint="eastAsia"/>
                <w:szCs w:val="21"/>
              </w:rPr>
              <w:t>m</w:t>
            </w:r>
            <w:r>
              <w:rPr>
                <w:rFonts w:hint="eastAsia"/>
                <w:szCs w:val="21"/>
                <w:vertAlign w:val="superscript"/>
              </w:rPr>
              <w:t>3</w:t>
            </w:r>
            <w:r>
              <w:rPr>
                <w:rFonts w:hint="eastAsia"/>
                <w:szCs w:val="21"/>
              </w:rPr>
              <w:t>。经收集后回用于脱硫系统补水</w:t>
            </w:r>
            <w:r>
              <w:rPr>
                <w:rFonts w:hint="eastAsia"/>
                <w:snapToGrid w:val="0"/>
              </w:rPr>
              <w:t>，不外排。</w:t>
            </w:r>
          </w:p>
          <w:p w14:paraId="4F012C3C">
            <w:pPr>
              <w:pStyle w:val="113"/>
              <w:rPr>
                <w:rFonts w:hint="eastAsia"/>
                <w:snapToGrid w:val="0"/>
              </w:rPr>
            </w:pPr>
            <w:r>
              <w:rPr>
                <w:rFonts w:hint="eastAsia"/>
                <w:snapToGrid w:val="0"/>
              </w:rPr>
              <w:t>④锅炉排污水</w:t>
            </w:r>
          </w:p>
          <w:p w14:paraId="7B0AC685">
            <w:pPr>
              <w:pStyle w:val="113"/>
              <w:rPr>
                <w:rFonts w:hint="eastAsia"/>
                <w:snapToGrid w:val="0"/>
              </w:rPr>
            </w:pPr>
            <w:r>
              <w:rPr>
                <w:rFonts w:hint="eastAsia"/>
                <w:snapToGrid w:val="0"/>
              </w:rPr>
              <w:t>锅炉运行过程中会定期排污，本项目锅炉排污率约为3</w:t>
            </w:r>
            <w:r>
              <w:rPr>
                <w:snapToGrid w:val="0"/>
              </w:rPr>
              <w:t>%</w:t>
            </w:r>
            <w:r>
              <w:rPr>
                <w:rFonts w:hint="eastAsia"/>
                <w:snapToGrid w:val="0"/>
              </w:rPr>
              <w:t>。该部分废水属于含盐清净下水，产生量约为</w:t>
            </w:r>
            <w:r>
              <w:rPr>
                <w:snapToGrid w:val="0"/>
              </w:rPr>
              <w:t>167</w:t>
            </w:r>
            <w:r>
              <w:rPr>
                <w:rFonts w:hint="eastAsia"/>
                <w:snapToGrid w:val="0"/>
              </w:rPr>
              <w:t>.0</w:t>
            </w:r>
            <w:r>
              <w:rPr>
                <w:rFonts w:hint="eastAsia"/>
                <w:szCs w:val="21"/>
              </w:rPr>
              <w:t>m</w:t>
            </w:r>
            <w:r>
              <w:rPr>
                <w:rFonts w:hint="eastAsia"/>
                <w:szCs w:val="21"/>
                <w:vertAlign w:val="superscript"/>
              </w:rPr>
              <w:t>3</w:t>
            </w:r>
            <w:r>
              <w:rPr>
                <w:rFonts w:hint="eastAsia"/>
                <w:szCs w:val="21"/>
              </w:rPr>
              <w:t>。经收集后回用于脱硫系统补水</w:t>
            </w:r>
            <w:r>
              <w:rPr>
                <w:rFonts w:hint="eastAsia"/>
                <w:snapToGrid w:val="0"/>
              </w:rPr>
              <w:t>，不外排。</w:t>
            </w:r>
          </w:p>
          <w:p w14:paraId="676EDC84">
            <w:pPr>
              <w:pStyle w:val="113"/>
              <w:rPr>
                <w:rFonts w:hint="eastAsia"/>
                <w:snapToGrid w:val="0"/>
              </w:rPr>
            </w:pPr>
            <w:r>
              <w:rPr>
                <w:rFonts w:hint="eastAsia"/>
                <w:snapToGrid w:val="0"/>
              </w:rPr>
              <w:t>⑤生活污水</w:t>
            </w:r>
          </w:p>
          <w:p w14:paraId="230EAC11">
            <w:pPr>
              <w:pStyle w:val="113"/>
              <w:rPr>
                <w:rFonts w:hint="eastAsia"/>
                <w:snapToGrid w:val="0"/>
                <w:szCs w:val="21"/>
              </w:rPr>
            </w:pPr>
            <w:r>
              <w:rPr>
                <w:rFonts w:hint="eastAsia"/>
                <w:snapToGrid w:val="0"/>
              </w:rPr>
              <w:t>生活污水产生量按用水量的80%计算，钻井期内生活污水总产生量76.8m</w:t>
            </w:r>
            <w:r>
              <w:rPr>
                <w:rFonts w:hint="eastAsia"/>
                <w:snapToGrid w:val="0"/>
                <w:vertAlign w:val="superscript"/>
              </w:rPr>
              <w:t>3</w:t>
            </w:r>
            <w:r>
              <w:rPr>
                <w:rFonts w:hint="eastAsia"/>
                <w:snapToGrid w:val="0"/>
              </w:rPr>
              <w:t>，试油期内生活污水产生量为64.0m</w:t>
            </w:r>
            <w:r>
              <w:rPr>
                <w:rFonts w:hint="eastAsia"/>
                <w:snapToGrid w:val="0"/>
                <w:vertAlign w:val="superscript"/>
              </w:rPr>
              <w:t>3</w:t>
            </w:r>
            <w:r>
              <w:rPr>
                <w:rFonts w:hint="eastAsia"/>
                <w:snapToGrid w:val="0"/>
              </w:rPr>
              <w:t>，生活区设置环保厕所，生活污水全部排至环保厕所，定期拉</w:t>
            </w:r>
            <w:r>
              <w:rPr>
                <w:rFonts w:hint="eastAsia"/>
                <w:snapToGrid w:val="0"/>
                <w:szCs w:val="21"/>
              </w:rPr>
              <w:t>运至中石化新疆新春石油开发有限责任公司管理一区生活基地合理化处置。</w:t>
            </w:r>
          </w:p>
          <w:p w14:paraId="04EBC22D">
            <w:pPr>
              <w:pStyle w:val="113"/>
              <w:ind w:firstLine="0" w:firstLineChars="0"/>
              <w:jc w:val="center"/>
              <w:rPr>
                <w:rFonts w:hint="eastAsia"/>
                <w:bCs/>
                <w:szCs w:val="21"/>
              </w:rPr>
            </w:pPr>
            <w:r>
              <w:rPr>
                <w:rFonts w:hint="eastAsia"/>
                <w:bCs/>
                <w:szCs w:val="21"/>
              </w:rPr>
              <w:drawing>
                <wp:inline distT="0" distB="0" distL="0" distR="0">
                  <wp:extent cx="4808855" cy="4318635"/>
                  <wp:effectExtent l="19050" t="19050" r="10795" b="24765"/>
                  <wp:docPr id="4" name="图片 111"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1" descr="图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9293" cy="4319034"/>
                          </a:xfrm>
                          <a:prstGeom prst="rect">
                            <a:avLst/>
                          </a:prstGeom>
                          <a:noFill/>
                          <a:ln w="6350">
                            <a:solidFill>
                              <a:schemeClr val="tx1"/>
                            </a:solidFill>
                          </a:ln>
                        </pic:spPr>
                      </pic:pic>
                    </a:graphicData>
                  </a:graphic>
                </wp:inline>
              </w:drawing>
            </w:r>
          </w:p>
          <w:p w14:paraId="6384DC16">
            <w:pPr>
              <w:pStyle w:val="113"/>
              <w:ind w:firstLine="0" w:firstLineChars="0"/>
              <w:jc w:val="center"/>
              <w:rPr>
                <w:rFonts w:hint="eastAsia"/>
                <w:bCs/>
                <w:szCs w:val="21"/>
              </w:rPr>
            </w:pPr>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t xml:space="preserve">  </w:t>
            </w:r>
            <w:r>
              <w:rPr>
                <w:rFonts w:hint="eastAsia"/>
              </w:rPr>
              <w:t>拟建项目施工期水平衡</w:t>
            </w:r>
            <w:r>
              <w:rPr>
                <w:rFonts w:hint="eastAsia"/>
                <w:snapToGrid w:val="0"/>
                <w:kern w:val="0"/>
                <w:szCs w:val="21"/>
              </w:rPr>
              <w:t>图</w:t>
            </w:r>
          </w:p>
          <w:p w14:paraId="7AFC2A7B">
            <w:pPr>
              <w:pStyle w:val="113"/>
              <w:rPr>
                <w:rFonts w:hint="eastAsia"/>
              </w:rPr>
            </w:pPr>
          </w:p>
          <w:p w14:paraId="36F69F81">
            <w:pPr>
              <w:pStyle w:val="113"/>
              <w:rPr>
                <w:rFonts w:hint="eastAsia"/>
              </w:rPr>
            </w:pPr>
            <w:r>
              <w:t>3</w:t>
            </w:r>
            <w:r>
              <w:rPr>
                <w:rFonts w:hint="eastAsia"/>
              </w:rPr>
              <w:t>）供电</w:t>
            </w:r>
          </w:p>
          <w:p w14:paraId="2E51E437">
            <w:pPr>
              <w:pStyle w:val="113"/>
              <w:rPr>
                <w:rFonts w:hint="eastAsia"/>
              </w:rPr>
            </w:pPr>
            <w:r>
              <w:rPr>
                <w:rFonts w:hint="eastAsia"/>
              </w:rPr>
              <w:t>本项目钻井和试油过程中采用</w:t>
            </w:r>
            <w:r>
              <w:rPr>
                <w:rFonts w:hint="eastAsia"/>
                <w:snapToGrid w:val="0"/>
              </w:rPr>
              <w:t>柴油机发电，钻井期和试油期共计消耗柴油量640</w:t>
            </w:r>
            <w:r>
              <w:rPr>
                <w:snapToGrid w:val="0"/>
              </w:rPr>
              <w:t>t</w:t>
            </w:r>
            <w:r>
              <w:rPr>
                <w:rFonts w:hint="eastAsia"/>
              </w:rPr>
              <w:t>。</w:t>
            </w:r>
          </w:p>
          <w:p w14:paraId="16ACEF58">
            <w:pPr>
              <w:pStyle w:val="113"/>
              <w:rPr>
                <w:rFonts w:hint="eastAsia"/>
                <w:bCs/>
                <w:szCs w:val="21"/>
              </w:rPr>
            </w:pPr>
            <w:r>
              <w:rPr>
                <w:bCs/>
                <w:szCs w:val="21"/>
              </w:rPr>
              <w:t>4</w:t>
            </w:r>
            <w:r>
              <w:rPr>
                <w:rFonts w:hint="eastAsia"/>
                <w:bCs/>
                <w:szCs w:val="21"/>
              </w:rPr>
              <w:t>）供暖工程</w:t>
            </w:r>
          </w:p>
          <w:p w14:paraId="0366C2E3">
            <w:pPr>
              <w:pStyle w:val="113"/>
              <w:rPr>
                <w:rFonts w:hint="eastAsia"/>
                <w:bCs/>
              </w:rPr>
            </w:pPr>
            <w:r>
              <w:rPr>
                <w:rFonts w:hint="eastAsia"/>
                <w:bCs/>
                <w:szCs w:val="21"/>
              </w:rPr>
              <w:t>本项目采用1台2.5t/h生物质蒸汽锅炉供暖。本项目新建锅炉为WNS2.5-1.0-Y.B一体化橇装锅炉，锅炉配套低氮燃烧器、SNCR炉内脱硝、袋式除尘器、脱硫塔等环保设施以及1根</w:t>
            </w:r>
            <w:r>
              <w:rPr>
                <w:rFonts w:hint="eastAsia"/>
                <w:bCs/>
              </w:rPr>
              <w:t>根15m高内径0.27m排气筒。本项目生物质燃料主要为木质颗粒，根据新精诚地矿检测中心出具的生物质颗粒组分检测报告，本项目生物质颗粒组分测定情况见</w:t>
            </w:r>
            <w:r>
              <w:rPr>
                <w:rFonts w:hint="eastAsia"/>
                <w:bCs/>
              </w:rPr>
              <w:fldChar w:fldCharType="begin"/>
            </w:r>
            <w:r>
              <w:rPr>
                <w:rFonts w:hint="eastAsia"/>
                <w:bCs/>
              </w:rPr>
              <w:instrText xml:space="preserve"> REF _Ref216086075 \h </w:instrText>
            </w:r>
            <w:r>
              <w:rPr>
                <w:rFonts w:hint="eastAsia"/>
                <w:bCs/>
              </w:rPr>
              <w:fldChar w:fldCharType="separate"/>
            </w:r>
            <w:r>
              <w:rPr>
                <w:rFonts w:hint="eastAsia"/>
              </w:rPr>
              <w:t>表24</w:t>
            </w:r>
            <w:r>
              <w:rPr>
                <w:rFonts w:hint="eastAsia"/>
                <w:bCs/>
              </w:rPr>
              <w:fldChar w:fldCharType="end"/>
            </w:r>
            <w:r>
              <w:rPr>
                <w:rFonts w:hint="eastAsia"/>
                <w:bCs/>
              </w:rPr>
              <w:t>。</w:t>
            </w:r>
          </w:p>
          <w:p w14:paraId="184F2F9F">
            <w:pPr>
              <w:adjustRightInd w:val="0"/>
              <w:snapToGrid w:val="0"/>
              <w:spacing w:before="120" w:beforeLines="50" w:line="360" w:lineRule="auto"/>
              <w:jc w:val="center"/>
              <w:rPr>
                <w:rFonts w:hint="eastAsia" w:ascii="宋体" w:hAnsi="宋体"/>
                <w:bCs/>
                <w:szCs w:val="21"/>
              </w:rPr>
            </w:pPr>
            <w:bookmarkStart w:id="37" w:name="_Ref216086075"/>
            <w:r>
              <w:rPr>
                <w:rFonts w:hint="eastAsia" w:ascii="宋体" w:hAnsi="宋体"/>
              </w:rPr>
              <w:t>表</w:t>
            </w:r>
            <w:r>
              <w:rPr>
                <w:rFonts w:ascii="宋体" w:hAnsi="宋体"/>
              </w:rPr>
              <w:fldChar w:fldCharType="begin"/>
            </w:r>
            <w:r>
              <w:rPr>
                <w:rFonts w:ascii="宋体" w:hAnsi="宋体"/>
              </w:rPr>
              <w:instrText xml:space="preserve"> </w:instrText>
            </w:r>
            <w:r>
              <w:rPr>
                <w:rFonts w:hint="eastAsia" w:ascii="宋体" w:hAnsi="宋体"/>
              </w:rPr>
              <w:instrText xml:space="preserve">SEQ 表 \* ARABIC</w:instrText>
            </w:r>
            <w:r>
              <w:rPr>
                <w:rFonts w:ascii="宋体" w:hAnsi="宋体"/>
              </w:rPr>
              <w:instrText xml:space="preserve"> </w:instrText>
            </w:r>
            <w:r>
              <w:rPr>
                <w:rFonts w:ascii="宋体" w:hAnsi="宋体"/>
              </w:rPr>
              <w:fldChar w:fldCharType="separate"/>
            </w:r>
            <w:r>
              <w:rPr>
                <w:rFonts w:hint="eastAsia" w:ascii="宋体" w:hAnsi="宋体"/>
              </w:rPr>
              <w:t>24</w:t>
            </w:r>
            <w:r>
              <w:rPr>
                <w:rFonts w:ascii="宋体" w:hAnsi="宋体"/>
              </w:rPr>
              <w:fldChar w:fldCharType="end"/>
            </w:r>
            <w:bookmarkEnd w:id="37"/>
            <w:r>
              <w:rPr>
                <w:rFonts w:ascii="宋体" w:hAnsi="宋体"/>
              </w:rPr>
              <w:t xml:space="preserve">  </w:t>
            </w:r>
            <w:r>
              <w:rPr>
                <w:rFonts w:hint="eastAsia" w:ascii="宋体" w:hAnsi="宋体"/>
              </w:rPr>
              <w:t>生物质颗粒组分测定</w:t>
            </w:r>
            <w:r>
              <w:rPr>
                <w:rFonts w:hint="eastAsia" w:ascii="宋体" w:hAnsi="宋体"/>
                <w:bCs/>
              </w:rPr>
              <w:t>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6"/>
              <w:gridCol w:w="2623"/>
              <w:gridCol w:w="2624"/>
            </w:tblGrid>
            <w:tr w14:paraId="5739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30E2A03C">
                  <w:pPr>
                    <w:pStyle w:val="112"/>
                    <w:spacing w:line="240" w:lineRule="auto"/>
                    <w:ind w:firstLine="0" w:firstLineChars="0"/>
                    <w:jc w:val="center"/>
                    <w:rPr>
                      <w:rFonts w:hint="eastAsia"/>
                      <w:bCs/>
                    </w:rPr>
                  </w:pPr>
                  <w:r>
                    <w:rPr>
                      <w:rFonts w:hint="eastAsia"/>
                      <w:bCs/>
                    </w:rPr>
                    <w:t>项目</w:t>
                  </w:r>
                </w:p>
              </w:tc>
              <w:tc>
                <w:tcPr>
                  <w:tcW w:w="1666" w:type="pct"/>
                  <w:tcBorders>
                    <w:top w:val="single" w:color="auto" w:sz="4" w:space="0"/>
                    <w:left w:val="single" w:color="auto" w:sz="4" w:space="0"/>
                    <w:bottom w:val="single" w:color="auto" w:sz="4" w:space="0"/>
                    <w:right w:val="single" w:color="auto" w:sz="4" w:space="0"/>
                  </w:tcBorders>
                  <w:vAlign w:val="center"/>
                </w:tcPr>
                <w:p w14:paraId="0129DD7D">
                  <w:pPr>
                    <w:pStyle w:val="112"/>
                    <w:spacing w:line="240" w:lineRule="auto"/>
                    <w:ind w:firstLine="0" w:firstLineChars="0"/>
                    <w:jc w:val="center"/>
                    <w:rPr>
                      <w:rFonts w:hint="eastAsia"/>
                      <w:bCs/>
                    </w:rPr>
                  </w:pPr>
                  <w:r>
                    <w:rPr>
                      <w:rFonts w:hint="eastAsia"/>
                      <w:bCs/>
                    </w:rPr>
                    <w:t>单位</w:t>
                  </w:r>
                </w:p>
              </w:tc>
              <w:tc>
                <w:tcPr>
                  <w:tcW w:w="1666" w:type="pct"/>
                  <w:tcBorders>
                    <w:top w:val="single" w:color="auto" w:sz="4" w:space="0"/>
                    <w:left w:val="single" w:color="auto" w:sz="4" w:space="0"/>
                    <w:bottom w:val="single" w:color="auto" w:sz="4" w:space="0"/>
                    <w:right w:val="single" w:color="auto" w:sz="4" w:space="0"/>
                  </w:tcBorders>
                  <w:vAlign w:val="center"/>
                </w:tcPr>
                <w:p w14:paraId="3E22C706">
                  <w:pPr>
                    <w:pStyle w:val="112"/>
                    <w:spacing w:line="240" w:lineRule="auto"/>
                    <w:ind w:firstLine="0" w:firstLineChars="0"/>
                    <w:jc w:val="center"/>
                    <w:rPr>
                      <w:rFonts w:hint="eastAsia"/>
                      <w:bCs/>
                    </w:rPr>
                  </w:pPr>
                  <w:r>
                    <w:rPr>
                      <w:rFonts w:hint="eastAsia"/>
                      <w:bCs/>
                    </w:rPr>
                    <w:t>检测结果</w:t>
                  </w:r>
                </w:p>
              </w:tc>
            </w:tr>
            <w:tr w14:paraId="1B21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65C61E7B">
                  <w:pPr>
                    <w:pStyle w:val="112"/>
                    <w:spacing w:line="240" w:lineRule="auto"/>
                    <w:ind w:firstLine="0" w:firstLineChars="0"/>
                    <w:jc w:val="center"/>
                    <w:rPr>
                      <w:rFonts w:hint="eastAsia"/>
                      <w:bCs/>
                    </w:rPr>
                  </w:pPr>
                  <w:r>
                    <w:rPr>
                      <w:rFonts w:hint="eastAsia"/>
                      <w:bCs/>
                    </w:rPr>
                    <w:t>收到基全硫</w:t>
                  </w:r>
                </w:p>
              </w:tc>
              <w:tc>
                <w:tcPr>
                  <w:tcW w:w="1666" w:type="pct"/>
                  <w:tcBorders>
                    <w:top w:val="single" w:color="auto" w:sz="4" w:space="0"/>
                    <w:left w:val="single" w:color="auto" w:sz="4" w:space="0"/>
                    <w:bottom w:val="single" w:color="auto" w:sz="4" w:space="0"/>
                    <w:right w:val="single" w:color="auto" w:sz="4" w:space="0"/>
                  </w:tcBorders>
                  <w:vAlign w:val="center"/>
                </w:tcPr>
                <w:p w14:paraId="7C8C4034">
                  <w:pPr>
                    <w:pStyle w:val="112"/>
                    <w:spacing w:line="240" w:lineRule="auto"/>
                    <w:ind w:firstLine="0" w:firstLineChars="0"/>
                    <w:jc w:val="center"/>
                    <w:rPr>
                      <w:rFonts w:hint="eastAsia"/>
                      <w:bCs/>
                    </w:rPr>
                  </w:pPr>
                  <w:r>
                    <w:rPr>
                      <w:rFonts w:hint="eastAsia"/>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2B87FDD5">
                  <w:pPr>
                    <w:pStyle w:val="112"/>
                    <w:spacing w:line="240" w:lineRule="auto"/>
                    <w:ind w:firstLine="0" w:firstLineChars="0"/>
                    <w:jc w:val="center"/>
                    <w:rPr>
                      <w:rFonts w:hint="eastAsia"/>
                      <w:bCs/>
                    </w:rPr>
                  </w:pPr>
                  <w:r>
                    <w:rPr>
                      <w:rFonts w:hint="eastAsia"/>
                      <w:bCs/>
                    </w:rPr>
                    <w:t>0.058</w:t>
                  </w:r>
                </w:p>
              </w:tc>
            </w:tr>
            <w:tr w14:paraId="3354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741483CF">
                  <w:pPr>
                    <w:pStyle w:val="112"/>
                    <w:spacing w:line="240" w:lineRule="auto"/>
                    <w:ind w:firstLine="0" w:firstLineChars="0"/>
                    <w:jc w:val="center"/>
                    <w:rPr>
                      <w:rFonts w:hint="eastAsia"/>
                      <w:bCs/>
                    </w:rPr>
                  </w:pPr>
                  <w:r>
                    <w:rPr>
                      <w:rFonts w:hint="eastAsia"/>
                      <w:bCs/>
                    </w:rPr>
                    <w:t>干基全硫</w:t>
                  </w:r>
                </w:p>
              </w:tc>
              <w:tc>
                <w:tcPr>
                  <w:tcW w:w="1666" w:type="pct"/>
                  <w:tcBorders>
                    <w:top w:val="single" w:color="auto" w:sz="4" w:space="0"/>
                    <w:left w:val="single" w:color="auto" w:sz="4" w:space="0"/>
                    <w:bottom w:val="single" w:color="auto" w:sz="4" w:space="0"/>
                    <w:right w:val="single" w:color="auto" w:sz="4" w:space="0"/>
                  </w:tcBorders>
                  <w:vAlign w:val="center"/>
                </w:tcPr>
                <w:p w14:paraId="521192F6">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073FBD77">
                  <w:pPr>
                    <w:pStyle w:val="112"/>
                    <w:spacing w:line="240" w:lineRule="auto"/>
                    <w:ind w:firstLine="0" w:firstLineChars="0"/>
                    <w:jc w:val="center"/>
                    <w:rPr>
                      <w:rFonts w:hint="eastAsia"/>
                      <w:bCs/>
                    </w:rPr>
                  </w:pPr>
                  <w:r>
                    <w:rPr>
                      <w:rFonts w:hint="eastAsia"/>
                      <w:bCs/>
                    </w:rPr>
                    <w:t>0.060</w:t>
                  </w:r>
                </w:p>
              </w:tc>
            </w:tr>
            <w:tr w14:paraId="0851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3E51B1F4">
                  <w:pPr>
                    <w:pStyle w:val="112"/>
                    <w:spacing w:line="240" w:lineRule="auto"/>
                    <w:ind w:firstLine="0" w:firstLineChars="0"/>
                    <w:jc w:val="center"/>
                    <w:rPr>
                      <w:rFonts w:hint="eastAsia"/>
                      <w:bCs/>
                    </w:rPr>
                  </w:pPr>
                  <w:r>
                    <w:rPr>
                      <w:rFonts w:hint="eastAsia"/>
                      <w:bCs/>
                    </w:rPr>
                    <w:t>空干基灰分</w:t>
                  </w:r>
                </w:p>
              </w:tc>
              <w:tc>
                <w:tcPr>
                  <w:tcW w:w="1666" w:type="pct"/>
                  <w:tcBorders>
                    <w:top w:val="single" w:color="auto" w:sz="4" w:space="0"/>
                    <w:left w:val="single" w:color="auto" w:sz="4" w:space="0"/>
                    <w:bottom w:val="single" w:color="auto" w:sz="4" w:space="0"/>
                    <w:right w:val="single" w:color="auto" w:sz="4" w:space="0"/>
                  </w:tcBorders>
                  <w:vAlign w:val="center"/>
                </w:tcPr>
                <w:p w14:paraId="5F24BF7F">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1FD34D85">
                  <w:pPr>
                    <w:pStyle w:val="112"/>
                    <w:spacing w:line="240" w:lineRule="auto"/>
                    <w:ind w:firstLine="0" w:firstLineChars="0"/>
                    <w:jc w:val="center"/>
                    <w:rPr>
                      <w:rFonts w:hint="eastAsia"/>
                      <w:bCs/>
                    </w:rPr>
                  </w:pPr>
                  <w:r>
                    <w:rPr>
                      <w:rFonts w:hint="eastAsia"/>
                      <w:bCs/>
                    </w:rPr>
                    <w:t>3.19</w:t>
                  </w:r>
                </w:p>
              </w:tc>
            </w:tr>
            <w:tr w14:paraId="1410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40836EB3">
                  <w:pPr>
                    <w:pStyle w:val="112"/>
                    <w:spacing w:line="240" w:lineRule="auto"/>
                    <w:ind w:firstLine="0" w:firstLineChars="0"/>
                    <w:jc w:val="center"/>
                    <w:rPr>
                      <w:rFonts w:hint="eastAsia"/>
                      <w:bCs/>
                    </w:rPr>
                  </w:pPr>
                  <w:r>
                    <w:rPr>
                      <w:rFonts w:hint="eastAsia"/>
                      <w:bCs/>
                    </w:rPr>
                    <w:t>干基灰分</w:t>
                  </w:r>
                </w:p>
              </w:tc>
              <w:tc>
                <w:tcPr>
                  <w:tcW w:w="1666" w:type="pct"/>
                  <w:tcBorders>
                    <w:top w:val="single" w:color="auto" w:sz="4" w:space="0"/>
                    <w:left w:val="single" w:color="auto" w:sz="4" w:space="0"/>
                    <w:bottom w:val="single" w:color="auto" w:sz="4" w:space="0"/>
                    <w:right w:val="single" w:color="auto" w:sz="4" w:space="0"/>
                  </w:tcBorders>
                  <w:vAlign w:val="center"/>
                </w:tcPr>
                <w:p w14:paraId="0D3A9B9A">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1C701CDE">
                  <w:pPr>
                    <w:pStyle w:val="112"/>
                    <w:spacing w:line="240" w:lineRule="auto"/>
                    <w:ind w:firstLine="0" w:firstLineChars="0"/>
                    <w:jc w:val="center"/>
                    <w:rPr>
                      <w:rFonts w:hint="eastAsia"/>
                      <w:bCs/>
                    </w:rPr>
                  </w:pPr>
                  <w:r>
                    <w:rPr>
                      <w:rFonts w:hint="eastAsia"/>
                      <w:bCs/>
                    </w:rPr>
                    <w:t>3.29</w:t>
                  </w:r>
                </w:p>
              </w:tc>
            </w:tr>
            <w:tr w14:paraId="7D5A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4C9F7644">
                  <w:pPr>
                    <w:pStyle w:val="112"/>
                    <w:spacing w:line="240" w:lineRule="auto"/>
                    <w:ind w:firstLine="0" w:firstLineChars="0"/>
                    <w:jc w:val="center"/>
                    <w:rPr>
                      <w:rFonts w:hint="eastAsia"/>
                      <w:bCs/>
                    </w:rPr>
                  </w:pPr>
                  <w:r>
                    <w:rPr>
                      <w:rFonts w:hint="eastAsia"/>
                      <w:bCs/>
                    </w:rPr>
                    <w:t>空干基挥发分</w:t>
                  </w:r>
                </w:p>
              </w:tc>
              <w:tc>
                <w:tcPr>
                  <w:tcW w:w="1666" w:type="pct"/>
                  <w:tcBorders>
                    <w:top w:val="single" w:color="auto" w:sz="4" w:space="0"/>
                    <w:left w:val="single" w:color="auto" w:sz="4" w:space="0"/>
                    <w:bottom w:val="single" w:color="auto" w:sz="4" w:space="0"/>
                    <w:right w:val="single" w:color="auto" w:sz="4" w:space="0"/>
                  </w:tcBorders>
                  <w:vAlign w:val="center"/>
                </w:tcPr>
                <w:p w14:paraId="1C88FD26">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4E646A9A">
                  <w:pPr>
                    <w:pStyle w:val="112"/>
                    <w:spacing w:line="240" w:lineRule="auto"/>
                    <w:ind w:firstLine="0" w:firstLineChars="0"/>
                    <w:jc w:val="center"/>
                    <w:rPr>
                      <w:rFonts w:hint="eastAsia"/>
                      <w:bCs/>
                    </w:rPr>
                  </w:pPr>
                  <w:r>
                    <w:rPr>
                      <w:rFonts w:hint="eastAsia"/>
                      <w:bCs/>
                    </w:rPr>
                    <w:t>76.24</w:t>
                  </w:r>
                </w:p>
              </w:tc>
            </w:tr>
            <w:tr w14:paraId="6BEA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14118614">
                  <w:pPr>
                    <w:pStyle w:val="112"/>
                    <w:spacing w:line="240" w:lineRule="auto"/>
                    <w:ind w:firstLine="0" w:firstLineChars="0"/>
                    <w:jc w:val="center"/>
                    <w:rPr>
                      <w:rFonts w:hint="eastAsia"/>
                      <w:bCs/>
                    </w:rPr>
                  </w:pPr>
                  <w:r>
                    <w:rPr>
                      <w:rFonts w:hint="eastAsia"/>
                      <w:bCs/>
                    </w:rPr>
                    <w:t>干燥无灰基挥发分</w:t>
                  </w:r>
                </w:p>
              </w:tc>
              <w:tc>
                <w:tcPr>
                  <w:tcW w:w="1666" w:type="pct"/>
                  <w:tcBorders>
                    <w:top w:val="single" w:color="auto" w:sz="4" w:space="0"/>
                    <w:left w:val="single" w:color="auto" w:sz="4" w:space="0"/>
                    <w:bottom w:val="single" w:color="auto" w:sz="4" w:space="0"/>
                    <w:right w:val="single" w:color="auto" w:sz="4" w:space="0"/>
                  </w:tcBorders>
                  <w:vAlign w:val="center"/>
                </w:tcPr>
                <w:p w14:paraId="7F516FB9">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723810D4">
                  <w:pPr>
                    <w:pStyle w:val="112"/>
                    <w:spacing w:line="240" w:lineRule="auto"/>
                    <w:ind w:firstLine="0" w:firstLineChars="0"/>
                    <w:jc w:val="center"/>
                    <w:rPr>
                      <w:rFonts w:hint="eastAsia"/>
                      <w:bCs/>
                    </w:rPr>
                  </w:pPr>
                  <w:r>
                    <w:rPr>
                      <w:rFonts w:hint="eastAsia"/>
                      <w:bCs/>
                    </w:rPr>
                    <w:t>81.47</w:t>
                  </w:r>
                </w:p>
              </w:tc>
            </w:tr>
            <w:tr w14:paraId="0B20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1E96F7AF">
                  <w:pPr>
                    <w:pStyle w:val="112"/>
                    <w:spacing w:line="240" w:lineRule="auto"/>
                    <w:ind w:firstLine="0" w:firstLineChars="0"/>
                    <w:jc w:val="center"/>
                    <w:rPr>
                      <w:rFonts w:hint="eastAsia"/>
                      <w:bCs/>
                    </w:rPr>
                  </w:pPr>
                  <w:r>
                    <w:rPr>
                      <w:rFonts w:hint="eastAsia"/>
                      <w:bCs/>
                    </w:rPr>
                    <w:t>空干基固定碳</w:t>
                  </w:r>
                </w:p>
              </w:tc>
              <w:tc>
                <w:tcPr>
                  <w:tcW w:w="1666" w:type="pct"/>
                  <w:tcBorders>
                    <w:top w:val="single" w:color="auto" w:sz="4" w:space="0"/>
                    <w:left w:val="single" w:color="auto" w:sz="4" w:space="0"/>
                    <w:bottom w:val="single" w:color="auto" w:sz="4" w:space="0"/>
                    <w:right w:val="single" w:color="auto" w:sz="4" w:space="0"/>
                  </w:tcBorders>
                  <w:vAlign w:val="center"/>
                </w:tcPr>
                <w:p w14:paraId="20A8B158">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02A83C5D">
                  <w:pPr>
                    <w:pStyle w:val="112"/>
                    <w:spacing w:line="240" w:lineRule="auto"/>
                    <w:ind w:firstLine="0" w:firstLineChars="0"/>
                    <w:jc w:val="center"/>
                    <w:rPr>
                      <w:rFonts w:hint="eastAsia"/>
                      <w:bCs/>
                    </w:rPr>
                  </w:pPr>
                  <w:r>
                    <w:rPr>
                      <w:rFonts w:hint="eastAsia"/>
                      <w:bCs/>
                    </w:rPr>
                    <w:t>17.34</w:t>
                  </w:r>
                </w:p>
              </w:tc>
            </w:tr>
            <w:tr w14:paraId="5E50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747084FF">
                  <w:pPr>
                    <w:pStyle w:val="112"/>
                    <w:spacing w:line="240" w:lineRule="auto"/>
                    <w:ind w:firstLine="0" w:firstLineChars="0"/>
                    <w:jc w:val="center"/>
                    <w:rPr>
                      <w:rFonts w:hint="eastAsia"/>
                      <w:bCs/>
                    </w:rPr>
                  </w:pPr>
                  <w:r>
                    <w:rPr>
                      <w:rFonts w:hint="eastAsia"/>
                      <w:bCs/>
                    </w:rPr>
                    <w:t>干基固定碳</w:t>
                  </w:r>
                </w:p>
              </w:tc>
              <w:tc>
                <w:tcPr>
                  <w:tcW w:w="1666" w:type="pct"/>
                  <w:tcBorders>
                    <w:top w:val="single" w:color="auto" w:sz="4" w:space="0"/>
                    <w:left w:val="single" w:color="auto" w:sz="4" w:space="0"/>
                    <w:bottom w:val="single" w:color="auto" w:sz="4" w:space="0"/>
                    <w:right w:val="single" w:color="auto" w:sz="4" w:space="0"/>
                  </w:tcBorders>
                  <w:vAlign w:val="center"/>
                </w:tcPr>
                <w:p w14:paraId="1BAB2510">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0FB999E0">
                  <w:pPr>
                    <w:pStyle w:val="112"/>
                    <w:spacing w:line="240" w:lineRule="auto"/>
                    <w:ind w:firstLine="0" w:firstLineChars="0"/>
                    <w:jc w:val="center"/>
                    <w:rPr>
                      <w:rFonts w:hint="eastAsia"/>
                      <w:bCs/>
                    </w:rPr>
                  </w:pPr>
                  <w:r>
                    <w:rPr>
                      <w:rFonts w:hint="eastAsia"/>
                      <w:bCs/>
                    </w:rPr>
                    <w:t>17.92</w:t>
                  </w:r>
                </w:p>
              </w:tc>
            </w:tr>
            <w:tr w14:paraId="4911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6206CC3B">
                  <w:pPr>
                    <w:pStyle w:val="112"/>
                    <w:spacing w:line="240" w:lineRule="auto"/>
                    <w:ind w:firstLine="0" w:firstLineChars="0"/>
                    <w:jc w:val="center"/>
                    <w:rPr>
                      <w:rFonts w:hint="eastAsia"/>
                      <w:bCs/>
                    </w:rPr>
                  </w:pPr>
                  <w:r>
                    <w:rPr>
                      <w:rFonts w:hint="eastAsia"/>
                      <w:bCs/>
                    </w:rPr>
                    <w:t>全水</w:t>
                  </w:r>
                </w:p>
              </w:tc>
              <w:tc>
                <w:tcPr>
                  <w:tcW w:w="1666" w:type="pct"/>
                  <w:tcBorders>
                    <w:top w:val="single" w:color="auto" w:sz="4" w:space="0"/>
                    <w:left w:val="single" w:color="auto" w:sz="4" w:space="0"/>
                    <w:bottom w:val="single" w:color="auto" w:sz="4" w:space="0"/>
                    <w:right w:val="single" w:color="auto" w:sz="4" w:space="0"/>
                  </w:tcBorders>
                  <w:vAlign w:val="center"/>
                </w:tcPr>
                <w:p w14:paraId="39D5E939">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5E60F7DD">
                  <w:pPr>
                    <w:pStyle w:val="112"/>
                    <w:spacing w:line="240" w:lineRule="auto"/>
                    <w:ind w:firstLine="0" w:firstLineChars="0"/>
                    <w:jc w:val="center"/>
                    <w:rPr>
                      <w:rFonts w:hint="eastAsia"/>
                      <w:bCs/>
                    </w:rPr>
                  </w:pPr>
                  <w:r>
                    <w:rPr>
                      <w:rFonts w:hint="eastAsia"/>
                      <w:bCs/>
                    </w:rPr>
                    <w:t>4.05</w:t>
                  </w:r>
                </w:p>
              </w:tc>
            </w:tr>
            <w:tr w14:paraId="4B16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469BC999">
                  <w:pPr>
                    <w:pStyle w:val="112"/>
                    <w:spacing w:line="240" w:lineRule="auto"/>
                    <w:ind w:firstLine="0" w:firstLineChars="0"/>
                    <w:jc w:val="center"/>
                    <w:rPr>
                      <w:rFonts w:hint="eastAsia"/>
                      <w:bCs/>
                    </w:rPr>
                  </w:pPr>
                  <w:r>
                    <w:rPr>
                      <w:rFonts w:hint="eastAsia"/>
                      <w:bCs/>
                    </w:rPr>
                    <w:t>空气干燥基水分</w:t>
                  </w:r>
                </w:p>
              </w:tc>
              <w:tc>
                <w:tcPr>
                  <w:tcW w:w="1666" w:type="pct"/>
                  <w:tcBorders>
                    <w:top w:val="single" w:color="auto" w:sz="4" w:space="0"/>
                    <w:left w:val="single" w:color="auto" w:sz="4" w:space="0"/>
                    <w:bottom w:val="single" w:color="auto" w:sz="4" w:space="0"/>
                    <w:right w:val="single" w:color="auto" w:sz="4" w:space="0"/>
                  </w:tcBorders>
                  <w:vAlign w:val="center"/>
                </w:tcPr>
                <w:p w14:paraId="6191DB7B">
                  <w:pPr>
                    <w:adjustRightInd w:val="0"/>
                    <w:snapToGrid w:val="0"/>
                    <w:jc w:val="center"/>
                    <w:rPr>
                      <w:rFonts w:hint="eastAsia" w:ascii="宋体" w:hAnsi="宋体"/>
                    </w:rPr>
                  </w:pPr>
                  <w:r>
                    <w:rPr>
                      <w:rFonts w:hint="eastAsia" w:ascii="宋体" w:hAnsi="宋体"/>
                      <w:bCs/>
                    </w:rPr>
                    <w:t>%</w:t>
                  </w:r>
                </w:p>
              </w:tc>
              <w:tc>
                <w:tcPr>
                  <w:tcW w:w="1666" w:type="pct"/>
                  <w:tcBorders>
                    <w:top w:val="single" w:color="auto" w:sz="4" w:space="0"/>
                    <w:left w:val="single" w:color="auto" w:sz="4" w:space="0"/>
                    <w:bottom w:val="single" w:color="auto" w:sz="4" w:space="0"/>
                    <w:right w:val="single" w:color="auto" w:sz="4" w:space="0"/>
                  </w:tcBorders>
                  <w:vAlign w:val="center"/>
                </w:tcPr>
                <w:p w14:paraId="339DE2EA">
                  <w:pPr>
                    <w:pStyle w:val="112"/>
                    <w:spacing w:line="240" w:lineRule="auto"/>
                    <w:ind w:firstLine="0" w:firstLineChars="0"/>
                    <w:jc w:val="center"/>
                    <w:rPr>
                      <w:rFonts w:hint="eastAsia"/>
                      <w:bCs/>
                    </w:rPr>
                  </w:pPr>
                  <w:r>
                    <w:rPr>
                      <w:rFonts w:hint="eastAsia"/>
                      <w:bCs/>
                    </w:rPr>
                    <w:t>3.23</w:t>
                  </w:r>
                </w:p>
              </w:tc>
            </w:tr>
            <w:tr w14:paraId="108E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49A99277">
                  <w:pPr>
                    <w:pStyle w:val="112"/>
                    <w:spacing w:line="240" w:lineRule="auto"/>
                    <w:ind w:firstLine="0" w:firstLineChars="0"/>
                    <w:jc w:val="center"/>
                    <w:rPr>
                      <w:rFonts w:hint="eastAsia"/>
                      <w:bCs/>
                    </w:rPr>
                  </w:pPr>
                  <w:r>
                    <w:rPr>
                      <w:rFonts w:hint="eastAsia"/>
                      <w:bCs/>
                    </w:rPr>
                    <w:t>焦渣特征</w:t>
                  </w:r>
                </w:p>
              </w:tc>
              <w:tc>
                <w:tcPr>
                  <w:tcW w:w="1666" w:type="pct"/>
                  <w:tcBorders>
                    <w:top w:val="single" w:color="auto" w:sz="4" w:space="0"/>
                    <w:left w:val="single" w:color="auto" w:sz="4" w:space="0"/>
                    <w:bottom w:val="single" w:color="auto" w:sz="4" w:space="0"/>
                    <w:right w:val="single" w:color="auto" w:sz="4" w:space="0"/>
                  </w:tcBorders>
                  <w:vAlign w:val="center"/>
                </w:tcPr>
                <w:p w14:paraId="0964C00B">
                  <w:pPr>
                    <w:pStyle w:val="112"/>
                    <w:spacing w:line="240" w:lineRule="auto"/>
                    <w:ind w:firstLine="0" w:firstLineChars="0"/>
                    <w:jc w:val="center"/>
                    <w:rPr>
                      <w:rFonts w:hint="eastAsia"/>
                      <w:bCs/>
                    </w:rPr>
                  </w:pPr>
                  <w:r>
                    <w:rPr>
                      <w:rFonts w:hint="eastAsia"/>
                      <w:bCs/>
                    </w:rPr>
                    <w:t>1-8</w:t>
                  </w:r>
                </w:p>
              </w:tc>
              <w:tc>
                <w:tcPr>
                  <w:tcW w:w="1666" w:type="pct"/>
                  <w:tcBorders>
                    <w:top w:val="single" w:color="auto" w:sz="4" w:space="0"/>
                    <w:left w:val="single" w:color="auto" w:sz="4" w:space="0"/>
                    <w:bottom w:val="single" w:color="auto" w:sz="4" w:space="0"/>
                    <w:right w:val="single" w:color="auto" w:sz="4" w:space="0"/>
                  </w:tcBorders>
                  <w:vAlign w:val="center"/>
                </w:tcPr>
                <w:p w14:paraId="79280D2E">
                  <w:pPr>
                    <w:pStyle w:val="112"/>
                    <w:spacing w:line="240" w:lineRule="auto"/>
                    <w:ind w:firstLine="0" w:firstLineChars="0"/>
                    <w:jc w:val="center"/>
                    <w:rPr>
                      <w:rFonts w:hint="eastAsia"/>
                      <w:bCs/>
                    </w:rPr>
                  </w:pPr>
                  <w:r>
                    <w:rPr>
                      <w:rFonts w:hint="eastAsia"/>
                      <w:bCs/>
                    </w:rPr>
                    <w:t>2</w:t>
                  </w:r>
                </w:p>
              </w:tc>
            </w:tr>
            <w:tr w14:paraId="2884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4A4A0BF5">
                  <w:pPr>
                    <w:pStyle w:val="112"/>
                    <w:spacing w:line="240" w:lineRule="auto"/>
                    <w:ind w:firstLine="0" w:firstLineChars="0"/>
                    <w:jc w:val="center"/>
                    <w:rPr>
                      <w:rFonts w:hint="eastAsia"/>
                      <w:bCs/>
                    </w:rPr>
                  </w:pPr>
                  <w:r>
                    <w:rPr>
                      <w:rFonts w:hint="eastAsia"/>
                      <w:bCs/>
                    </w:rPr>
                    <w:t>收到基低位热量</w:t>
                  </w:r>
                </w:p>
              </w:tc>
              <w:tc>
                <w:tcPr>
                  <w:tcW w:w="1666" w:type="pct"/>
                  <w:tcBorders>
                    <w:top w:val="single" w:color="auto" w:sz="4" w:space="0"/>
                    <w:left w:val="single" w:color="auto" w:sz="4" w:space="0"/>
                    <w:bottom w:val="single" w:color="auto" w:sz="4" w:space="0"/>
                    <w:right w:val="single" w:color="auto" w:sz="4" w:space="0"/>
                  </w:tcBorders>
                  <w:vAlign w:val="center"/>
                </w:tcPr>
                <w:p w14:paraId="15B9A174">
                  <w:pPr>
                    <w:pStyle w:val="112"/>
                    <w:spacing w:line="240" w:lineRule="auto"/>
                    <w:ind w:firstLine="0" w:firstLineChars="0"/>
                    <w:jc w:val="center"/>
                    <w:rPr>
                      <w:rFonts w:hint="eastAsia"/>
                      <w:bCs/>
                    </w:rPr>
                  </w:pPr>
                  <w:r>
                    <w:rPr>
                      <w:rFonts w:hint="eastAsia"/>
                      <w:bCs/>
                    </w:rPr>
                    <w:t>Kcal/kg</w:t>
                  </w:r>
                </w:p>
              </w:tc>
              <w:tc>
                <w:tcPr>
                  <w:tcW w:w="1666" w:type="pct"/>
                  <w:tcBorders>
                    <w:top w:val="single" w:color="auto" w:sz="4" w:space="0"/>
                    <w:left w:val="single" w:color="auto" w:sz="4" w:space="0"/>
                    <w:bottom w:val="single" w:color="auto" w:sz="4" w:space="0"/>
                    <w:right w:val="single" w:color="auto" w:sz="4" w:space="0"/>
                  </w:tcBorders>
                  <w:vAlign w:val="center"/>
                </w:tcPr>
                <w:p w14:paraId="0D73A4C1">
                  <w:pPr>
                    <w:pStyle w:val="112"/>
                    <w:spacing w:line="240" w:lineRule="auto"/>
                    <w:ind w:firstLine="0" w:firstLineChars="0"/>
                    <w:jc w:val="center"/>
                    <w:rPr>
                      <w:rFonts w:hint="eastAsia"/>
                      <w:bCs/>
                    </w:rPr>
                  </w:pPr>
                  <w:r>
                    <w:rPr>
                      <w:rFonts w:hint="eastAsia"/>
                      <w:bCs/>
                    </w:rPr>
                    <w:t>4185</w:t>
                  </w:r>
                </w:p>
              </w:tc>
            </w:tr>
            <w:tr w14:paraId="671B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71436A77">
                  <w:pPr>
                    <w:pStyle w:val="112"/>
                    <w:spacing w:line="240" w:lineRule="auto"/>
                    <w:ind w:firstLine="0" w:firstLineChars="0"/>
                    <w:jc w:val="center"/>
                    <w:rPr>
                      <w:rFonts w:hint="eastAsia"/>
                      <w:bCs/>
                    </w:rPr>
                  </w:pPr>
                  <w:r>
                    <w:rPr>
                      <w:rFonts w:hint="eastAsia"/>
                      <w:bCs/>
                    </w:rPr>
                    <w:t>收到基高位热量</w:t>
                  </w:r>
                </w:p>
              </w:tc>
              <w:tc>
                <w:tcPr>
                  <w:tcW w:w="1666" w:type="pct"/>
                  <w:tcBorders>
                    <w:top w:val="single" w:color="auto" w:sz="4" w:space="0"/>
                    <w:left w:val="single" w:color="auto" w:sz="4" w:space="0"/>
                    <w:bottom w:val="single" w:color="auto" w:sz="4" w:space="0"/>
                    <w:right w:val="single" w:color="auto" w:sz="4" w:space="0"/>
                  </w:tcBorders>
                  <w:vAlign w:val="center"/>
                </w:tcPr>
                <w:p w14:paraId="425859C1">
                  <w:pPr>
                    <w:pStyle w:val="112"/>
                    <w:spacing w:line="240" w:lineRule="auto"/>
                    <w:ind w:firstLine="0" w:firstLineChars="0"/>
                    <w:jc w:val="center"/>
                    <w:rPr>
                      <w:rFonts w:hint="eastAsia"/>
                      <w:bCs/>
                    </w:rPr>
                  </w:pPr>
                  <w:r>
                    <w:rPr>
                      <w:rFonts w:hint="eastAsia"/>
                      <w:bCs/>
                    </w:rPr>
                    <w:t>Kcal/kg</w:t>
                  </w:r>
                </w:p>
              </w:tc>
              <w:tc>
                <w:tcPr>
                  <w:tcW w:w="1666" w:type="pct"/>
                  <w:tcBorders>
                    <w:top w:val="single" w:color="auto" w:sz="4" w:space="0"/>
                    <w:left w:val="single" w:color="auto" w:sz="4" w:space="0"/>
                    <w:bottom w:val="single" w:color="auto" w:sz="4" w:space="0"/>
                    <w:right w:val="single" w:color="auto" w:sz="4" w:space="0"/>
                  </w:tcBorders>
                  <w:vAlign w:val="center"/>
                </w:tcPr>
                <w:p w14:paraId="52782B23">
                  <w:pPr>
                    <w:pStyle w:val="112"/>
                    <w:spacing w:line="240" w:lineRule="auto"/>
                    <w:ind w:firstLine="0" w:firstLineChars="0"/>
                    <w:jc w:val="center"/>
                    <w:rPr>
                      <w:rFonts w:hint="eastAsia"/>
                      <w:bCs/>
                    </w:rPr>
                  </w:pPr>
                  <w:r>
                    <w:rPr>
                      <w:rFonts w:hint="eastAsia"/>
                      <w:bCs/>
                    </w:rPr>
                    <w:t>4257</w:t>
                  </w:r>
                </w:p>
              </w:tc>
            </w:tr>
            <w:tr w14:paraId="4678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4" w:space="0"/>
                  </w:tcBorders>
                  <w:vAlign w:val="center"/>
                </w:tcPr>
                <w:p w14:paraId="2D7D32D6">
                  <w:pPr>
                    <w:pStyle w:val="112"/>
                    <w:spacing w:line="240" w:lineRule="auto"/>
                    <w:ind w:firstLine="0" w:firstLineChars="0"/>
                    <w:jc w:val="center"/>
                    <w:rPr>
                      <w:rFonts w:hint="eastAsia"/>
                      <w:bCs/>
                    </w:rPr>
                  </w:pPr>
                  <w:r>
                    <w:rPr>
                      <w:rFonts w:hint="eastAsia"/>
                      <w:bCs/>
                    </w:rPr>
                    <w:t>空干基高位热量</w:t>
                  </w:r>
                </w:p>
              </w:tc>
              <w:tc>
                <w:tcPr>
                  <w:tcW w:w="1666" w:type="pct"/>
                  <w:tcBorders>
                    <w:top w:val="single" w:color="auto" w:sz="4" w:space="0"/>
                    <w:left w:val="single" w:color="auto" w:sz="4" w:space="0"/>
                    <w:bottom w:val="single" w:color="auto" w:sz="4" w:space="0"/>
                    <w:right w:val="single" w:color="auto" w:sz="4" w:space="0"/>
                  </w:tcBorders>
                  <w:vAlign w:val="center"/>
                </w:tcPr>
                <w:p w14:paraId="37140E2A">
                  <w:pPr>
                    <w:pStyle w:val="112"/>
                    <w:spacing w:line="240" w:lineRule="auto"/>
                    <w:ind w:firstLine="0" w:firstLineChars="0"/>
                    <w:jc w:val="center"/>
                    <w:rPr>
                      <w:rFonts w:hint="eastAsia"/>
                      <w:bCs/>
                    </w:rPr>
                  </w:pPr>
                  <w:r>
                    <w:rPr>
                      <w:rFonts w:hint="eastAsia"/>
                      <w:bCs/>
                    </w:rPr>
                    <w:t>Kcal/kg</w:t>
                  </w:r>
                </w:p>
              </w:tc>
              <w:tc>
                <w:tcPr>
                  <w:tcW w:w="1666" w:type="pct"/>
                  <w:tcBorders>
                    <w:top w:val="single" w:color="auto" w:sz="4" w:space="0"/>
                    <w:left w:val="single" w:color="auto" w:sz="4" w:space="0"/>
                    <w:bottom w:val="single" w:color="auto" w:sz="4" w:space="0"/>
                    <w:right w:val="single" w:color="auto" w:sz="4" w:space="0"/>
                  </w:tcBorders>
                  <w:vAlign w:val="center"/>
                </w:tcPr>
                <w:p w14:paraId="1770339B">
                  <w:pPr>
                    <w:pStyle w:val="112"/>
                    <w:spacing w:line="240" w:lineRule="auto"/>
                    <w:ind w:firstLine="0" w:firstLineChars="0"/>
                    <w:jc w:val="center"/>
                    <w:rPr>
                      <w:rFonts w:hint="eastAsia"/>
                      <w:bCs/>
                    </w:rPr>
                  </w:pPr>
                  <w:r>
                    <w:rPr>
                      <w:rFonts w:hint="eastAsia"/>
                      <w:bCs/>
                    </w:rPr>
                    <w:t>4473</w:t>
                  </w:r>
                </w:p>
              </w:tc>
            </w:tr>
          </w:tbl>
          <w:p w14:paraId="19BA0B70">
            <w:pPr>
              <w:pStyle w:val="113"/>
              <w:rPr>
                <w:rFonts w:hint="eastAsia"/>
                <w:bCs/>
              </w:rPr>
            </w:pPr>
          </w:p>
          <w:p w14:paraId="115596D1">
            <w:pPr>
              <w:pStyle w:val="113"/>
              <w:rPr>
                <w:rFonts w:hint="eastAsia"/>
                <w:bCs/>
                <w:szCs w:val="21"/>
              </w:rPr>
            </w:pPr>
            <w:r>
              <w:rPr>
                <w:rFonts w:hint="eastAsia"/>
                <w:bCs/>
              </w:rPr>
              <w:t>本项目锅炉工作时间为24h/d，冬季施工期约为90d；根据锅炉厂家提供数据，本项目冬季生物质冬防锅炉90d生物质消耗量为540t，脱硫氢氧化钙消耗量为0.7t，SNCR炉内脱硝尿素消耗量为6.5t。</w:t>
            </w:r>
          </w:p>
          <w:p w14:paraId="1B877C36">
            <w:pPr>
              <w:pStyle w:val="113"/>
              <w:rPr>
                <w:rFonts w:hint="eastAsia"/>
                <w:bCs/>
                <w:szCs w:val="21"/>
              </w:rPr>
            </w:pPr>
            <w:r>
              <w:rPr>
                <w:bCs/>
                <w:szCs w:val="21"/>
              </w:rPr>
              <w:t>5</w:t>
            </w:r>
            <w:r>
              <w:rPr>
                <w:rFonts w:hint="eastAsia"/>
                <w:bCs/>
                <w:szCs w:val="21"/>
              </w:rPr>
              <w:t>）消防工程</w:t>
            </w:r>
          </w:p>
          <w:p w14:paraId="37B4E482">
            <w:pPr>
              <w:pStyle w:val="113"/>
              <w:rPr>
                <w:rFonts w:hint="eastAsia"/>
              </w:rPr>
            </w:pPr>
            <w:r>
              <w:rPr>
                <w:rFonts w:hint="eastAsia"/>
                <w:bCs/>
                <w:szCs w:val="21"/>
              </w:rPr>
              <w:t>本项目</w:t>
            </w:r>
            <w:r>
              <w:rPr>
                <w:bCs/>
                <w:szCs w:val="21"/>
              </w:rPr>
              <w:t>井场</w:t>
            </w:r>
            <w:r>
              <w:rPr>
                <w:rFonts w:hint="eastAsia"/>
                <w:bCs/>
                <w:szCs w:val="21"/>
              </w:rPr>
              <w:t>内设置灭火器等</w:t>
            </w:r>
            <w:r>
              <w:rPr>
                <w:bCs/>
                <w:szCs w:val="21"/>
              </w:rPr>
              <w:t>消防设施</w:t>
            </w:r>
            <w:r>
              <w:rPr>
                <w:rFonts w:hint="eastAsia"/>
                <w:bCs/>
                <w:szCs w:val="21"/>
              </w:rPr>
              <w:t>。</w:t>
            </w:r>
          </w:p>
          <w:p w14:paraId="31AF0E3E">
            <w:pPr>
              <w:pStyle w:val="113"/>
              <w:rPr>
                <w:rFonts w:hint="eastAsia"/>
                <w:szCs w:val="21"/>
              </w:rPr>
            </w:pPr>
            <w:r>
              <w:t>5</w:t>
            </w:r>
            <w:r>
              <w:rPr>
                <w:rFonts w:hint="eastAsia"/>
              </w:rPr>
              <w:t>、辅助工程</w:t>
            </w:r>
          </w:p>
          <w:p w14:paraId="23C23126">
            <w:pPr>
              <w:pStyle w:val="113"/>
              <w:rPr>
                <w:rFonts w:hint="eastAsia"/>
              </w:rPr>
            </w:pPr>
            <w:r>
              <w:rPr>
                <w:rFonts w:hint="eastAsia"/>
              </w:rPr>
              <w:t>1）生活区</w:t>
            </w:r>
          </w:p>
          <w:p w14:paraId="6BE4435D">
            <w:pPr>
              <w:pStyle w:val="113"/>
              <w:rPr>
                <w:rFonts w:hint="eastAsia"/>
              </w:rPr>
            </w:pPr>
            <w:r>
              <w:rPr>
                <w:rFonts w:hint="eastAsia"/>
              </w:rPr>
              <w:t>本项目设置生活区1处，生活区内设值班房、办公室等，长50m，宽40m，占地20</w:t>
            </w:r>
            <w:r>
              <w:t>00</w:t>
            </w:r>
            <w:r>
              <w:rPr>
                <w:rFonts w:hint="eastAsia"/>
              </w:rPr>
              <w:t>m</w:t>
            </w:r>
            <w:r>
              <w:rPr>
                <w:rFonts w:hint="eastAsia"/>
                <w:vertAlign w:val="superscript"/>
              </w:rPr>
              <w:t>2</w:t>
            </w:r>
            <w:r>
              <w:rPr>
                <w:rFonts w:hint="eastAsia"/>
              </w:rPr>
              <w:t>。</w:t>
            </w:r>
          </w:p>
          <w:p w14:paraId="2EF92858">
            <w:pPr>
              <w:pStyle w:val="113"/>
              <w:rPr>
                <w:rFonts w:hint="eastAsia"/>
              </w:rPr>
            </w:pPr>
            <w:r>
              <w:rPr>
                <w:rFonts w:hint="eastAsia"/>
              </w:rPr>
              <w:t>2）简易道路</w:t>
            </w:r>
          </w:p>
          <w:p w14:paraId="278D7EA1">
            <w:pPr>
              <w:pStyle w:val="113"/>
              <w:rPr>
                <w:rFonts w:hint="eastAsia"/>
              </w:rPr>
            </w:pPr>
            <w:r>
              <w:rPr>
                <w:rFonts w:hint="eastAsia"/>
              </w:rPr>
              <w:t>新建路宽约7m通井道路，长约4000m，占地面积约为28000m</w:t>
            </w:r>
            <w:r>
              <w:rPr>
                <w:rFonts w:hint="eastAsia"/>
                <w:vertAlign w:val="superscript"/>
              </w:rPr>
              <w:t>2</w:t>
            </w:r>
            <w:r>
              <w:rPr>
                <w:rFonts w:hint="eastAsia"/>
              </w:rPr>
              <w:t>。</w:t>
            </w:r>
          </w:p>
          <w:p w14:paraId="7A3FA4FA">
            <w:pPr>
              <w:pStyle w:val="113"/>
              <w:rPr>
                <w:rFonts w:hint="eastAsia"/>
                <w:bCs/>
              </w:rPr>
            </w:pPr>
            <w:r>
              <w:rPr>
                <w:rFonts w:hint="eastAsia"/>
                <w:bCs/>
              </w:rPr>
              <w:t>6、环保工程</w:t>
            </w:r>
          </w:p>
          <w:p w14:paraId="76A8F763">
            <w:pPr>
              <w:pStyle w:val="113"/>
              <w:rPr>
                <w:rFonts w:hint="eastAsia"/>
                <w:bCs/>
              </w:rPr>
            </w:pPr>
            <w:r>
              <w:rPr>
                <w:rFonts w:hint="eastAsia"/>
                <w:bCs/>
              </w:rPr>
              <w:t>1）废气</w:t>
            </w:r>
          </w:p>
          <w:p w14:paraId="4B2798CF">
            <w:pPr>
              <w:pStyle w:val="113"/>
              <w:rPr>
                <w:rFonts w:hint="eastAsia"/>
                <w:bCs/>
              </w:rPr>
            </w:pPr>
            <w:r>
              <w:rPr>
                <w:rFonts w:hint="eastAsia"/>
                <w:bCs/>
              </w:rPr>
              <w:t>（1）施工扬尘：施工现场和道路采取洒水措施、施工现场周围采取围挡措施、物料集中堆放并采取遮盖等措施；车辆不要装载过满并采取密闭或者遮盖措施；避免大风天气施工。</w:t>
            </w:r>
          </w:p>
          <w:p w14:paraId="491E232D">
            <w:pPr>
              <w:pStyle w:val="113"/>
              <w:rPr>
                <w:rFonts w:hint="eastAsia"/>
                <w:bCs/>
              </w:rPr>
            </w:pPr>
            <w:r>
              <w:rPr>
                <w:rFonts w:hint="eastAsia"/>
                <w:bCs/>
              </w:rPr>
              <w:t>（2）钻井柴油机尾气：采用环保型设备，选用优质柴油；加强柴油罐密闭性。</w:t>
            </w:r>
          </w:p>
          <w:p w14:paraId="2438575B">
            <w:pPr>
              <w:pStyle w:val="113"/>
              <w:rPr>
                <w:rFonts w:hint="eastAsia"/>
                <w:bCs/>
              </w:rPr>
            </w:pPr>
            <w:r>
              <w:rPr>
                <w:rFonts w:hint="eastAsia"/>
                <w:bCs/>
              </w:rPr>
              <w:t>（3）施工机械尾气：使用品质合格的燃油，加强设备和运输车辆的检修和维护。</w:t>
            </w:r>
          </w:p>
          <w:p w14:paraId="207C0804">
            <w:pPr>
              <w:pStyle w:val="113"/>
              <w:rPr>
                <w:rFonts w:hint="eastAsia"/>
                <w:bCs/>
              </w:rPr>
            </w:pPr>
            <w:r>
              <w:rPr>
                <w:rFonts w:hint="eastAsia"/>
                <w:bCs/>
              </w:rPr>
              <w:t>（4）伴生气燃烧废气：井场外新建放喷池2个，项目勘探前油藏情况不明确，伴生气中是否含有硫化氢无法确定，需现场硫化氢监测仪监测确定，若含有硫化氢则随伴生气经过液气分离后通过放喷池点火排放，不会对周边大气环境产生较大影响。</w:t>
            </w:r>
          </w:p>
          <w:p w14:paraId="514C3FA5">
            <w:pPr>
              <w:pStyle w:val="113"/>
              <w:rPr>
                <w:rFonts w:hint="eastAsia"/>
                <w:szCs w:val="21"/>
              </w:rPr>
            </w:pPr>
            <w:r>
              <w:rPr>
                <w:rFonts w:hint="eastAsia"/>
                <w:szCs w:val="21"/>
              </w:rPr>
              <w:t>（5）锅炉废气：采用清洁生物质燃料，</w:t>
            </w:r>
            <w:r>
              <w:rPr>
                <w:rFonts w:hint="eastAsia"/>
                <w:snapToGrid w:val="0"/>
              </w:rPr>
              <w:t>锅炉配套低氮燃烧器，废气经SNCR脱硝+袋式除尘+脱硫塔脱硫处理后经1根15m高，内径0.27m排气筒达标排放</w:t>
            </w:r>
            <w:r>
              <w:rPr>
                <w:rFonts w:hint="eastAsia"/>
                <w:szCs w:val="21"/>
              </w:rPr>
              <w:t>。</w:t>
            </w:r>
          </w:p>
          <w:p w14:paraId="75326DA3">
            <w:pPr>
              <w:pStyle w:val="113"/>
              <w:rPr>
                <w:rFonts w:hint="eastAsia"/>
                <w:bCs/>
              </w:rPr>
            </w:pPr>
            <w:r>
              <w:rPr>
                <w:rFonts w:hint="eastAsia"/>
                <w:bCs/>
              </w:rPr>
              <w:t>2）废水</w:t>
            </w:r>
          </w:p>
          <w:p w14:paraId="2AA4F81C">
            <w:pPr>
              <w:pStyle w:val="113"/>
              <w:rPr>
                <w:rFonts w:hint="eastAsia"/>
                <w:bCs/>
              </w:rPr>
            </w:pPr>
            <w:r>
              <w:rPr>
                <w:rFonts w:hint="eastAsia"/>
                <w:bCs/>
              </w:rPr>
              <w:t>（1）井下作业废液</w:t>
            </w:r>
            <w:r>
              <w:rPr>
                <w:rFonts w:hint="eastAsia"/>
                <w:szCs w:val="21"/>
              </w:rPr>
              <w:t>、压裂返排液</w:t>
            </w:r>
            <w:r>
              <w:rPr>
                <w:rFonts w:hint="eastAsia"/>
                <w:bCs/>
              </w:rPr>
              <w:t>：本项目井下作业废液</w:t>
            </w:r>
            <w:r>
              <w:rPr>
                <w:rFonts w:hint="eastAsia"/>
                <w:szCs w:val="21"/>
              </w:rPr>
              <w:t>、压裂返排液</w:t>
            </w:r>
            <w:r>
              <w:rPr>
                <w:rFonts w:hint="eastAsia"/>
                <w:bCs/>
              </w:rPr>
              <w:t>由罐车拉运至春风一号联合站采出水处理系统处理，经处理达到《碎屑岩油藏注水水质指标技术要求及分析方法》（SY/T 5329-2022）对应储层空气渗透率下的水质主要控制指标后回注含油层用于产能开发，不外排。</w:t>
            </w:r>
          </w:p>
          <w:p w14:paraId="15CF013F">
            <w:pPr>
              <w:pStyle w:val="113"/>
              <w:rPr>
                <w:rFonts w:hint="eastAsia"/>
                <w:snapToGrid w:val="0"/>
              </w:rPr>
            </w:pPr>
            <w:r>
              <w:rPr>
                <w:rFonts w:hint="eastAsia"/>
                <w:snapToGrid w:val="0"/>
              </w:rPr>
              <w:t>（2）软水系统排水、锅炉排污水：本项目</w:t>
            </w:r>
            <w:r>
              <w:rPr>
                <w:rFonts w:hint="eastAsia"/>
                <w:szCs w:val="21"/>
              </w:rPr>
              <w:t>软水系统排水量为37m</w:t>
            </w:r>
            <w:r>
              <w:rPr>
                <w:rFonts w:hint="eastAsia"/>
                <w:szCs w:val="21"/>
                <w:vertAlign w:val="superscript"/>
              </w:rPr>
              <w:t>3</w:t>
            </w:r>
            <w:r>
              <w:rPr>
                <w:rFonts w:hint="eastAsia"/>
                <w:szCs w:val="21"/>
              </w:rPr>
              <w:t>，锅炉排污水量为167m</w:t>
            </w:r>
            <w:r>
              <w:rPr>
                <w:rFonts w:hint="eastAsia"/>
                <w:szCs w:val="21"/>
                <w:vertAlign w:val="superscript"/>
              </w:rPr>
              <w:t>3</w:t>
            </w:r>
            <w:r>
              <w:rPr>
                <w:rFonts w:hint="eastAsia"/>
                <w:szCs w:val="21"/>
              </w:rPr>
              <w:t>，二者为含盐清净下水，直接用于脱硫塔循环水补水，不外排。</w:t>
            </w:r>
          </w:p>
          <w:p w14:paraId="416F94C5">
            <w:pPr>
              <w:pStyle w:val="113"/>
              <w:rPr>
                <w:rFonts w:hint="eastAsia"/>
                <w:bCs/>
              </w:rPr>
            </w:pPr>
            <w:r>
              <w:rPr>
                <w:rFonts w:hint="eastAsia"/>
                <w:bCs/>
              </w:rPr>
              <w:t>（3）生活污水：本项目生活区设置环保厕所，生活污水全部排至环保厕所，定期拉运至中石化新疆新春石油开发有限责任公司管理一区生活基地合理化处置。</w:t>
            </w:r>
          </w:p>
          <w:p w14:paraId="70AB1CF5">
            <w:pPr>
              <w:pStyle w:val="113"/>
              <w:rPr>
                <w:rFonts w:hint="eastAsia"/>
                <w:bCs/>
              </w:rPr>
            </w:pPr>
            <w:r>
              <w:rPr>
                <w:rFonts w:hint="eastAsia"/>
                <w:bCs/>
              </w:rPr>
              <w:t>3）固废</w:t>
            </w:r>
          </w:p>
          <w:p w14:paraId="6F82E993">
            <w:pPr>
              <w:pStyle w:val="113"/>
              <w:rPr>
                <w:rFonts w:hint="eastAsia"/>
                <w:bCs/>
              </w:rPr>
            </w:pPr>
            <w:r>
              <w:rPr>
                <w:rFonts w:hint="eastAsia"/>
                <w:bCs/>
              </w:rPr>
              <w:t>（1）钻井固废：钻井施工采用“泥浆不落地”工艺，减少固废产生量。本项目导管、</w:t>
            </w:r>
            <w:r>
              <w:rPr>
                <w:rFonts w:hint="eastAsia"/>
              </w:rPr>
              <w:t>一开和二开</w:t>
            </w:r>
            <w:r>
              <w:rPr>
                <w:rFonts w:hint="eastAsia"/>
                <w:bCs/>
              </w:rPr>
              <w:t>段钻井固废属于一般固体废物，交由专业单位无害化处置；处理后的钻井固废按照《油气田钻井固体废物综合利用污染控制要求》（DB65/T 3997-2017）的规范标准要求，可用于修路、铺垫井场。</w:t>
            </w:r>
          </w:p>
          <w:p w14:paraId="0C478EF0">
            <w:pPr>
              <w:pStyle w:val="113"/>
              <w:rPr>
                <w:rFonts w:hint="eastAsia"/>
                <w:bCs/>
              </w:rPr>
            </w:pPr>
            <w:r>
              <w:rPr>
                <w:rFonts w:hint="eastAsia"/>
                <w:bCs/>
              </w:rPr>
              <w:t>（2）生活垃圾：暂存于施工场地临时设置的垃圾桶内，经收集后由当地环卫部门统一处理。</w:t>
            </w:r>
          </w:p>
          <w:p w14:paraId="30433B45">
            <w:pPr>
              <w:pStyle w:val="113"/>
              <w:rPr>
                <w:rFonts w:hint="eastAsia"/>
                <w:bCs/>
              </w:rPr>
            </w:pPr>
            <w:r>
              <w:rPr>
                <w:rFonts w:hint="eastAsia"/>
                <w:bCs/>
              </w:rPr>
              <w:t>（3）废沾油防渗材料：本项目井场重点防渗区铺设渗透系数≤10</w:t>
            </w:r>
            <w:r>
              <w:rPr>
                <w:rFonts w:hint="eastAsia"/>
                <w:bCs/>
                <w:vertAlign w:val="superscript"/>
              </w:rPr>
              <w:t>-10</w:t>
            </w:r>
            <w:r>
              <w:rPr>
                <w:rFonts w:hint="eastAsia"/>
                <w:bCs/>
              </w:rPr>
              <w:t>cm/s的防渗材料，防渗材料循环利用，使用过程中如产生不可利用的沾油防渗材料，需委托有资质单位处置。</w:t>
            </w:r>
          </w:p>
          <w:p w14:paraId="1E4594BE">
            <w:pPr>
              <w:pStyle w:val="113"/>
              <w:rPr>
                <w:rFonts w:hint="eastAsia"/>
                <w:bCs/>
              </w:rPr>
            </w:pPr>
            <w:r>
              <w:rPr>
                <w:rFonts w:hint="eastAsia"/>
                <w:bCs/>
              </w:rPr>
              <w:t>（4）设备保养产生的危废：设备保养维护产生的废润滑油、</w:t>
            </w:r>
            <w:r>
              <w:rPr>
                <w:rFonts w:hint="eastAsia"/>
                <w:szCs w:val="21"/>
              </w:rPr>
              <w:t>废润滑油桶、</w:t>
            </w:r>
            <w:r>
              <w:rPr>
                <w:rFonts w:hint="eastAsia"/>
                <w:bCs/>
              </w:rPr>
              <w:t>废弃的含油抹布、劳保用品等，产生后在井场危废贮存点内暂存，委托有资质单位处理。</w:t>
            </w:r>
          </w:p>
          <w:p w14:paraId="6E680C38">
            <w:pPr>
              <w:pStyle w:val="113"/>
              <w:rPr>
                <w:rFonts w:hint="eastAsia"/>
                <w:szCs w:val="21"/>
              </w:rPr>
            </w:pPr>
            <w:r>
              <w:rPr>
                <w:rFonts w:hint="eastAsia"/>
                <w:szCs w:val="21"/>
              </w:rPr>
              <w:t>（5）废弃包装物：钻井液配置原料使用产生的废弃包装物中属于危险废物的在井场危废贮存点内暂存，定期交由有资质的危废处置单位处理；属于一般固废的由供货厂家回收后利用。</w:t>
            </w:r>
          </w:p>
          <w:p w14:paraId="28A9C053">
            <w:pPr>
              <w:pStyle w:val="113"/>
              <w:rPr>
                <w:rFonts w:hint="eastAsia"/>
                <w:szCs w:val="21"/>
              </w:rPr>
            </w:pPr>
            <w:r>
              <w:rPr>
                <w:rFonts w:hint="eastAsia"/>
                <w:szCs w:val="21"/>
              </w:rPr>
              <w:t>（6）锅炉炉渣：本项目锅炉燃烧生物质会产生一定量的炉渣，清理后暂存于设置在井场的一般固废暂存间内，定期外运出售给有需求的厂家。</w:t>
            </w:r>
          </w:p>
          <w:p w14:paraId="1343ECEC">
            <w:pPr>
              <w:pStyle w:val="113"/>
              <w:rPr>
                <w:rFonts w:hint="eastAsia"/>
                <w:szCs w:val="21"/>
              </w:rPr>
            </w:pPr>
            <w:r>
              <w:rPr>
                <w:rFonts w:hint="eastAsia"/>
                <w:szCs w:val="21"/>
              </w:rPr>
              <w:t>（7）袋式除尘器截获的粉尘：本项目袋式除尘器截获锅炉废气中的粉尘定期清理收集，暂存于设置在井场的一般固废暂存间内，定期外运出售给有需求的厂家。</w:t>
            </w:r>
          </w:p>
          <w:p w14:paraId="2FE4D920">
            <w:pPr>
              <w:pStyle w:val="113"/>
              <w:rPr>
                <w:rFonts w:hint="eastAsia"/>
                <w:bCs/>
              </w:rPr>
            </w:pPr>
            <w:r>
              <w:rPr>
                <w:rFonts w:hint="eastAsia"/>
                <w:szCs w:val="21"/>
              </w:rPr>
              <w:t>（8）脱硫石膏：本项目脱硫塔定期清掏底部产生的固态石膏，经收集后暂存于设置在井场的一般固废暂存间内，定期外运出售给有需求的厂家。</w:t>
            </w:r>
          </w:p>
          <w:p w14:paraId="796A6DB9">
            <w:pPr>
              <w:pStyle w:val="113"/>
              <w:rPr>
                <w:rFonts w:hint="eastAsia"/>
                <w:bCs/>
              </w:rPr>
            </w:pPr>
            <w:r>
              <w:rPr>
                <w:rFonts w:hint="eastAsia"/>
                <w:bCs/>
              </w:rPr>
              <w:t>4）噪声</w:t>
            </w:r>
          </w:p>
          <w:p w14:paraId="03004EE4">
            <w:pPr>
              <w:pStyle w:val="113"/>
              <w:rPr>
                <w:rFonts w:hint="eastAsia"/>
                <w:bCs/>
              </w:rPr>
            </w:pPr>
            <w:r>
              <w:rPr>
                <w:rFonts w:hint="eastAsia"/>
                <w:bCs/>
              </w:rPr>
              <w:t>本项目在施工期合理布局钻井现场，尽量选用低噪声设备；制定施工计划时，尽可能避免大量高噪声设备同时施工。合理安排施工工序，高噪声设备施工时间尽量安排在昼间；加强施工管理和设备维护，发现设备存在的问题及时维修，保证设备正常运转；整体设备要安放稳固，并与地面保持良好接触，安装消音隔音设施，高噪声设备加装减振支垫，最大限度地降低噪声源的噪声；加强对运输车辆的管理及疏导，尽量压缩施工区汽车数量和行车密度，控制汽车鸣笛。</w:t>
            </w:r>
          </w:p>
          <w:p w14:paraId="3DDF3DE5">
            <w:pPr>
              <w:pStyle w:val="113"/>
              <w:rPr>
                <w:rFonts w:hint="eastAsia"/>
                <w:bCs/>
              </w:rPr>
            </w:pPr>
            <w:r>
              <w:rPr>
                <w:rFonts w:hint="eastAsia"/>
                <w:bCs/>
              </w:rPr>
              <w:t>5）生态</w:t>
            </w:r>
          </w:p>
          <w:p w14:paraId="38565575">
            <w:pPr>
              <w:pStyle w:val="113"/>
              <w:rPr>
                <w:rFonts w:hint="eastAsia"/>
                <w:bCs/>
              </w:rPr>
            </w:pPr>
            <w:r>
              <w:rPr>
                <w:rFonts w:hint="eastAsia"/>
                <w:bCs/>
              </w:rPr>
              <w:t>合理规划、尽量减少井场临时占地面积；区域施工现场适时洒水，减少扬尘。</w:t>
            </w:r>
          </w:p>
          <w:p w14:paraId="63193D1F">
            <w:pPr>
              <w:pStyle w:val="113"/>
              <w:rPr>
                <w:rFonts w:hint="eastAsia"/>
                <w:bCs/>
              </w:rPr>
            </w:pPr>
            <w:r>
              <w:rPr>
                <w:rFonts w:hint="eastAsia"/>
                <w:bCs/>
              </w:rPr>
              <w:t>6）环境风险</w:t>
            </w:r>
          </w:p>
          <w:p w14:paraId="5A4AC360">
            <w:pPr>
              <w:pStyle w:val="113"/>
              <w:rPr>
                <w:rFonts w:hint="eastAsia"/>
                <w:bCs/>
              </w:rPr>
            </w:pPr>
            <w:r>
              <w:rPr>
                <w:rFonts w:hint="eastAsia"/>
                <w:bCs/>
              </w:rPr>
              <w:t>井场外新建放喷池，探井录井仪配置硫化氢监测仪，按照防渗要求进行区域防渗。</w:t>
            </w:r>
          </w:p>
          <w:p w14:paraId="0136100C">
            <w:pPr>
              <w:pStyle w:val="113"/>
              <w:rPr>
                <w:rFonts w:hint="eastAsia"/>
                <w:bCs/>
              </w:rPr>
            </w:pPr>
            <w:r>
              <w:rPr>
                <w:bCs/>
              </w:rPr>
              <w:t>7</w:t>
            </w:r>
            <w:r>
              <w:rPr>
                <w:rFonts w:hint="eastAsia"/>
                <w:bCs/>
              </w:rPr>
              <w:t>、依托工程</w:t>
            </w:r>
          </w:p>
          <w:p w14:paraId="12124B7E">
            <w:pPr>
              <w:pStyle w:val="113"/>
              <w:rPr>
                <w:rFonts w:hint="eastAsia"/>
                <w:kern w:val="0"/>
                <w:szCs w:val="21"/>
              </w:rPr>
            </w:pPr>
            <w:r>
              <w:rPr>
                <w:rFonts w:hint="eastAsia"/>
                <w:kern w:val="0"/>
              </w:rPr>
              <w:t>1）</w:t>
            </w:r>
            <w:r>
              <w:rPr>
                <w:rFonts w:hint="eastAsia" w:cs="Times New Roman"/>
                <w:kern w:val="0"/>
              </w:rPr>
              <w:t>春风一号联合站</w:t>
            </w:r>
          </w:p>
          <w:p w14:paraId="62E6DDEA">
            <w:pPr>
              <w:pStyle w:val="113"/>
              <w:rPr>
                <w:rFonts w:hint="eastAsia"/>
                <w:kern w:val="0"/>
              </w:rPr>
            </w:pPr>
            <w:r>
              <w:rPr>
                <w:rFonts w:hint="eastAsia"/>
                <w:kern w:val="0"/>
              </w:rPr>
              <w:t>春风一号联合站地理坐标为北纬45°6′36.00″，东经84°41′3.00″。目前设计规模为50×10</w:t>
            </w:r>
            <w:r>
              <w:rPr>
                <w:rFonts w:hint="eastAsia"/>
                <w:kern w:val="0"/>
                <w:vertAlign w:val="superscript"/>
              </w:rPr>
              <w:t>4</w:t>
            </w:r>
            <w:r>
              <w:rPr>
                <w:rFonts w:hint="eastAsia"/>
                <w:kern w:val="0"/>
              </w:rPr>
              <w:t>t/a，主要担负着排601北区、中区、排6南区、排601南区四个区块的原油处理任务。主要功能有：管输进站、汽车拉油卸车、掺蒸汽加热、加药、沉降分水、原油储存、计量、汽车装车外运、管输外运、站内循环、污油回收；站内同时具有水处理、污水回灌，配套消防、结构、建筑、供配电、暖通等功能。</w:t>
            </w:r>
          </w:p>
          <w:p w14:paraId="4DDC47BD">
            <w:pPr>
              <w:pStyle w:val="87"/>
              <w:spacing w:line="328" w:lineRule="auto"/>
              <w:ind w:firstLine="420" w:firstLineChars="200"/>
              <w:jc w:val="left"/>
            </w:pPr>
            <w:r>
              <w:rPr>
                <w:rFonts w:hint="eastAsia"/>
                <w:kern w:val="0"/>
              </w:rPr>
              <w:t>春风一号联合站采出水</w:t>
            </w:r>
            <w:r>
              <w:rPr>
                <w:rFonts w:hint="eastAsia"/>
              </w:rPr>
              <w:t>处理工艺采用混凝沉降+过滤工艺，即油系统来水→一次除油罐→二次沉降罐→缓冲罐→污水提升泵→多介质过滤器→回注系统。</w:t>
            </w:r>
          </w:p>
          <w:p w14:paraId="16B90B35">
            <w:pPr>
              <w:adjustRightInd w:val="0"/>
              <w:snapToGrid w:val="0"/>
              <w:spacing w:line="328" w:lineRule="auto"/>
              <w:ind w:firstLine="420" w:firstLineChars="200"/>
              <w:jc w:val="left"/>
              <w:rPr>
                <w:rFonts w:hint="eastAsia" w:ascii="宋体" w:hAnsi="宋体"/>
              </w:rPr>
            </w:pPr>
            <w:r>
              <w:rPr>
                <w:rFonts w:hint="eastAsia" w:ascii="宋体" w:hAnsi="宋体"/>
              </w:rPr>
              <w:t>春风一号联合站</w:t>
            </w:r>
            <w:r>
              <w:rPr>
                <w:rFonts w:hint="eastAsia" w:ascii="宋体" w:hAnsi="宋体"/>
                <w:bCs/>
              </w:rPr>
              <w:t>于2010年取得环评批复，批复文号为新环评价函[2010]863号；</w:t>
            </w:r>
            <w:r>
              <w:rPr>
                <w:rFonts w:hint="eastAsia" w:ascii="宋体" w:hAnsi="宋体"/>
              </w:rPr>
              <w:t>2011年建成投产，</w:t>
            </w:r>
            <w:r>
              <w:rPr>
                <w:rFonts w:hint="eastAsia" w:ascii="宋体" w:hAnsi="宋体"/>
                <w:bCs/>
              </w:rPr>
              <w:t>于2012年取得竣工验收批复，批复文号为[2012]939号</w:t>
            </w:r>
            <w:r>
              <w:rPr>
                <w:rFonts w:hint="eastAsia" w:ascii="宋体" w:hAnsi="宋体"/>
              </w:rPr>
              <w:t>（见附件2）</w:t>
            </w:r>
            <w:r>
              <w:rPr>
                <w:rFonts w:hint="eastAsia" w:ascii="宋体" w:hAnsi="宋体"/>
                <w:bCs/>
              </w:rPr>
              <w:t>。</w:t>
            </w:r>
            <w:r>
              <w:rPr>
                <w:rFonts w:hint="eastAsia" w:ascii="宋体" w:hAnsi="宋体"/>
              </w:rPr>
              <w:t>春风一号联合站含油污水处理系统出水中的石油类可达到《碎屑岩油藏注水水质指标技术要求及分析方法》（SY/T 5329-2022）中的控制指标。</w:t>
            </w:r>
          </w:p>
          <w:p w14:paraId="53EFB929">
            <w:pPr>
              <w:adjustRightInd w:val="0"/>
              <w:snapToGrid w:val="0"/>
              <w:spacing w:line="328" w:lineRule="auto"/>
              <w:ind w:firstLine="420" w:firstLineChars="200"/>
              <w:jc w:val="left"/>
              <w:rPr>
                <w:rFonts w:hint="eastAsia" w:ascii="宋体" w:hAnsi="宋体"/>
              </w:rPr>
            </w:pPr>
            <w:r>
              <w:rPr>
                <w:rFonts w:hint="eastAsia" w:ascii="宋体" w:hAnsi="宋体"/>
              </w:rPr>
              <w:t>本项目试油期产生</w:t>
            </w:r>
            <w:r>
              <w:rPr>
                <w:rFonts w:hint="eastAsia" w:hAnsi="宋体"/>
              </w:rPr>
              <w:t>井下作业废液</w:t>
            </w:r>
            <w:r>
              <w:rPr>
                <w:rFonts w:ascii="宋体" w:hAnsi="宋体"/>
              </w:rPr>
              <w:t>879.3</w:t>
            </w:r>
            <w:r>
              <w:rPr>
                <w:rFonts w:hint="eastAsia" w:ascii="宋体" w:hAnsi="宋体"/>
              </w:rPr>
              <w:t>m</w:t>
            </w:r>
            <w:r>
              <w:rPr>
                <w:rFonts w:hint="eastAsia" w:ascii="宋体" w:hAnsi="宋体"/>
                <w:vertAlign w:val="superscript"/>
              </w:rPr>
              <w:t>3</w:t>
            </w:r>
            <w:r>
              <w:rPr>
                <w:rFonts w:hint="eastAsia" w:ascii="宋体" w:hAnsi="宋体"/>
              </w:rPr>
              <w:t>，压裂返排液</w:t>
            </w:r>
            <w:r>
              <w:rPr>
                <w:rFonts w:ascii="宋体" w:hAnsi="宋体"/>
                <w:szCs w:val="21"/>
              </w:rPr>
              <w:t>300</w:t>
            </w:r>
            <w:r>
              <w:rPr>
                <w:rFonts w:hint="eastAsia" w:ascii="宋体" w:hAnsi="宋体"/>
                <w:szCs w:val="21"/>
              </w:rPr>
              <w:t>m</w:t>
            </w:r>
            <w:r>
              <w:rPr>
                <w:rFonts w:hint="eastAsia" w:ascii="宋体" w:hAnsi="宋体"/>
                <w:szCs w:val="21"/>
                <w:vertAlign w:val="superscript"/>
              </w:rPr>
              <w:t>3</w:t>
            </w:r>
            <w:r>
              <w:rPr>
                <w:rFonts w:hint="eastAsia" w:ascii="宋体" w:hAnsi="宋体"/>
              </w:rPr>
              <w:t>，含油污水处理系统设计处理规模为5400m</w:t>
            </w:r>
            <w:r>
              <w:rPr>
                <w:rFonts w:hint="eastAsia" w:ascii="宋体" w:hAnsi="宋体"/>
                <w:vertAlign w:val="superscript"/>
              </w:rPr>
              <w:t>3</w:t>
            </w:r>
            <w:r>
              <w:rPr>
                <w:rFonts w:hint="eastAsia" w:ascii="宋体" w:hAnsi="宋体"/>
              </w:rPr>
              <w:t>/d，目前实际处理量为3800m</w:t>
            </w:r>
            <w:r>
              <w:rPr>
                <w:rFonts w:hint="eastAsia" w:ascii="宋体" w:hAnsi="宋体"/>
                <w:vertAlign w:val="superscript"/>
              </w:rPr>
              <w:t>3</w:t>
            </w:r>
            <w:r>
              <w:rPr>
                <w:rFonts w:hint="eastAsia" w:ascii="宋体" w:hAnsi="宋体"/>
              </w:rPr>
              <w:t>/d，故可满足本项目井下作业废液及压裂返排液处理要求。</w:t>
            </w:r>
          </w:p>
          <w:p w14:paraId="2E9F299F">
            <w:pPr>
              <w:adjustRightInd w:val="0"/>
              <w:snapToGrid w:val="0"/>
              <w:spacing w:line="328" w:lineRule="auto"/>
              <w:ind w:firstLine="420" w:firstLineChars="200"/>
              <w:jc w:val="left"/>
              <w:rPr>
                <w:rFonts w:hint="eastAsia" w:ascii="宋体" w:hAnsi="宋体"/>
              </w:rPr>
            </w:pPr>
            <w:r>
              <w:rPr>
                <w:rFonts w:hint="eastAsia" w:ascii="宋体" w:hAnsi="宋体"/>
              </w:rPr>
              <w:t>2）</w:t>
            </w:r>
            <w:r>
              <w:rPr>
                <w:rFonts w:hint="eastAsia" w:ascii="宋体" w:hAnsi="宋体"/>
                <w:kern w:val="0"/>
              </w:rPr>
              <w:t>管理一区生活基地</w:t>
            </w:r>
          </w:p>
          <w:p w14:paraId="2B0C766E">
            <w:pPr>
              <w:adjustRightInd w:val="0"/>
              <w:snapToGrid w:val="0"/>
              <w:spacing w:line="328" w:lineRule="auto"/>
              <w:ind w:firstLine="420" w:firstLineChars="200"/>
              <w:jc w:val="left"/>
              <w:rPr>
                <w:rFonts w:hint="eastAsia" w:ascii="宋体" w:hAnsi="宋体"/>
              </w:rPr>
            </w:pPr>
            <w:r>
              <w:rPr>
                <w:rFonts w:hint="eastAsia" w:ascii="宋体" w:hAnsi="宋体"/>
                <w:kern w:val="0"/>
              </w:rPr>
              <w:t>根据《中石化新疆新春石油开发有限责任公司春风油田环境影响后评价报告书》（新环环评函[2022]221号），现状生活基地的生活污水经管理一区生活基地内排水系统排到生活污水一体化处理装置处理，达到《污水综合排放标准》（GB 8978-1996）二级标准后用于绿化，冬季用于厂区洒水降尘。污水处理工艺为：预处理+厌氧池+三级氧化+消毒+过滤工艺。污水处理设施能力：300m</w:t>
            </w:r>
            <w:r>
              <w:rPr>
                <w:rFonts w:hint="eastAsia" w:ascii="宋体" w:hAnsi="宋体"/>
                <w:kern w:val="0"/>
                <w:vertAlign w:val="superscript"/>
              </w:rPr>
              <w:t>3</w:t>
            </w:r>
            <w:r>
              <w:rPr>
                <w:rFonts w:hint="eastAsia" w:ascii="宋体" w:hAnsi="宋体"/>
                <w:kern w:val="0"/>
              </w:rPr>
              <w:t>/d，目前实际处理量210m</w:t>
            </w:r>
            <w:r>
              <w:rPr>
                <w:rFonts w:hint="eastAsia" w:ascii="宋体" w:hAnsi="宋体"/>
                <w:kern w:val="0"/>
                <w:vertAlign w:val="superscript"/>
              </w:rPr>
              <w:t>3</w:t>
            </w:r>
            <w:r>
              <w:rPr>
                <w:rFonts w:hint="eastAsia" w:ascii="宋体" w:hAnsi="宋体"/>
                <w:kern w:val="0"/>
              </w:rPr>
              <w:t>/d。根据现场调查，绿化效果显著，改善了区域小环境，采取的生活污水处理措施基本有效。</w:t>
            </w:r>
          </w:p>
          <w:p w14:paraId="1828203F">
            <w:pPr>
              <w:adjustRightInd w:val="0"/>
              <w:snapToGrid w:val="0"/>
              <w:spacing w:line="328" w:lineRule="auto"/>
              <w:ind w:firstLine="420" w:firstLineChars="200"/>
              <w:jc w:val="left"/>
              <w:rPr>
                <w:rFonts w:hint="eastAsia" w:ascii="宋体" w:hAnsi="宋体"/>
              </w:rPr>
            </w:pPr>
            <w:r>
              <w:rPr>
                <w:rFonts w:hint="eastAsia" w:ascii="宋体" w:hAnsi="宋体"/>
              </w:rPr>
              <w:t>3）</w:t>
            </w:r>
            <w:r>
              <w:rPr>
                <w:rFonts w:hint="eastAsia" w:ascii="宋体" w:hAnsi="宋体"/>
                <w:kern w:val="0"/>
              </w:rPr>
              <w:t>克拉玛依前山石油工程服务有限公司</w:t>
            </w:r>
          </w:p>
          <w:p w14:paraId="5669D2E6">
            <w:pPr>
              <w:pStyle w:val="3"/>
              <w:ind w:firstLine="420"/>
              <w:rPr>
                <w:rFonts w:hint="eastAsia"/>
                <w:kern w:val="0"/>
                <w:sz w:val="21"/>
                <w:szCs w:val="21"/>
              </w:rPr>
            </w:pPr>
            <w:r>
              <w:rPr>
                <w:rFonts w:hint="eastAsia"/>
                <w:kern w:val="0"/>
                <w:sz w:val="21"/>
                <w:szCs w:val="21"/>
              </w:rPr>
              <w:t>克拉玛依前山石油工程服务有限公司2万t/a废弃钻井泥浆处理项目位于第七师128团前山工业园区，建设有2万t/a废弃钻井泥浆无害化处理生产设施一套，将废弃泥浆经过回收暂存处理—机械分离—絮凝沉淀—机械压缩等过程处理后，处理后的泥饼（钻井固废）按照要求，用于建设井场道路和井场钻前工程。</w:t>
            </w:r>
          </w:p>
          <w:p w14:paraId="34CC9C5E">
            <w:pPr>
              <w:pStyle w:val="3"/>
              <w:ind w:firstLine="420"/>
              <w:rPr>
                <w:rFonts w:hint="eastAsia"/>
                <w:kern w:val="0"/>
                <w:sz w:val="21"/>
                <w:szCs w:val="21"/>
              </w:rPr>
            </w:pPr>
            <w:r>
              <w:rPr>
                <w:rFonts w:hint="eastAsia"/>
                <w:kern w:val="0"/>
                <w:sz w:val="21"/>
                <w:szCs w:val="21"/>
              </w:rPr>
              <w:t>新疆生产建设兵团第七师环境保护局以“师环审[2016]114号”文批准了克拉玛依前山石油工程服务有限公司2万t/a废弃钻井泥浆处理项目环境影响报告书。新疆生产建设兵团第七师监察支队2017年6月进行了现场监察，并出具了项目具备投入使用条件的报告。新疆生产建设兵团第七师环境保护局于2019年3月30日以“师环验[2019]24号”文通过验收。</w:t>
            </w:r>
          </w:p>
          <w:p w14:paraId="2897A1AF">
            <w:pPr>
              <w:pStyle w:val="113"/>
              <w:rPr>
                <w:rFonts w:hint="eastAsia"/>
                <w:bCs/>
              </w:rPr>
            </w:pPr>
            <w:r>
              <w:rPr>
                <w:rFonts w:hint="eastAsia"/>
                <w:kern w:val="0"/>
              </w:rPr>
              <w:t>项目建设地点距离克拉玛依前山石油工程服务有限公司行车距离为164.7</w:t>
            </w:r>
            <w:r>
              <w:rPr>
                <w:kern w:val="0"/>
              </w:rPr>
              <w:t>km</w:t>
            </w:r>
            <w:r>
              <w:rPr>
                <w:rFonts w:hint="eastAsia"/>
                <w:kern w:val="0"/>
              </w:rPr>
              <w:t>，行驶时间约2.2</w:t>
            </w:r>
            <w:r>
              <w:rPr>
                <w:kern w:val="0"/>
              </w:rPr>
              <w:t>h</w:t>
            </w:r>
            <w:r>
              <w:rPr>
                <w:rFonts w:hint="eastAsia"/>
                <w:kern w:val="0"/>
              </w:rPr>
              <w:t>；距离</w:t>
            </w:r>
            <w:r>
              <w:rPr>
                <w:rFonts w:hint="eastAsia" w:cs="Times New Roman"/>
                <w:kern w:val="0"/>
              </w:rPr>
              <w:t>春风一号联合站、</w:t>
            </w:r>
            <w:r>
              <w:rPr>
                <w:rFonts w:hint="eastAsia"/>
                <w:kern w:val="0"/>
              </w:rPr>
              <w:t>管理一区生活基地的行车距离为153.5</w:t>
            </w:r>
            <w:r>
              <w:rPr>
                <w:kern w:val="0"/>
              </w:rPr>
              <w:t>km</w:t>
            </w:r>
            <w:r>
              <w:rPr>
                <w:rFonts w:hint="eastAsia"/>
                <w:kern w:val="0"/>
              </w:rPr>
              <w:t>，行驶时间约2.1</w:t>
            </w:r>
            <w:r>
              <w:rPr>
                <w:kern w:val="0"/>
              </w:rPr>
              <w:t>h</w:t>
            </w:r>
            <w:r>
              <w:rPr>
                <w:rFonts w:hint="eastAsia"/>
                <w:kern w:val="0"/>
              </w:rPr>
              <w:t>。</w:t>
            </w:r>
            <w:r>
              <w:rPr>
                <w:rFonts w:hint="eastAsia"/>
                <w:bCs/>
              </w:rPr>
              <w:t>项目所在井场通过新建临时道路向东连接现有道路，运输车辆从井场出发通过县级公路、奎阿高速等道路即可到达各依托工程所在地，运输路线畅通且路况较好。</w:t>
            </w:r>
          </w:p>
          <w:p w14:paraId="5C2280C0">
            <w:pPr>
              <w:pStyle w:val="113"/>
              <w:ind w:firstLine="0" w:firstLineChars="0"/>
              <w:jc w:val="center"/>
              <w:rPr>
                <w:rFonts w:hint="eastAsia"/>
                <w:bCs/>
              </w:rPr>
            </w:pPr>
            <w:r>
              <w:rPr>
                <w:rFonts w:hint="eastAsia"/>
                <w:bCs/>
              </w:rPr>
              <w:drawing>
                <wp:inline distT="0" distB="0" distL="0" distR="0">
                  <wp:extent cx="4869180" cy="2941955"/>
                  <wp:effectExtent l="19050" t="19050" r="26670" b="10795"/>
                  <wp:docPr id="5" name="图片 112" descr="图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2" descr="图2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69711" cy="2942246"/>
                          </a:xfrm>
                          <a:prstGeom prst="rect">
                            <a:avLst/>
                          </a:prstGeom>
                          <a:noFill/>
                          <a:ln w="6350">
                            <a:solidFill>
                              <a:schemeClr val="tx1"/>
                            </a:solidFill>
                          </a:ln>
                        </pic:spPr>
                      </pic:pic>
                    </a:graphicData>
                  </a:graphic>
                </wp:inline>
              </w:drawing>
            </w:r>
          </w:p>
          <w:p w14:paraId="32B23F36">
            <w:pPr>
              <w:pStyle w:val="12"/>
              <w:spacing w:before="120"/>
              <w:rPr>
                <w:rFonts w:hint="eastAsia" w:hAnsi="宋体"/>
                <w:snapToGrid w:val="0"/>
                <w:kern w:val="0"/>
                <w:szCs w:val="21"/>
              </w:rPr>
            </w:pPr>
            <w:r>
              <w:rPr>
                <w:rFonts w:hint="eastAsia" w:hAnsi="宋体"/>
              </w:rPr>
              <w:t>图</w:t>
            </w:r>
            <w:r>
              <w:rPr>
                <w:rFonts w:hAnsi="宋体"/>
              </w:rPr>
              <w:fldChar w:fldCharType="begin"/>
            </w:r>
            <w:r>
              <w:rPr>
                <w:rFonts w:hAnsi="宋体"/>
              </w:rPr>
              <w:instrText xml:space="preserve"> </w:instrText>
            </w:r>
            <w:r>
              <w:rPr>
                <w:rFonts w:hint="eastAsia" w:hAnsi="宋体"/>
              </w:rPr>
              <w:instrText xml:space="preserve">SEQ 图 \* ARABIC</w:instrText>
            </w:r>
            <w:r>
              <w:rPr>
                <w:rFonts w:hAnsi="宋体"/>
              </w:rPr>
              <w:instrText xml:space="preserve"> </w:instrText>
            </w:r>
            <w:r>
              <w:rPr>
                <w:rFonts w:hAnsi="宋体"/>
              </w:rPr>
              <w:fldChar w:fldCharType="separate"/>
            </w:r>
            <w:r>
              <w:rPr>
                <w:rFonts w:hint="eastAsia" w:hAnsi="宋体"/>
              </w:rPr>
              <w:t>3</w:t>
            </w:r>
            <w:r>
              <w:rPr>
                <w:rFonts w:hAnsi="宋体"/>
              </w:rPr>
              <w:fldChar w:fldCharType="end"/>
            </w:r>
            <w:r>
              <w:rPr>
                <w:rFonts w:hAnsi="宋体"/>
              </w:rPr>
              <w:t xml:space="preserve">  </w:t>
            </w:r>
            <w:r>
              <w:rPr>
                <w:rFonts w:hint="eastAsia" w:hAnsi="宋体"/>
              </w:rPr>
              <w:t>拟建项目与依托工程位置关系</w:t>
            </w:r>
            <w:r>
              <w:rPr>
                <w:rFonts w:hint="eastAsia" w:hAnsi="宋体"/>
                <w:snapToGrid w:val="0"/>
                <w:kern w:val="0"/>
                <w:szCs w:val="21"/>
              </w:rPr>
              <w:t>图</w:t>
            </w:r>
          </w:p>
          <w:p w14:paraId="7B2FBEF3">
            <w:pPr>
              <w:pStyle w:val="3"/>
              <w:ind w:firstLine="420"/>
              <w:rPr>
                <w:rFonts w:hint="eastAsia"/>
                <w:kern w:val="0"/>
                <w:sz w:val="21"/>
                <w:szCs w:val="21"/>
              </w:rPr>
            </w:pPr>
          </w:p>
          <w:p w14:paraId="71BD634A">
            <w:pPr>
              <w:pStyle w:val="113"/>
              <w:rPr>
                <w:rFonts w:hint="eastAsia"/>
                <w:bCs/>
              </w:rPr>
            </w:pPr>
            <w:r>
              <w:rPr>
                <w:bCs/>
              </w:rPr>
              <w:t>7</w:t>
            </w:r>
            <w:r>
              <w:rPr>
                <w:rFonts w:hint="eastAsia"/>
                <w:bCs/>
              </w:rPr>
              <w:t>、劳动定员和工作制度</w:t>
            </w:r>
          </w:p>
          <w:p w14:paraId="09970732">
            <w:pPr>
              <w:pStyle w:val="3"/>
              <w:ind w:firstLine="420"/>
              <w:rPr>
                <w:rFonts w:hint="eastAsia"/>
                <w:kern w:val="0"/>
                <w:sz w:val="21"/>
                <w:szCs w:val="21"/>
              </w:rPr>
            </w:pPr>
            <w:r>
              <w:rPr>
                <w:rFonts w:hint="eastAsia"/>
                <w:kern w:val="0"/>
                <w:sz w:val="21"/>
                <w:szCs w:val="21"/>
              </w:rPr>
              <w:t>本项目单井钻井周期80d，钻井队实行三班二倒制度，实际每天在岗人数为24人；单井试油周期80d，试油队劳动定员</w:t>
            </w:r>
            <w:r>
              <w:rPr>
                <w:kern w:val="0"/>
                <w:sz w:val="21"/>
                <w:szCs w:val="21"/>
              </w:rPr>
              <w:t>20</w:t>
            </w:r>
            <w:r>
              <w:rPr>
                <w:rFonts w:hint="eastAsia"/>
                <w:kern w:val="0"/>
                <w:sz w:val="21"/>
                <w:szCs w:val="21"/>
              </w:rPr>
              <w:t>人，因此本项目总施工周期为160d。</w:t>
            </w:r>
          </w:p>
        </w:tc>
      </w:tr>
      <w:tr w14:paraId="70A6E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31F3AC14">
            <w:pPr>
              <w:adjustRightInd w:val="0"/>
              <w:snapToGrid w:val="0"/>
              <w:jc w:val="center"/>
              <w:rPr>
                <w:rFonts w:hint="eastAsia" w:ascii="宋体" w:hAnsi="宋体" w:cs="宋体"/>
                <w:kern w:val="0"/>
                <w:szCs w:val="21"/>
              </w:rPr>
            </w:pPr>
            <w:r>
              <w:rPr>
                <w:rFonts w:hint="eastAsia" w:ascii="宋体" w:hAnsi="宋体" w:cs="宋体"/>
                <w:kern w:val="0"/>
                <w:szCs w:val="21"/>
              </w:rPr>
              <w:t>总平面及现场布置</w:t>
            </w:r>
          </w:p>
        </w:tc>
        <w:tc>
          <w:tcPr>
            <w:tcW w:w="4750" w:type="pct"/>
            <w:vAlign w:val="center"/>
          </w:tcPr>
          <w:p w14:paraId="6C1D4944">
            <w:pPr>
              <w:pStyle w:val="113"/>
              <w:rPr>
                <w:rFonts w:hint="eastAsia"/>
                <w:bCs/>
              </w:rPr>
            </w:pPr>
            <w:r>
              <w:rPr>
                <w:bCs/>
              </w:rPr>
              <w:t>1</w:t>
            </w:r>
            <w:r>
              <w:rPr>
                <w:rFonts w:hint="eastAsia"/>
                <w:bCs/>
              </w:rPr>
              <w:t>、总平面布置</w:t>
            </w:r>
          </w:p>
          <w:p w14:paraId="3A90A9EB">
            <w:pPr>
              <w:pStyle w:val="113"/>
              <w:rPr>
                <w:rFonts w:hint="eastAsia"/>
              </w:rPr>
            </w:pPr>
            <w:r>
              <w:rPr>
                <w:rFonts w:hint="eastAsia"/>
              </w:rPr>
              <w:t>本项目使用50型钻机，选用130m×110m规格井场，井场是钻井工程的主要场地，本项目的平面布置本着布局简单、流程合理的原则进行，钻井期围绕井口设有住井房、工具房、值班房、工程师房、配电房、消防房、发电机、清水罐、泥浆不落地设备、仪器房、地质房、泥浆房、监督房、生活水罐、油罐等。各设施位置能够满足《钻井井场设备作业安全技术规程》（SY/T 5974-2020）中的安全距离要求。钻井期施工总布置图见附图2。</w:t>
            </w:r>
          </w:p>
          <w:p w14:paraId="5AD36BB8">
            <w:pPr>
              <w:pStyle w:val="113"/>
              <w:rPr>
                <w:rFonts w:hint="eastAsia"/>
              </w:rPr>
            </w:pPr>
            <w:r>
              <w:rPr>
                <w:rFonts w:hint="eastAsia"/>
              </w:rPr>
              <w:t>试油期井场布置围绕井口设发电机房、仪器房、设备房、工具房、环保厕所、值班房、工程师房、新鲜水罐、危险废物贮存点、储液罐（井下作业废液储罐）和柴油储罐等。试油期施工总布置图见附图3。</w:t>
            </w:r>
          </w:p>
          <w:p w14:paraId="7BD85964">
            <w:pPr>
              <w:pStyle w:val="113"/>
              <w:rPr>
                <w:rFonts w:hint="eastAsia"/>
              </w:rPr>
            </w:pPr>
            <w:r>
              <w:rPr>
                <w:rFonts w:hint="eastAsia"/>
              </w:rPr>
              <w:t>从环保角度分析，项目施工期井场平面布置充分利用地形、节约了土地，方便施工作业，生活区和生产区独立布置，从平面合理布置角度最大限度地保护了项目周边环境敏感点。因此，本项目井场平面布置合理。</w:t>
            </w:r>
          </w:p>
          <w:p w14:paraId="35EA5295">
            <w:pPr>
              <w:pStyle w:val="113"/>
              <w:rPr>
                <w:rFonts w:hint="eastAsia"/>
                <w:bCs/>
              </w:rPr>
            </w:pPr>
            <w:r>
              <w:rPr>
                <w:bCs/>
              </w:rPr>
              <w:t>2</w:t>
            </w:r>
            <w:r>
              <w:rPr>
                <w:rFonts w:hint="eastAsia"/>
                <w:bCs/>
              </w:rPr>
              <w:t>、项目占地</w:t>
            </w:r>
          </w:p>
          <w:p w14:paraId="796EDE57">
            <w:pPr>
              <w:pStyle w:val="113"/>
              <w:rPr>
                <w:rFonts w:hint="eastAsia"/>
              </w:rPr>
            </w:pPr>
            <w:r>
              <w:rPr>
                <w:rFonts w:hint="eastAsia"/>
              </w:rPr>
              <w:t>本项目总占地面积为</w:t>
            </w:r>
            <w:r>
              <w:rPr>
                <w:rFonts w:hint="eastAsia"/>
                <w:lang w:bidi="ar"/>
              </w:rPr>
              <w:t>44652</w:t>
            </w:r>
            <w:r>
              <w:rPr>
                <w:rFonts w:hint="eastAsia"/>
              </w:rPr>
              <w:t>m</w:t>
            </w:r>
            <w:r>
              <w:rPr>
                <w:rFonts w:hint="eastAsia"/>
                <w:vertAlign w:val="superscript"/>
              </w:rPr>
              <w:t>2</w:t>
            </w:r>
            <w:r>
              <w:rPr>
                <w:rFonts w:hint="eastAsia"/>
              </w:rPr>
              <w:t>，均为临时占地，占地类型为灌木林地，为国家级二级公益林，本次环评建议建设单位在满足施工条件情况下，尽量缩减临时道路宽度，减少临时占地，本项目占地情况见</w:t>
            </w:r>
            <w:r>
              <w:fldChar w:fldCharType="begin"/>
            </w:r>
            <w:r>
              <w:instrText xml:space="preserve"> </w:instrText>
            </w:r>
            <w:r>
              <w:rPr>
                <w:rFonts w:hint="eastAsia"/>
              </w:rPr>
              <w:instrText xml:space="preserve">REF _Ref138685774 \h</w:instrText>
            </w:r>
            <w:r>
              <w:instrText xml:space="preserve">  \* MERGEFORMAT </w:instrText>
            </w:r>
            <w:r>
              <w:fldChar w:fldCharType="separate"/>
            </w:r>
            <w:r>
              <w:rPr>
                <w:rFonts w:hint="eastAsia"/>
              </w:rPr>
              <w:t>表25</w:t>
            </w:r>
            <w:r>
              <w:fldChar w:fldCharType="end"/>
            </w:r>
            <w:r>
              <w:rPr>
                <w:rFonts w:hint="eastAsia"/>
              </w:rPr>
              <w:t xml:space="preserve"> 。</w:t>
            </w:r>
          </w:p>
          <w:p w14:paraId="2D54A2FF">
            <w:pPr>
              <w:pStyle w:val="100"/>
              <w:spacing w:before="120" w:beforeLines="50" w:line="360" w:lineRule="auto"/>
              <w:rPr>
                <w:rFonts w:hint="eastAsia"/>
                <w:szCs w:val="21"/>
              </w:rPr>
            </w:pPr>
            <w:bookmarkStart w:id="38" w:name="_Ref138685774"/>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25</w:t>
            </w:r>
            <w:r>
              <w:fldChar w:fldCharType="end"/>
            </w:r>
            <w:bookmarkEnd w:id="38"/>
            <w:r>
              <w:t xml:space="preserve">  </w:t>
            </w:r>
            <w:r>
              <w:rPr>
                <w:rFonts w:hint="eastAsia"/>
                <w:szCs w:val="21"/>
              </w:rPr>
              <w:t>本项目占地情况一览表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241"/>
              <w:gridCol w:w="1242"/>
              <w:gridCol w:w="2228"/>
              <w:gridCol w:w="1921"/>
            </w:tblGrid>
            <w:tr w14:paraId="1124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Merge w:val="restart"/>
                  <w:vAlign w:val="center"/>
                </w:tcPr>
                <w:p w14:paraId="22FDDFFD">
                  <w:pPr>
                    <w:pStyle w:val="87"/>
                    <w:rPr>
                      <w:rFonts w:hint="eastAsia" w:hAnsi="宋体"/>
                    </w:rPr>
                  </w:pPr>
                  <w:r>
                    <w:rPr>
                      <w:rFonts w:hint="eastAsia" w:hAnsi="宋体"/>
                    </w:rPr>
                    <w:t>建设项目</w:t>
                  </w:r>
                </w:p>
              </w:tc>
              <w:tc>
                <w:tcPr>
                  <w:tcW w:w="1577" w:type="pct"/>
                  <w:gridSpan w:val="2"/>
                  <w:vAlign w:val="center"/>
                </w:tcPr>
                <w:p w14:paraId="0086AE1A">
                  <w:pPr>
                    <w:pStyle w:val="87"/>
                    <w:rPr>
                      <w:rFonts w:hint="eastAsia" w:hAnsi="宋体"/>
                    </w:rPr>
                  </w:pPr>
                  <w:r>
                    <w:rPr>
                      <w:rFonts w:hint="eastAsia" w:hAnsi="宋体"/>
                    </w:rPr>
                    <w:t>占地面积（m</w:t>
                  </w:r>
                  <w:r>
                    <w:rPr>
                      <w:rFonts w:hint="eastAsia" w:hAnsi="宋体"/>
                      <w:vertAlign w:val="superscript"/>
                    </w:rPr>
                    <w:t>2</w:t>
                  </w:r>
                  <w:r>
                    <w:rPr>
                      <w:rFonts w:hint="eastAsia" w:hAnsi="宋体"/>
                    </w:rPr>
                    <w:t>）</w:t>
                  </w:r>
                </w:p>
              </w:tc>
              <w:tc>
                <w:tcPr>
                  <w:tcW w:w="2635" w:type="pct"/>
                  <w:gridSpan w:val="2"/>
                  <w:vAlign w:val="center"/>
                </w:tcPr>
                <w:p w14:paraId="49D1CFF8">
                  <w:pPr>
                    <w:pStyle w:val="87"/>
                    <w:rPr>
                      <w:rFonts w:hint="eastAsia" w:hAnsi="宋体"/>
                    </w:rPr>
                  </w:pPr>
                  <w:r>
                    <w:rPr>
                      <w:rFonts w:hint="eastAsia" w:hAnsi="宋体"/>
                    </w:rPr>
                    <w:t>占地类型</w:t>
                  </w:r>
                </w:p>
              </w:tc>
            </w:tr>
            <w:tr w14:paraId="2587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Merge w:val="continue"/>
                  <w:vAlign w:val="center"/>
                </w:tcPr>
                <w:p w14:paraId="3742161B">
                  <w:pPr>
                    <w:pStyle w:val="87"/>
                    <w:rPr>
                      <w:rFonts w:hint="eastAsia" w:hAnsi="宋体"/>
                    </w:rPr>
                  </w:pPr>
                </w:p>
              </w:tc>
              <w:tc>
                <w:tcPr>
                  <w:tcW w:w="788" w:type="pct"/>
                  <w:vAlign w:val="center"/>
                </w:tcPr>
                <w:p w14:paraId="7D56D542">
                  <w:pPr>
                    <w:pStyle w:val="87"/>
                    <w:rPr>
                      <w:rFonts w:hint="eastAsia" w:hAnsi="宋体"/>
                    </w:rPr>
                  </w:pPr>
                  <w:r>
                    <w:rPr>
                      <w:rFonts w:hint="eastAsia" w:hAnsi="宋体"/>
                    </w:rPr>
                    <w:t>临时占地</w:t>
                  </w:r>
                </w:p>
              </w:tc>
              <w:tc>
                <w:tcPr>
                  <w:tcW w:w="789" w:type="pct"/>
                  <w:vAlign w:val="center"/>
                </w:tcPr>
                <w:p w14:paraId="074041D0">
                  <w:pPr>
                    <w:pStyle w:val="87"/>
                    <w:rPr>
                      <w:rFonts w:hint="eastAsia" w:hAnsi="宋体"/>
                    </w:rPr>
                  </w:pPr>
                  <w:r>
                    <w:rPr>
                      <w:rFonts w:hint="eastAsia" w:hAnsi="宋体"/>
                    </w:rPr>
                    <w:t>永久占地</w:t>
                  </w:r>
                </w:p>
              </w:tc>
              <w:tc>
                <w:tcPr>
                  <w:tcW w:w="1415" w:type="pct"/>
                  <w:vAlign w:val="center"/>
                </w:tcPr>
                <w:p w14:paraId="47296D5A">
                  <w:pPr>
                    <w:pStyle w:val="87"/>
                    <w:rPr>
                      <w:rFonts w:hint="eastAsia" w:hAnsi="宋体"/>
                    </w:rPr>
                  </w:pPr>
                  <w:r>
                    <w:rPr>
                      <w:rFonts w:hint="eastAsia" w:hAnsi="宋体"/>
                    </w:rPr>
                    <w:t>土地类型</w:t>
                  </w:r>
                </w:p>
              </w:tc>
              <w:tc>
                <w:tcPr>
                  <w:tcW w:w="1220" w:type="pct"/>
                  <w:vAlign w:val="center"/>
                </w:tcPr>
                <w:p w14:paraId="1B54F6A8">
                  <w:pPr>
                    <w:pStyle w:val="87"/>
                    <w:rPr>
                      <w:rFonts w:hint="eastAsia" w:hAnsi="宋体"/>
                    </w:rPr>
                  </w:pPr>
                  <w:r>
                    <w:rPr>
                      <w:rFonts w:hint="eastAsia" w:hAnsi="宋体"/>
                    </w:rPr>
                    <w:t>占地面积（m</w:t>
                  </w:r>
                  <w:r>
                    <w:rPr>
                      <w:rFonts w:hint="eastAsia" w:hAnsi="宋体"/>
                      <w:vertAlign w:val="superscript"/>
                    </w:rPr>
                    <w:t>2</w:t>
                  </w:r>
                  <w:r>
                    <w:rPr>
                      <w:rFonts w:hint="eastAsia" w:hAnsi="宋体"/>
                    </w:rPr>
                    <w:t>）</w:t>
                  </w:r>
                </w:p>
              </w:tc>
            </w:tr>
            <w:tr w14:paraId="5E24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Align w:val="center"/>
                </w:tcPr>
                <w:p w14:paraId="50B5100D">
                  <w:pPr>
                    <w:pStyle w:val="87"/>
                    <w:rPr>
                      <w:rFonts w:hint="eastAsia" w:hAnsi="宋体"/>
                    </w:rPr>
                  </w:pPr>
                  <w:r>
                    <w:rPr>
                      <w:rFonts w:hint="eastAsia" w:hAnsi="宋体"/>
                    </w:rPr>
                    <w:t>进井道路</w:t>
                  </w:r>
                </w:p>
              </w:tc>
              <w:tc>
                <w:tcPr>
                  <w:tcW w:w="788" w:type="pct"/>
                  <w:vAlign w:val="center"/>
                </w:tcPr>
                <w:p w14:paraId="4D35B48A">
                  <w:pPr>
                    <w:pStyle w:val="87"/>
                    <w:rPr>
                      <w:rFonts w:hint="eastAsia" w:hAnsi="宋体"/>
                    </w:rPr>
                  </w:pPr>
                  <w:r>
                    <w:rPr>
                      <w:rFonts w:hint="eastAsia" w:hAnsi="宋体"/>
                    </w:rPr>
                    <w:t>28000</w:t>
                  </w:r>
                </w:p>
              </w:tc>
              <w:tc>
                <w:tcPr>
                  <w:tcW w:w="789" w:type="pct"/>
                  <w:vAlign w:val="center"/>
                </w:tcPr>
                <w:p w14:paraId="205BE89A">
                  <w:pPr>
                    <w:pStyle w:val="87"/>
                    <w:rPr>
                      <w:rFonts w:hint="eastAsia" w:hAnsi="宋体"/>
                    </w:rPr>
                  </w:pPr>
                  <w:r>
                    <w:rPr>
                      <w:rFonts w:hint="eastAsia" w:hAnsi="宋体"/>
                    </w:rPr>
                    <w:t>0</w:t>
                  </w:r>
                </w:p>
              </w:tc>
              <w:tc>
                <w:tcPr>
                  <w:tcW w:w="1415" w:type="pct"/>
                  <w:vMerge w:val="restart"/>
                  <w:vAlign w:val="center"/>
                </w:tcPr>
                <w:p w14:paraId="00F726F4">
                  <w:pPr>
                    <w:pStyle w:val="87"/>
                    <w:rPr>
                      <w:rFonts w:hint="eastAsia" w:hAnsi="宋体"/>
                    </w:rPr>
                  </w:pPr>
                  <w:r>
                    <w:rPr>
                      <w:rFonts w:hint="eastAsia" w:hAnsi="宋体"/>
                    </w:rPr>
                    <w:t>灌木林地</w:t>
                  </w:r>
                </w:p>
              </w:tc>
              <w:tc>
                <w:tcPr>
                  <w:tcW w:w="1921" w:type="dxa"/>
                  <w:vAlign w:val="center"/>
                </w:tcPr>
                <w:p w14:paraId="249E0B4D">
                  <w:pPr>
                    <w:pStyle w:val="87"/>
                    <w:rPr>
                      <w:rFonts w:hint="eastAsia" w:hAnsi="宋体"/>
                    </w:rPr>
                  </w:pPr>
                  <w:r>
                    <w:rPr>
                      <w:rFonts w:hint="eastAsia" w:hAnsi="宋体"/>
                    </w:rPr>
                    <w:t>28000</w:t>
                  </w:r>
                </w:p>
              </w:tc>
            </w:tr>
            <w:tr w14:paraId="36ED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Align w:val="center"/>
                </w:tcPr>
                <w:p w14:paraId="30AB53E2">
                  <w:pPr>
                    <w:pStyle w:val="87"/>
                    <w:rPr>
                      <w:rFonts w:hint="eastAsia" w:hAnsi="宋体"/>
                    </w:rPr>
                  </w:pPr>
                  <w:r>
                    <w:rPr>
                      <w:rFonts w:hint="eastAsia" w:hAnsi="宋体"/>
                    </w:rPr>
                    <w:t>井场</w:t>
                  </w:r>
                </w:p>
              </w:tc>
              <w:tc>
                <w:tcPr>
                  <w:tcW w:w="788" w:type="pct"/>
                  <w:vAlign w:val="center"/>
                </w:tcPr>
                <w:p w14:paraId="37BDBFD9">
                  <w:pPr>
                    <w:pStyle w:val="87"/>
                    <w:rPr>
                      <w:rFonts w:hint="eastAsia" w:hAnsi="宋体"/>
                    </w:rPr>
                  </w:pPr>
                  <w:r>
                    <w:rPr>
                      <w:rFonts w:hint="eastAsia" w:hAnsi="宋体"/>
                    </w:rPr>
                    <w:t>14300</w:t>
                  </w:r>
                </w:p>
              </w:tc>
              <w:tc>
                <w:tcPr>
                  <w:tcW w:w="789" w:type="pct"/>
                  <w:vAlign w:val="center"/>
                </w:tcPr>
                <w:p w14:paraId="0575AAE6">
                  <w:pPr>
                    <w:pStyle w:val="87"/>
                    <w:rPr>
                      <w:rFonts w:hint="eastAsia" w:hAnsi="宋体"/>
                    </w:rPr>
                  </w:pPr>
                  <w:r>
                    <w:rPr>
                      <w:rFonts w:hint="eastAsia" w:hAnsi="宋体"/>
                    </w:rPr>
                    <w:t>0</w:t>
                  </w:r>
                </w:p>
              </w:tc>
              <w:tc>
                <w:tcPr>
                  <w:tcW w:w="1415" w:type="pct"/>
                  <w:vMerge w:val="continue"/>
                  <w:vAlign w:val="center"/>
                </w:tcPr>
                <w:p w14:paraId="0E29DC7A">
                  <w:pPr>
                    <w:pStyle w:val="87"/>
                    <w:rPr>
                      <w:rFonts w:hint="eastAsia" w:hAnsi="宋体"/>
                    </w:rPr>
                  </w:pPr>
                </w:p>
              </w:tc>
              <w:tc>
                <w:tcPr>
                  <w:tcW w:w="1921" w:type="dxa"/>
                  <w:vAlign w:val="center"/>
                </w:tcPr>
                <w:p w14:paraId="76FBDA28">
                  <w:pPr>
                    <w:pStyle w:val="87"/>
                    <w:rPr>
                      <w:rFonts w:hint="eastAsia" w:hAnsi="宋体"/>
                    </w:rPr>
                  </w:pPr>
                  <w:r>
                    <w:rPr>
                      <w:rFonts w:hint="eastAsia" w:hAnsi="宋体"/>
                    </w:rPr>
                    <w:t>14300</w:t>
                  </w:r>
                </w:p>
              </w:tc>
            </w:tr>
            <w:tr w14:paraId="0DFD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Align w:val="center"/>
                </w:tcPr>
                <w:p w14:paraId="42E3DFF2">
                  <w:pPr>
                    <w:pStyle w:val="87"/>
                    <w:rPr>
                      <w:rFonts w:hint="eastAsia" w:hAnsi="宋体"/>
                    </w:rPr>
                  </w:pPr>
                  <w:r>
                    <w:rPr>
                      <w:rFonts w:hint="eastAsia" w:hAnsi="宋体"/>
                    </w:rPr>
                    <w:t>生活区</w:t>
                  </w:r>
                </w:p>
              </w:tc>
              <w:tc>
                <w:tcPr>
                  <w:tcW w:w="788" w:type="pct"/>
                  <w:vAlign w:val="center"/>
                </w:tcPr>
                <w:p w14:paraId="3B131DAF">
                  <w:pPr>
                    <w:pStyle w:val="87"/>
                    <w:rPr>
                      <w:rFonts w:hint="eastAsia" w:hAnsi="宋体"/>
                    </w:rPr>
                  </w:pPr>
                  <w:r>
                    <w:rPr>
                      <w:rFonts w:hint="eastAsia" w:hAnsi="宋体"/>
                    </w:rPr>
                    <w:t>20</w:t>
                  </w:r>
                  <w:r>
                    <w:rPr>
                      <w:rFonts w:hAnsi="宋体"/>
                    </w:rPr>
                    <w:t>00</w:t>
                  </w:r>
                </w:p>
              </w:tc>
              <w:tc>
                <w:tcPr>
                  <w:tcW w:w="789" w:type="pct"/>
                  <w:vAlign w:val="center"/>
                </w:tcPr>
                <w:p w14:paraId="67668316">
                  <w:pPr>
                    <w:pStyle w:val="87"/>
                    <w:rPr>
                      <w:rFonts w:hint="eastAsia" w:hAnsi="宋体"/>
                    </w:rPr>
                  </w:pPr>
                  <w:r>
                    <w:rPr>
                      <w:rFonts w:hint="eastAsia" w:hAnsi="宋体"/>
                    </w:rPr>
                    <w:t>0</w:t>
                  </w:r>
                </w:p>
              </w:tc>
              <w:tc>
                <w:tcPr>
                  <w:tcW w:w="1415" w:type="pct"/>
                  <w:vMerge w:val="continue"/>
                  <w:vAlign w:val="center"/>
                </w:tcPr>
                <w:p w14:paraId="62BFCBE4">
                  <w:pPr>
                    <w:pStyle w:val="87"/>
                    <w:rPr>
                      <w:rFonts w:hint="eastAsia" w:hAnsi="宋体"/>
                    </w:rPr>
                  </w:pPr>
                </w:p>
              </w:tc>
              <w:tc>
                <w:tcPr>
                  <w:tcW w:w="1921" w:type="dxa"/>
                  <w:vAlign w:val="center"/>
                </w:tcPr>
                <w:p w14:paraId="72FDCF0E">
                  <w:pPr>
                    <w:pStyle w:val="87"/>
                    <w:rPr>
                      <w:rFonts w:hint="eastAsia" w:hAnsi="宋体"/>
                    </w:rPr>
                  </w:pPr>
                  <w:r>
                    <w:rPr>
                      <w:rFonts w:hint="eastAsia" w:hAnsi="宋体"/>
                    </w:rPr>
                    <w:t>20</w:t>
                  </w:r>
                  <w:r>
                    <w:rPr>
                      <w:rFonts w:hAnsi="宋体"/>
                    </w:rPr>
                    <w:t>00</w:t>
                  </w:r>
                </w:p>
              </w:tc>
            </w:tr>
            <w:tr w14:paraId="72BE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Align w:val="center"/>
                </w:tcPr>
                <w:p w14:paraId="45EC4CAB">
                  <w:pPr>
                    <w:pStyle w:val="87"/>
                    <w:rPr>
                      <w:rFonts w:hint="eastAsia" w:hAnsi="宋体"/>
                    </w:rPr>
                  </w:pPr>
                  <w:r>
                    <w:rPr>
                      <w:rFonts w:hint="eastAsia" w:hAnsi="宋体"/>
                    </w:rPr>
                    <w:t>放喷区域</w:t>
                  </w:r>
                </w:p>
              </w:tc>
              <w:tc>
                <w:tcPr>
                  <w:tcW w:w="788" w:type="pct"/>
                  <w:vAlign w:val="center"/>
                </w:tcPr>
                <w:p w14:paraId="15460481">
                  <w:pPr>
                    <w:pStyle w:val="87"/>
                    <w:rPr>
                      <w:rFonts w:hint="eastAsia" w:hAnsi="宋体"/>
                    </w:rPr>
                  </w:pPr>
                  <w:r>
                    <w:rPr>
                      <w:rStyle w:val="37"/>
                      <w:rFonts w:hint="eastAsia"/>
                    </w:rPr>
                    <w:t>352</w:t>
                  </w:r>
                </w:p>
              </w:tc>
              <w:tc>
                <w:tcPr>
                  <w:tcW w:w="789" w:type="pct"/>
                  <w:vAlign w:val="center"/>
                </w:tcPr>
                <w:p w14:paraId="3A278E2C">
                  <w:pPr>
                    <w:pStyle w:val="87"/>
                    <w:rPr>
                      <w:rFonts w:hint="eastAsia" w:hAnsi="宋体"/>
                    </w:rPr>
                  </w:pPr>
                  <w:r>
                    <w:rPr>
                      <w:rFonts w:hint="eastAsia" w:hAnsi="宋体"/>
                    </w:rPr>
                    <w:t>0</w:t>
                  </w:r>
                </w:p>
              </w:tc>
              <w:tc>
                <w:tcPr>
                  <w:tcW w:w="1415" w:type="pct"/>
                  <w:vMerge w:val="continue"/>
                  <w:vAlign w:val="center"/>
                </w:tcPr>
                <w:p w14:paraId="1A860880">
                  <w:pPr>
                    <w:pStyle w:val="87"/>
                    <w:rPr>
                      <w:rFonts w:hint="eastAsia" w:hAnsi="宋体"/>
                    </w:rPr>
                  </w:pPr>
                </w:p>
              </w:tc>
              <w:tc>
                <w:tcPr>
                  <w:tcW w:w="1921" w:type="dxa"/>
                  <w:vAlign w:val="center"/>
                </w:tcPr>
                <w:p w14:paraId="2300DA2A">
                  <w:pPr>
                    <w:pStyle w:val="87"/>
                    <w:rPr>
                      <w:rFonts w:hint="eastAsia" w:hAnsi="宋体"/>
                    </w:rPr>
                  </w:pPr>
                  <w:r>
                    <w:rPr>
                      <w:rStyle w:val="37"/>
                      <w:rFonts w:hint="eastAsia"/>
                    </w:rPr>
                    <w:t>352</w:t>
                  </w:r>
                </w:p>
              </w:tc>
            </w:tr>
            <w:tr w14:paraId="1FE5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Align w:val="center"/>
                </w:tcPr>
                <w:p w14:paraId="05800C8D">
                  <w:pPr>
                    <w:pStyle w:val="87"/>
                    <w:rPr>
                      <w:rFonts w:hint="eastAsia" w:hAnsi="宋体"/>
                    </w:rPr>
                  </w:pPr>
                  <w:r>
                    <w:rPr>
                      <w:rFonts w:hint="eastAsia" w:hAnsi="宋体"/>
                    </w:rPr>
                    <w:t>合计</w:t>
                  </w:r>
                </w:p>
              </w:tc>
              <w:tc>
                <w:tcPr>
                  <w:tcW w:w="1577" w:type="pct"/>
                  <w:gridSpan w:val="2"/>
                  <w:vAlign w:val="center"/>
                </w:tcPr>
                <w:p w14:paraId="1C6E295C">
                  <w:pPr>
                    <w:pStyle w:val="87"/>
                    <w:rPr>
                      <w:rFonts w:hint="eastAsia" w:hAnsi="宋体"/>
                    </w:rPr>
                  </w:pPr>
                  <w:r>
                    <w:rPr>
                      <w:rFonts w:hint="eastAsia" w:hAnsi="宋体"/>
                      <w:lang w:bidi="ar"/>
                    </w:rPr>
                    <w:t>44652</w:t>
                  </w:r>
                </w:p>
              </w:tc>
              <w:tc>
                <w:tcPr>
                  <w:tcW w:w="2635" w:type="pct"/>
                  <w:gridSpan w:val="2"/>
                  <w:vAlign w:val="center"/>
                </w:tcPr>
                <w:p w14:paraId="4935615F">
                  <w:pPr>
                    <w:pStyle w:val="87"/>
                    <w:rPr>
                      <w:rFonts w:hint="eastAsia" w:hAnsi="宋体"/>
                    </w:rPr>
                  </w:pPr>
                  <w:r>
                    <w:rPr>
                      <w:rFonts w:hint="eastAsia" w:hAnsi="宋体"/>
                      <w:lang w:bidi="ar"/>
                    </w:rPr>
                    <w:t>44652</w:t>
                  </w:r>
                </w:p>
              </w:tc>
            </w:tr>
          </w:tbl>
          <w:p w14:paraId="3EB2533A">
            <w:pPr>
              <w:pStyle w:val="113"/>
              <w:ind w:firstLine="0" w:firstLineChars="0"/>
              <w:rPr>
                <w:rFonts w:hint="eastAsia"/>
                <w:kern w:val="0"/>
              </w:rPr>
            </w:pPr>
          </w:p>
          <w:p w14:paraId="5A2FA3AC">
            <w:pPr>
              <w:pStyle w:val="113"/>
              <w:ind w:firstLine="0" w:firstLineChars="0"/>
              <w:rPr>
                <w:rFonts w:hint="eastAsia"/>
                <w:kern w:val="0"/>
              </w:rPr>
            </w:pPr>
          </w:p>
        </w:tc>
      </w:tr>
      <w:tr w14:paraId="779A1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4D34AA97">
            <w:pPr>
              <w:adjustRightInd w:val="0"/>
              <w:snapToGrid w:val="0"/>
              <w:jc w:val="center"/>
              <w:rPr>
                <w:rFonts w:hint="eastAsia" w:ascii="宋体" w:hAnsi="宋体" w:cs="宋体"/>
                <w:kern w:val="0"/>
                <w:szCs w:val="21"/>
              </w:rPr>
            </w:pPr>
            <w:r>
              <w:rPr>
                <w:rFonts w:hint="eastAsia" w:ascii="宋体" w:hAnsi="宋体" w:cs="宋体"/>
                <w:kern w:val="0"/>
                <w:szCs w:val="21"/>
              </w:rPr>
              <w:t>施工方案</w:t>
            </w:r>
          </w:p>
        </w:tc>
        <w:tc>
          <w:tcPr>
            <w:tcW w:w="4750" w:type="pct"/>
            <w:vAlign w:val="center"/>
          </w:tcPr>
          <w:p w14:paraId="788136B2">
            <w:pPr>
              <w:pStyle w:val="113"/>
              <w:rPr>
                <w:rFonts w:hint="eastAsia"/>
                <w:szCs w:val="21"/>
              </w:rPr>
            </w:pPr>
            <w:r>
              <w:rPr>
                <w:rFonts w:hint="eastAsia"/>
                <w:kern w:val="0"/>
              </w:rPr>
              <w:t>1、施工期作业流程</w:t>
            </w:r>
          </w:p>
          <w:p w14:paraId="101C54AF">
            <w:pPr>
              <w:pStyle w:val="113"/>
              <w:rPr>
                <w:rFonts w:hint="eastAsia"/>
              </w:rPr>
            </w:pPr>
            <w:r>
              <w:rPr>
                <w:rFonts w:hint="eastAsia"/>
              </w:rPr>
              <w:t>1）钻前工程</w:t>
            </w:r>
          </w:p>
          <w:p w14:paraId="29E98788">
            <w:pPr>
              <w:pStyle w:val="113"/>
              <w:rPr>
                <w:rFonts w:hint="eastAsia"/>
              </w:rPr>
            </w:pPr>
            <w:r>
              <w:rPr>
                <w:rFonts w:hint="eastAsia"/>
              </w:rPr>
              <w:t>本项目钻前工程主要为进场道路建设、井场以及辅助设施建设和设备安装等。</w:t>
            </w:r>
          </w:p>
          <w:p w14:paraId="7F012A98">
            <w:pPr>
              <w:pStyle w:val="113"/>
              <w:rPr>
                <w:rFonts w:hint="eastAsia"/>
              </w:rPr>
            </w:pPr>
            <w:r>
              <w:rPr>
                <w:rFonts w:hint="eastAsia"/>
              </w:rPr>
              <w:t>（1）进场道路建设</w:t>
            </w:r>
          </w:p>
          <w:p w14:paraId="6ACC0047">
            <w:pPr>
              <w:pStyle w:val="113"/>
              <w:rPr>
                <w:rFonts w:hint="eastAsia"/>
              </w:rPr>
            </w:pPr>
            <w:r>
              <w:rPr>
                <w:rFonts w:hint="eastAsia"/>
              </w:rPr>
              <w:t>本项目新建路宽约7m通井道路，长约4000m，洒水平整压实。</w:t>
            </w:r>
          </w:p>
          <w:p w14:paraId="2F3395C3">
            <w:pPr>
              <w:pStyle w:val="113"/>
              <w:rPr>
                <w:rFonts w:hint="eastAsia"/>
              </w:rPr>
            </w:pPr>
            <w:r>
              <w:rPr>
                <w:rFonts w:hint="eastAsia"/>
              </w:rPr>
              <w:t>（2）井场、辅助设施建设</w:t>
            </w:r>
          </w:p>
          <w:p w14:paraId="690517F4">
            <w:pPr>
              <w:pStyle w:val="113"/>
              <w:rPr>
                <w:rFonts w:hint="eastAsia"/>
              </w:rPr>
            </w:pPr>
            <w:r>
              <w:rPr>
                <w:rFonts w:hint="eastAsia"/>
              </w:rPr>
              <w:t>根据井场平面布置图，首先对井场进行初步平整，然后采用挖掘机进行池体开挖作业，并利用挖方对场地进行平整。场地平整作业结束后，进行设备基础</w:t>
            </w:r>
            <w:r>
              <w:rPr>
                <w:rFonts w:hint="eastAsia"/>
                <w:kern w:val="0"/>
              </w:rPr>
              <w:t>（包括钻机、井架、钻井泵等基础设备）</w:t>
            </w:r>
            <w:r>
              <w:rPr>
                <w:rFonts w:hint="eastAsia"/>
              </w:rPr>
              <w:t>及池体防渗工程的建设。</w:t>
            </w:r>
          </w:p>
          <w:p w14:paraId="0374DBBD">
            <w:pPr>
              <w:pStyle w:val="113"/>
              <w:rPr>
                <w:rFonts w:hint="eastAsia"/>
              </w:rPr>
            </w:pPr>
            <w:r>
              <w:rPr>
                <w:rFonts w:hint="eastAsia"/>
              </w:rPr>
              <w:t>（3）设备安装</w:t>
            </w:r>
          </w:p>
          <w:p w14:paraId="351E8AF2">
            <w:pPr>
              <w:pStyle w:val="113"/>
              <w:rPr>
                <w:rFonts w:hint="eastAsia"/>
              </w:rPr>
            </w:pPr>
            <w:r>
              <w:rPr>
                <w:rFonts w:hint="eastAsia"/>
              </w:rPr>
              <w:t>进场道路及井场修建完成后，由运输车辆将各类设备、橇装房逐步运至井场，并按井场平面布置所示位置进行安装，通过检查满足钻井要求时开始进行钻井工程。</w:t>
            </w:r>
          </w:p>
          <w:p w14:paraId="6FC542F9">
            <w:pPr>
              <w:pStyle w:val="113"/>
              <w:rPr>
                <w:rFonts w:hint="eastAsia"/>
              </w:rPr>
            </w:pPr>
            <w:r>
              <w:rPr>
                <w:rFonts w:hint="eastAsia"/>
              </w:rPr>
              <w:t>2）钻井工程</w:t>
            </w:r>
          </w:p>
          <w:p w14:paraId="7DA73B38">
            <w:pPr>
              <w:pStyle w:val="113"/>
              <w:rPr>
                <w:rFonts w:hint="eastAsia"/>
              </w:rPr>
            </w:pPr>
            <w:r>
              <w:rPr>
                <w:rFonts w:hint="eastAsia"/>
              </w:rPr>
              <w:t>（1）钻进</w:t>
            </w:r>
          </w:p>
          <w:p w14:paraId="1397E1C9">
            <w:pPr>
              <w:pStyle w:val="113"/>
              <w:rPr>
                <w:rFonts w:hint="eastAsia"/>
              </w:rPr>
            </w:pPr>
            <w:r>
              <w:rPr>
                <w:rFonts w:hint="eastAsia"/>
              </w:rPr>
              <w:t>钻井阶段使用的钻机为电钻机，正常钻井作业时动力由柴油发电机提供。通过钻机、转盘，带动钻杆切削地层，同时由泥浆泵经钻杆将冲洗液注入井筒冲刷井底，将切削下的岩心不断带至地面，整个过程循环进行，使井不断加深，直至目的井深。钻井中途需要停钻，以便起下钻具更换钻头、下套管、固井、替换洗井液和检修设备。</w:t>
            </w:r>
          </w:p>
          <w:p w14:paraId="44BD9B09">
            <w:pPr>
              <w:pStyle w:val="113"/>
              <w:rPr>
                <w:rFonts w:hint="eastAsia"/>
              </w:rPr>
            </w:pPr>
            <w:r>
              <w:rPr>
                <w:rFonts w:hint="eastAsia"/>
              </w:rPr>
              <w:t>（</w:t>
            </w:r>
            <w:r>
              <w:t>2</w:t>
            </w:r>
            <w:r>
              <w:rPr>
                <w:rFonts w:hint="eastAsia"/>
              </w:rPr>
              <w:t>）钻井辅助作业</w:t>
            </w:r>
          </w:p>
          <w:p w14:paraId="38F178E5">
            <w:pPr>
              <w:pStyle w:val="113"/>
              <w:rPr>
                <w:rFonts w:hint="eastAsia"/>
              </w:rPr>
            </w:pPr>
            <w:r>
              <w:rPr>
                <w:rFonts w:hint="eastAsia"/>
              </w:rPr>
              <w:t>测井：把利用电、磁、声、热、核等物理原理制造的各种测井仪器，由测井电缆下入井内，使地面电测仪可沿着井筒连续记录随深度变化的各种参数。通过表示这类参数的曲线，来识别地下的岩层，如油、气、水层、煤层、金属矿床等。</w:t>
            </w:r>
          </w:p>
          <w:p w14:paraId="22B7ADC1">
            <w:pPr>
              <w:pStyle w:val="113"/>
              <w:rPr>
                <w:rFonts w:hint="eastAsia"/>
              </w:rPr>
            </w:pPr>
            <w:r>
              <w:rPr>
                <w:rFonts w:hint="eastAsia"/>
              </w:rPr>
              <w:t>取心：在钻井过程中使用特殊的取心工具把地下岩石成块地取到地面上来，这种成块的岩石叫做岩心，通过它可以测定岩石的各种性质，直观地研究地下构造和岩石沉积环境，了解其中的流体性质等。</w:t>
            </w:r>
          </w:p>
          <w:p w14:paraId="7B91804E">
            <w:pPr>
              <w:pStyle w:val="113"/>
              <w:rPr>
                <w:rFonts w:hint="eastAsia"/>
              </w:rPr>
            </w:pPr>
            <w:r>
              <w:rPr>
                <w:rFonts w:hint="eastAsia"/>
              </w:rPr>
              <w:t>录井：根据测井数据、现场录井数据及综合分析化验数据进行岩性解释、归位，确定含油、气、水产状。</w:t>
            </w:r>
          </w:p>
          <w:p w14:paraId="17F41D36">
            <w:pPr>
              <w:pStyle w:val="113"/>
              <w:rPr>
                <w:rFonts w:hint="eastAsia"/>
              </w:rPr>
            </w:pPr>
            <w:r>
              <w:rPr>
                <w:rFonts w:hint="eastAsia"/>
              </w:rPr>
              <w:t>测井、取心、录井主要就是取样分析地质等情况，该过程基本不涉及污染物。</w:t>
            </w:r>
          </w:p>
          <w:p w14:paraId="0B115140">
            <w:pPr>
              <w:pStyle w:val="113"/>
              <w:rPr>
                <w:rFonts w:hint="eastAsia"/>
                <w:szCs w:val="21"/>
              </w:rPr>
            </w:pPr>
            <w:r>
              <w:rPr>
                <w:rFonts w:hint="eastAsia"/>
              </w:rPr>
              <w:t>（</w:t>
            </w:r>
            <w:r>
              <w:t>3</w:t>
            </w:r>
            <w:r>
              <w:rPr>
                <w:rFonts w:hint="eastAsia"/>
              </w:rPr>
              <w:t>）固井</w:t>
            </w:r>
          </w:p>
          <w:p w14:paraId="3266B34E">
            <w:pPr>
              <w:pStyle w:val="113"/>
              <w:rPr>
                <w:rFonts w:hint="eastAsia"/>
              </w:rPr>
            </w:pPr>
            <w:r>
              <w:rPr>
                <w:rFonts w:hint="eastAsia"/>
              </w:rPr>
              <w:t>固井是在已钻成的井筒内下入套管，然后在套管与井壁之间环空内注入水泥浆，将套管和地层固结在一起的工艺过程，可防止复杂情况，以保证安全继续钻进下一段井筒。</w:t>
            </w:r>
          </w:p>
          <w:p w14:paraId="28F993E0">
            <w:pPr>
              <w:pStyle w:val="113"/>
              <w:rPr>
                <w:rFonts w:hint="eastAsia"/>
              </w:rPr>
            </w:pPr>
            <w:r>
              <w:rPr>
                <w:rFonts w:hint="eastAsia"/>
              </w:rPr>
              <w:t>（</w:t>
            </w:r>
            <w:r>
              <w:t>4</w:t>
            </w:r>
            <w:r>
              <w:rPr>
                <w:rFonts w:hint="eastAsia"/>
              </w:rPr>
              <w:t>）</w:t>
            </w:r>
            <w:r>
              <w:rPr>
                <w:rFonts w:hint="eastAsia"/>
                <w:kern w:val="0"/>
              </w:rPr>
              <w:t>钻</w:t>
            </w:r>
            <w:r>
              <w:rPr>
                <w:rFonts w:hint="eastAsia"/>
              </w:rPr>
              <w:t>完井</w:t>
            </w:r>
          </w:p>
          <w:p w14:paraId="09AAB85E">
            <w:pPr>
              <w:pStyle w:val="113"/>
              <w:rPr>
                <w:rFonts w:hint="eastAsia"/>
                <w:kern w:val="0"/>
              </w:rPr>
            </w:pPr>
            <w:r>
              <w:rPr>
                <w:rFonts w:hint="eastAsia"/>
                <w:kern w:val="0"/>
              </w:rPr>
              <w:t>钻完井是钻井工程的最后环节。钻井完成后，对钻井设备进行搬家，准备下一口井的钻井工作。</w:t>
            </w:r>
          </w:p>
          <w:p w14:paraId="756FA644">
            <w:pPr>
              <w:pStyle w:val="113"/>
              <w:rPr>
                <w:rFonts w:hint="eastAsia"/>
              </w:rPr>
            </w:pPr>
            <w:r>
              <w:rPr>
                <w:rFonts w:hint="eastAsia"/>
              </w:rPr>
              <w:t>3）试油工程</w:t>
            </w:r>
          </w:p>
          <w:p w14:paraId="574A80C7">
            <w:pPr>
              <w:pStyle w:val="113"/>
              <w:ind w:firstLine="396"/>
              <w:rPr>
                <w:rFonts w:hint="eastAsia"/>
                <w:spacing w:val="-6"/>
              </w:rPr>
            </w:pPr>
            <w:r>
              <w:rPr>
                <w:rFonts w:hint="eastAsia"/>
                <w:spacing w:val="-6"/>
                <w:kern w:val="0"/>
              </w:rPr>
              <w:t>试油主要是将钻井、综合录井、电测所认识和评价的含油气层，通过射孔、替喷、诱喷等多种方式，使地层中的流体（包括油、气和水）进入井筒，流出地面。从而取得地层流体的性质、各种流体的产量、地层压力以及流体流动过程中的压力变化等资料，并通过对这些资料的分析和处理获得地层的各种物性参数，对地层进行评价的工艺过程</w:t>
            </w:r>
            <w:r>
              <w:rPr>
                <w:rFonts w:hint="eastAsia"/>
                <w:spacing w:val="-6"/>
              </w:rPr>
              <w:t>。</w:t>
            </w:r>
          </w:p>
          <w:p w14:paraId="603B38B8">
            <w:pPr>
              <w:pStyle w:val="113"/>
              <w:ind w:firstLine="396"/>
              <w:rPr>
                <w:rFonts w:hint="eastAsia"/>
                <w:spacing w:val="-6"/>
              </w:rPr>
            </w:pPr>
            <w:r>
              <w:rPr>
                <w:rFonts w:hint="eastAsia"/>
                <w:spacing w:val="-6"/>
              </w:rPr>
              <w:t>（1）射孔工艺</w:t>
            </w:r>
          </w:p>
          <w:p w14:paraId="5AFBD04C">
            <w:pPr>
              <w:pStyle w:val="113"/>
              <w:ind w:firstLine="396"/>
              <w:rPr>
                <w:rFonts w:hint="eastAsia"/>
                <w:spacing w:val="-6"/>
              </w:rPr>
            </w:pPr>
            <w:r>
              <w:rPr>
                <w:rFonts w:hint="eastAsia"/>
                <w:spacing w:val="-6"/>
              </w:rPr>
              <w:t>当钻至目的层后，如钻孔在目的层未遇裂隙，则需进行射孔，用射孔枪打开产层；射孔工艺需结合岩相、储层力学性质、裂缝扩展模拟结果，开展分段分簇及射孔方案，射孔长度约为0.3m～1.0m，单簇孔数4～12个。</w:t>
            </w:r>
          </w:p>
          <w:p w14:paraId="0972CB34">
            <w:pPr>
              <w:pStyle w:val="113"/>
              <w:ind w:firstLine="396"/>
              <w:rPr>
                <w:rFonts w:hint="eastAsia"/>
                <w:spacing w:val="-6"/>
              </w:rPr>
            </w:pPr>
            <w:r>
              <w:rPr>
                <w:rFonts w:hint="eastAsia"/>
                <w:spacing w:val="-6"/>
              </w:rPr>
              <w:t>（2）压裂工艺</w:t>
            </w:r>
          </w:p>
          <w:p w14:paraId="13EA4A55">
            <w:pPr>
              <w:pStyle w:val="113"/>
              <w:ind w:firstLine="396"/>
              <w:rPr>
                <w:rFonts w:hint="eastAsia"/>
                <w:spacing w:val="-6"/>
              </w:rPr>
            </w:pPr>
            <w:r>
              <w:rPr>
                <w:rFonts w:hint="eastAsia"/>
                <w:spacing w:val="-6"/>
              </w:rPr>
              <w:t>射孔后将压裂液注入地层孔隙、裂缝中，扩大或沟通地层岩石的孔隙裂缝，改善地层近井地带渗透率，使含油层的油气资源通过裂隙采出。压入地层的压裂液会在排液阶段从井底返排出来，即为压裂返排液。</w:t>
            </w:r>
          </w:p>
          <w:p w14:paraId="1E325A73">
            <w:pPr>
              <w:pStyle w:val="113"/>
              <w:ind w:firstLine="396"/>
              <w:rPr>
                <w:rFonts w:hint="eastAsia"/>
                <w:spacing w:val="-6"/>
              </w:rPr>
            </w:pPr>
            <w:r>
              <w:rPr>
                <w:rFonts w:hint="eastAsia"/>
                <w:spacing w:val="-6"/>
              </w:rPr>
              <w:t>（3）抽汲诱喷</w:t>
            </w:r>
          </w:p>
          <w:p w14:paraId="0CC4B0C4">
            <w:pPr>
              <w:pStyle w:val="113"/>
              <w:ind w:firstLine="396"/>
              <w:rPr>
                <w:rFonts w:hint="eastAsia"/>
                <w:spacing w:val="-6"/>
              </w:rPr>
            </w:pPr>
            <w:r>
              <w:rPr>
                <w:rFonts w:hint="eastAsia"/>
                <w:spacing w:val="-6"/>
              </w:rPr>
              <w:t>抽汲诱喷是用抽汲工具抽汲井内的液体，降低液面的高度，使井筒液柱压力低于地层压力，诱导地层流体进入井筒或喷出地面的作业，通常称为排液。</w:t>
            </w:r>
          </w:p>
          <w:p w14:paraId="70BE1183">
            <w:pPr>
              <w:pStyle w:val="113"/>
              <w:rPr>
                <w:rFonts w:hint="eastAsia"/>
                <w:kern w:val="0"/>
              </w:rPr>
            </w:pPr>
            <w:r>
              <w:rPr>
                <w:rFonts w:hint="eastAsia"/>
                <w:kern w:val="0"/>
              </w:rPr>
              <w:t>4）钻后工程</w:t>
            </w:r>
          </w:p>
          <w:p w14:paraId="46B2C547">
            <w:pPr>
              <w:pStyle w:val="113"/>
              <w:rPr>
                <w:rFonts w:hint="eastAsia"/>
                <w:kern w:val="0"/>
              </w:rPr>
            </w:pPr>
            <w:r>
              <w:rPr>
                <w:rFonts w:hint="eastAsia"/>
                <w:kern w:val="0"/>
              </w:rPr>
              <w:t>测试完井后，要换装井口装置，其余设施将拆除、搬迁，施工材料全部进行回收，井场无遗留，施工过程中产生的各类废物进行清理，对达不到工业开采要求的探井进行永久封井（向井管内全程灌注高密度水泥），按照封井规范进行封井处置，并将临时占地恢复原貌。对于获得工业油气流的探井作为储备待今后开发。</w:t>
            </w:r>
          </w:p>
          <w:p w14:paraId="534703D7">
            <w:pPr>
              <w:pStyle w:val="113"/>
              <w:rPr>
                <w:rFonts w:hint="eastAsia"/>
                <w:kern w:val="0"/>
              </w:rPr>
            </w:pPr>
          </w:p>
          <w:p w14:paraId="666B4125">
            <w:pPr>
              <w:pStyle w:val="113"/>
              <w:rPr>
                <w:rFonts w:hint="eastAsia"/>
                <w:kern w:val="0"/>
              </w:rPr>
            </w:pPr>
          </w:p>
          <w:p w14:paraId="279F2D82">
            <w:pPr>
              <w:pStyle w:val="113"/>
              <w:rPr>
                <w:rFonts w:hint="eastAsia"/>
                <w:kern w:val="0"/>
              </w:rPr>
            </w:pPr>
          </w:p>
          <w:p w14:paraId="7440E39F">
            <w:pPr>
              <w:pStyle w:val="113"/>
              <w:rPr>
                <w:rFonts w:hint="eastAsia"/>
                <w:kern w:val="0"/>
              </w:rPr>
            </w:pPr>
          </w:p>
          <w:p w14:paraId="7AF7B144">
            <w:pPr>
              <w:pStyle w:val="113"/>
              <w:rPr>
                <w:rFonts w:hint="eastAsia"/>
                <w:kern w:val="0"/>
              </w:rPr>
            </w:pPr>
          </w:p>
          <w:p w14:paraId="5CF9FDFE">
            <w:pPr>
              <w:pStyle w:val="113"/>
              <w:rPr>
                <w:rFonts w:hint="eastAsia"/>
                <w:kern w:val="0"/>
              </w:rPr>
            </w:pPr>
          </w:p>
          <w:p w14:paraId="6025DCA4">
            <w:pPr>
              <w:pStyle w:val="113"/>
              <w:rPr>
                <w:rFonts w:hint="eastAsia"/>
                <w:kern w:val="0"/>
              </w:rPr>
            </w:pPr>
          </w:p>
          <w:p w14:paraId="2044B348">
            <w:pPr>
              <w:pStyle w:val="113"/>
              <w:rPr>
                <w:rFonts w:hint="eastAsia"/>
                <w:kern w:val="0"/>
              </w:rPr>
            </w:pPr>
          </w:p>
          <w:p w14:paraId="09EB912F">
            <w:pPr>
              <w:pStyle w:val="113"/>
              <w:rPr>
                <w:rFonts w:hint="eastAsia"/>
                <w:kern w:val="0"/>
              </w:rPr>
            </w:pPr>
          </w:p>
          <w:p w14:paraId="41AF1B77">
            <w:pPr>
              <w:pStyle w:val="113"/>
              <w:rPr>
                <w:rFonts w:hint="eastAsia"/>
                <w:kern w:val="0"/>
              </w:rPr>
            </w:pPr>
          </w:p>
          <w:p w14:paraId="013E4E5A">
            <w:pPr>
              <w:pStyle w:val="113"/>
              <w:rPr>
                <w:rFonts w:hint="eastAsia"/>
                <w:kern w:val="0"/>
              </w:rPr>
            </w:pPr>
          </w:p>
          <w:p w14:paraId="04B07B36">
            <w:pPr>
              <w:pStyle w:val="113"/>
              <w:rPr>
                <w:rFonts w:hint="eastAsia"/>
                <w:kern w:val="0"/>
              </w:rPr>
            </w:pPr>
          </w:p>
          <w:p w14:paraId="4422F348">
            <w:pPr>
              <w:pStyle w:val="113"/>
              <w:rPr>
                <w:rFonts w:hint="eastAsia"/>
                <w:kern w:val="0"/>
              </w:rPr>
            </w:pPr>
          </w:p>
          <w:p w14:paraId="0ED5F5A6">
            <w:pPr>
              <w:pStyle w:val="113"/>
              <w:rPr>
                <w:rFonts w:hint="eastAsia"/>
                <w:kern w:val="0"/>
              </w:rPr>
            </w:pPr>
          </w:p>
          <w:p w14:paraId="709EA40D">
            <w:pPr>
              <w:pStyle w:val="113"/>
              <w:rPr>
                <w:rFonts w:hint="eastAsia"/>
                <w:kern w:val="0"/>
              </w:rPr>
            </w:pPr>
          </w:p>
          <w:p w14:paraId="0F60C185">
            <w:pPr>
              <w:pStyle w:val="113"/>
              <w:rPr>
                <w:rFonts w:hint="eastAsia"/>
                <w:kern w:val="0"/>
              </w:rPr>
            </w:pPr>
          </w:p>
          <w:p w14:paraId="4FBC13C5">
            <w:pPr>
              <w:pStyle w:val="113"/>
              <w:rPr>
                <w:rFonts w:hint="eastAsia"/>
                <w:kern w:val="0"/>
              </w:rPr>
            </w:pPr>
          </w:p>
          <w:p w14:paraId="653E7619">
            <w:pPr>
              <w:pStyle w:val="113"/>
              <w:rPr>
                <w:rFonts w:hint="eastAsia"/>
                <w:kern w:val="0"/>
              </w:rPr>
            </w:pPr>
          </w:p>
          <w:p w14:paraId="0EF82A7E">
            <w:pPr>
              <w:pStyle w:val="113"/>
              <w:rPr>
                <w:rFonts w:hint="eastAsia"/>
                <w:kern w:val="0"/>
              </w:rPr>
            </w:pPr>
          </w:p>
          <w:p w14:paraId="737184F4">
            <w:pPr>
              <w:pStyle w:val="113"/>
              <w:rPr>
                <w:rFonts w:hint="eastAsia"/>
                <w:kern w:val="0"/>
              </w:rPr>
            </w:pPr>
          </w:p>
          <w:p w14:paraId="4542EE4E">
            <w:pPr>
              <w:pStyle w:val="113"/>
              <w:rPr>
                <w:rFonts w:hint="eastAsia"/>
                <w:kern w:val="0"/>
              </w:rPr>
            </w:pPr>
          </w:p>
          <w:p w14:paraId="72248DE4">
            <w:pPr>
              <w:pStyle w:val="113"/>
              <w:rPr>
                <w:rFonts w:hint="eastAsia"/>
                <w:kern w:val="0"/>
              </w:rPr>
            </w:pPr>
          </w:p>
          <w:p w14:paraId="483C05CA">
            <w:pPr>
              <w:pStyle w:val="113"/>
              <w:rPr>
                <w:rFonts w:hint="eastAsia"/>
                <w:kern w:val="0"/>
              </w:rPr>
            </w:pPr>
          </w:p>
          <w:p w14:paraId="23557EEE">
            <w:pPr>
              <w:pStyle w:val="113"/>
              <w:rPr>
                <w:rFonts w:hint="eastAsia"/>
                <w:kern w:val="0"/>
              </w:rPr>
            </w:pPr>
          </w:p>
          <w:p w14:paraId="0C6809CE">
            <w:pPr>
              <w:pStyle w:val="113"/>
              <w:rPr>
                <w:rFonts w:hint="eastAsia"/>
                <w:kern w:val="0"/>
              </w:rPr>
            </w:pPr>
          </w:p>
          <w:p w14:paraId="356B640C">
            <w:pPr>
              <w:pStyle w:val="113"/>
              <w:rPr>
                <w:rFonts w:hint="eastAsia"/>
                <w:kern w:val="0"/>
              </w:rPr>
            </w:pPr>
          </w:p>
          <w:p w14:paraId="6DF1B915">
            <w:pPr>
              <w:pStyle w:val="113"/>
              <w:rPr>
                <w:rFonts w:hint="eastAsia"/>
                <w:kern w:val="0"/>
              </w:rPr>
            </w:pPr>
          </w:p>
          <w:p w14:paraId="22918A07">
            <w:pPr>
              <w:pStyle w:val="113"/>
              <w:rPr>
                <w:rFonts w:hint="eastAsia"/>
                <w:kern w:val="0"/>
              </w:rPr>
            </w:pPr>
          </w:p>
          <w:p w14:paraId="09AA895A">
            <w:pPr>
              <w:pStyle w:val="113"/>
              <w:rPr>
                <w:rFonts w:hint="eastAsia"/>
                <w:kern w:val="0"/>
              </w:rPr>
            </w:pPr>
          </w:p>
          <w:p w14:paraId="3BAF13D0">
            <w:pPr>
              <w:pStyle w:val="12"/>
              <w:spacing w:before="120"/>
              <w:rPr>
                <w:rFonts w:hint="eastAsia" w:hAnsi="宋体"/>
                <w:szCs w:val="24"/>
              </w:rPr>
            </w:pPr>
            <w:r>
              <w:rPr>
                <w:rFonts w:hint="eastAsia" w:hAnsi="宋体"/>
                <w:szCs w:val="24"/>
              </w:rPr>
              <w:drawing>
                <wp:inline distT="0" distB="0" distL="0" distR="0">
                  <wp:extent cx="4635500" cy="8240395"/>
                  <wp:effectExtent l="19050" t="19050" r="12700" b="27305"/>
                  <wp:docPr id="6" name="图片 113"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3" descr="33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35500" cy="8240395"/>
                          </a:xfrm>
                          <a:prstGeom prst="rect">
                            <a:avLst/>
                          </a:prstGeom>
                          <a:noFill/>
                          <a:ln w="6350">
                            <a:solidFill>
                              <a:schemeClr val="tx1"/>
                            </a:solidFill>
                          </a:ln>
                        </pic:spPr>
                      </pic:pic>
                    </a:graphicData>
                  </a:graphic>
                </wp:inline>
              </w:drawing>
            </w:r>
          </w:p>
          <w:p w14:paraId="4697F791">
            <w:pPr>
              <w:pStyle w:val="12"/>
              <w:spacing w:before="120"/>
              <w:rPr>
                <w:rFonts w:hint="eastAsia" w:hAnsi="宋体"/>
                <w:szCs w:val="21"/>
              </w:rPr>
            </w:pPr>
            <w:r>
              <w:rPr>
                <w:rFonts w:hint="eastAsia" w:hAnsi="宋体"/>
              </w:rPr>
              <w:t>图</w:t>
            </w:r>
            <w:r>
              <w:rPr>
                <w:rFonts w:hAnsi="宋体"/>
              </w:rPr>
              <w:fldChar w:fldCharType="begin"/>
            </w:r>
            <w:r>
              <w:rPr>
                <w:rFonts w:hAnsi="宋体"/>
              </w:rPr>
              <w:instrText xml:space="preserve"> </w:instrText>
            </w:r>
            <w:r>
              <w:rPr>
                <w:rFonts w:hint="eastAsia" w:hAnsi="宋体"/>
              </w:rPr>
              <w:instrText xml:space="preserve">SEQ 图 \* ARABIC</w:instrText>
            </w:r>
            <w:r>
              <w:rPr>
                <w:rFonts w:hAnsi="宋体"/>
              </w:rPr>
              <w:instrText xml:space="preserve"> </w:instrText>
            </w:r>
            <w:r>
              <w:rPr>
                <w:rFonts w:hAnsi="宋体"/>
              </w:rPr>
              <w:fldChar w:fldCharType="separate"/>
            </w:r>
            <w:r>
              <w:rPr>
                <w:rFonts w:hint="eastAsia" w:hAnsi="宋体"/>
              </w:rPr>
              <w:t>4</w:t>
            </w:r>
            <w:r>
              <w:rPr>
                <w:rFonts w:hAnsi="宋体"/>
              </w:rPr>
              <w:fldChar w:fldCharType="end"/>
            </w:r>
            <w:r>
              <w:rPr>
                <w:rFonts w:hAnsi="宋体"/>
              </w:rPr>
              <w:t xml:space="preserve">  </w:t>
            </w:r>
            <w:r>
              <w:rPr>
                <w:rFonts w:hint="eastAsia" w:hAnsi="宋体"/>
              </w:rPr>
              <w:t>施工期</w:t>
            </w:r>
            <w:r>
              <w:rPr>
                <w:rFonts w:hint="eastAsia" w:hAnsi="宋体"/>
                <w:szCs w:val="21"/>
              </w:rPr>
              <w:t>作业流程</w:t>
            </w:r>
            <w:r>
              <w:rPr>
                <w:rFonts w:hAnsi="宋体"/>
                <w:szCs w:val="21"/>
              </w:rPr>
              <w:t>及产污节点图</w:t>
            </w:r>
          </w:p>
          <w:p w14:paraId="4F0149D2">
            <w:pPr>
              <w:pStyle w:val="113"/>
              <w:rPr>
                <w:rFonts w:hint="eastAsia"/>
                <w:kern w:val="0"/>
                <w:szCs w:val="21"/>
              </w:rPr>
            </w:pPr>
            <w:r>
              <w:rPr>
                <w:rFonts w:hint="eastAsia"/>
                <w:kern w:val="0"/>
              </w:rPr>
              <w:t>2、封井期工艺流程</w:t>
            </w:r>
          </w:p>
          <w:p w14:paraId="7F79D673">
            <w:pPr>
              <w:pStyle w:val="113"/>
              <w:ind w:firstLineChars="0"/>
              <w:rPr>
                <w:rFonts w:hint="eastAsia"/>
                <w:kern w:val="0"/>
              </w:rPr>
            </w:pPr>
            <w:r>
              <w:rPr>
                <w:rFonts w:hint="eastAsia"/>
                <w:kern w:val="0"/>
              </w:rPr>
              <w:t>封井期主要是把井场设备拆除，井口封存，清理井场等过程。封井期工艺过程及产污环节见</w:t>
            </w:r>
            <w:r>
              <w:rPr>
                <w:kern w:val="0"/>
              </w:rPr>
              <w:fldChar w:fldCharType="begin"/>
            </w:r>
            <w:r>
              <w:rPr>
                <w:kern w:val="0"/>
              </w:rPr>
              <w:instrText xml:space="preserve"> </w:instrText>
            </w:r>
            <w:r>
              <w:rPr>
                <w:rFonts w:hint="eastAsia"/>
                <w:kern w:val="0"/>
              </w:rPr>
              <w:instrText xml:space="preserve">REF _Ref177563711 \h</w:instrText>
            </w:r>
            <w:r>
              <w:rPr>
                <w:kern w:val="0"/>
              </w:rPr>
              <w:instrText xml:space="preserve">  \* MERGEFORMAT </w:instrText>
            </w:r>
            <w:r>
              <w:rPr>
                <w:kern w:val="0"/>
              </w:rPr>
              <w:fldChar w:fldCharType="separate"/>
            </w:r>
            <w:r>
              <w:rPr>
                <w:rFonts w:hint="eastAsia"/>
              </w:rPr>
              <w:t>图5</w:t>
            </w:r>
            <w:r>
              <w:rPr>
                <w:kern w:val="0"/>
              </w:rPr>
              <w:fldChar w:fldCharType="end"/>
            </w:r>
            <w:r>
              <w:rPr>
                <w:rFonts w:hint="eastAsia"/>
                <w:kern w:val="0"/>
              </w:rPr>
              <w:t>。</w:t>
            </w:r>
          </w:p>
          <w:p w14:paraId="0024FFD4">
            <w:pPr>
              <w:pStyle w:val="12"/>
              <w:spacing w:before="120"/>
              <w:rPr>
                <w:rFonts w:hint="eastAsia" w:hAnsi="宋体"/>
              </w:rPr>
            </w:pPr>
            <w:bookmarkStart w:id="39" w:name="_Ref177563682"/>
            <w:r>
              <w:rPr>
                <w:rFonts w:hAnsi="宋体"/>
              </w:rPr>
              <w:drawing>
                <wp:inline distT="0" distB="0" distL="0" distR="0">
                  <wp:extent cx="4890770" cy="2259330"/>
                  <wp:effectExtent l="19050" t="19050" r="24130" b="266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90976" cy="2259696"/>
                          </a:xfrm>
                          <a:prstGeom prst="rect">
                            <a:avLst/>
                          </a:prstGeom>
                          <a:noFill/>
                          <a:ln w="6350">
                            <a:solidFill>
                              <a:schemeClr val="tx1"/>
                            </a:solidFill>
                          </a:ln>
                        </pic:spPr>
                      </pic:pic>
                    </a:graphicData>
                  </a:graphic>
                </wp:inline>
              </w:drawing>
            </w:r>
          </w:p>
          <w:p w14:paraId="267719D8">
            <w:pPr>
              <w:pStyle w:val="12"/>
              <w:spacing w:before="120"/>
              <w:rPr>
                <w:rFonts w:hint="eastAsia" w:hAnsi="宋体"/>
                <w:szCs w:val="21"/>
              </w:rPr>
            </w:pPr>
            <w:bookmarkStart w:id="40" w:name="_Ref177563711"/>
            <w:r>
              <w:rPr>
                <w:rFonts w:hint="eastAsia" w:hAnsi="宋体"/>
              </w:rPr>
              <w:t>图</w:t>
            </w:r>
            <w:r>
              <w:rPr>
                <w:rFonts w:hAnsi="宋体"/>
              </w:rPr>
              <w:fldChar w:fldCharType="begin"/>
            </w:r>
            <w:r>
              <w:rPr>
                <w:rFonts w:hAnsi="宋体"/>
              </w:rPr>
              <w:instrText xml:space="preserve"> </w:instrText>
            </w:r>
            <w:r>
              <w:rPr>
                <w:rFonts w:hint="eastAsia" w:hAnsi="宋体"/>
              </w:rPr>
              <w:instrText xml:space="preserve">SEQ 图 \* ARABIC</w:instrText>
            </w:r>
            <w:r>
              <w:rPr>
                <w:rFonts w:hAnsi="宋体"/>
              </w:rPr>
              <w:instrText xml:space="preserve"> </w:instrText>
            </w:r>
            <w:r>
              <w:rPr>
                <w:rFonts w:hAnsi="宋体"/>
              </w:rPr>
              <w:fldChar w:fldCharType="separate"/>
            </w:r>
            <w:r>
              <w:rPr>
                <w:rFonts w:hint="eastAsia" w:hAnsi="宋体"/>
              </w:rPr>
              <w:t>5</w:t>
            </w:r>
            <w:r>
              <w:rPr>
                <w:rFonts w:hAnsi="宋体"/>
              </w:rPr>
              <w:fldChar w:fldCharType="end"/>
            </w:r>
            <w:bookmarkEnd w:id="39"/>
            <w:bookmarkEnd w:id="40"/>
            <w:r>
              <w:rPr>
                <w:rFonts w:hAnsi="宋体"/>
              </w:rPr>
              <w:t xml:space="preserve">  </w:t>
            </w:r>
            <w:r>
              <w:rPr>
                <w:rFonts w:hint="eastAsia" w:hAnsi="宋体"/>
              </w:rPr>
              <w:t>封井期</w:t>
            </w:r>
            <w:r>
              <w:rPr>
                <w:rFonts w:hint="eastAsia" w:hAnsi="宋体"/>
                <w:szCs w:val="21"/>
              </w:rPr>
              <w:t>作业流程</w:t>
            </w:r>
            <w:r>
              <w:rPr>
                <w:rFonts w:hAnsi="宋体"/>
                <w:szCs w:val="21"/>
              </w:rPr>
              <w:t>及产污节点图</w:t>
            </w:r>
          </w:p>
          <w:p w14:paraId="4227454B">
            <w:pPr>
              <w:pStyle w:val="113"/>
              <w:ind w:firstLine="0" w:firstLineChars="0"/>
              <w:rPr>
                <w:rFonts w:hint="eastAsia"/>
              </w:rPr>
            </w:pPr>
          </w:p>
        </w:tc>
      </w:tr>
      <w:tr w14:paraId="5FED1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18" w:hRule="atLeast"/>
          <w:jc w:val="center"/>
        </w:trPr>
        <w:tc>
          <w:tcPr>
            <w:tcW w:w="250" w:type="pct"/>
            <w:vAlign w:val="center"/>
          </w:tcPr>
          <w:p w14:paraId="6E6E37C4">
            <w:pPr>
              <w:adjustRightInd w:val="0"/>
              <w:snapToGrid w:val="0"/>
              <w:jc w:val="center"/>
              <w:rPr>
                <w:rFonts w:hint="eastAsia" w:ascii="宋体" w:hAnsi="宋体" w:cs="宋体"/>
                <w:kern w:val="0"/>
                <w:szCs w:val="21"/>
              </w:rPr>
            </w:pPr>
            <w:r>
              <w:rPr>
                <w:rFonts w:hint="eastAsia" w:ascii="宋体" w:hAnsi="宋体" w:cs="宋体"/>
                <w:kern w:val="0"/>
                <w:szCs w:val="21"/>
              </w:rPr>
              <w:t>其他</w:t>
            </w:r>
          </w:p>
        </w:tc>
        <w:tc>
          <w:tcPr>
            <w:tcW w:w="4750" w:type="pct"/>
            <w:vAlign w:val="center"/>
          </w:tcPr>
          <w:p w14:paraId="155E5B9B">
            <w:pPr>
              <w:pStyle w:val="104"/>
              <w:ind w:firstLine="0" w:firstLineChars="0"/>
              <w:jc w:val="center"/>
              <w:rPr>
                <w:rFonts w:hint="eastAsia"/>
              </w:rPr>
            </w:pPr>
            <w:r>
              <w:rPr>
                <w:rFonts w:hint="eastAsia"/>
              </w:rPr>
              <w:t>无</w:t>
            </w:r>
          </w:p>
        </w:tc>
      </w:tr>
    </w:tbl>
    <w:p w14:paraId="25A9CEA7">
      <w:pPr>
        <w:pStyle w:val="26"/>
        <w:adjustRightInd w:val="0"/>
        <w:snapToGrid w:val="0"/>
        <w:spacing w:before="0" w:beforeAutospacing="0" w:after="0" w:afterAutospacing="0"/>
        <w:jc w:val="center"/>
        <w:outlineLvl w:val="0"/>
        <w:rPr>
          <w:rFonts w:hint="eastAsia" w:ascii="黑体" w:hAnsi="黑体" w:eastAsia="黑体"/>
          <w:snapToGrid w:val="0"/>
          <w:sz w:val="30"/>
          <w:szCs w:val="30"/>
        </w:rPr>
      </w:pPr>
      <w:r>
        <w:rPr>
          <w:rFonts w:eastAsia="仿宋_GB2312"/>
          <w:b/>
          <w:bCs/>
        </w:rPr>
        <w:br w:type="page"/>
      </w:r>
      <w:bookmarkStart w:id="41" w:name="_Toc216179949"/>
      <w:r>
        <w:rPr>
          <w:rFonts w:hint="eastAsia" w:ascii="黑体" w:hAnsi="黑体" w:eastAsia="黑体"/>
          <w:snapToGrid w:val="0"/>
          <w:sz w:val="30"/>
          <w:szCs w:val="30"/>
        </w:rPr>
        <w:t>三、生态环境现状、保护目标及评价标准</w:t>
      </w:r>
      <w:bookmarkEnd w:id="41"/>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096"/>
      </w:tblGrid>
      <w:tr w14:paraId="1C7C5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6" w:hRule="atLeast"/>
          <w:jc w:val="center"/>
        </w:trPr>
        <w:tc>
          <w:tcPr>
            <w:tcW w:w="249" w:type="pct"/>
            <w:vAlign w:val="center"/>
          </w:tcPr>
          <w:p w14:paraId="7E69ACC3">
            <w:pPr>
              <w:adjustRightInd w:val="0"/>
              <w:snapToGrid w:val="0"/>
              <w:jc w:val="center"/>
              <w:rPr>
                <w:rFonts w:hint="eastAsia" w:ascii="宋体" w:hAnsi="宋体" w:cs="宋体"/>
                <w:kern w:val="0"/>
                <w:szCs w:val="21"/>
              </w:rPr>
            </w:pPr>
            <w:r>
              <w:rPr>
                <w:rFonts w:hint="eastAsia" w:ascii="宋体" w:hAnsi="宋体" w:cs="宋体"/>
                <w:kern w:val="0"/>
                <w:szCs w:val="21"/>
              </w:rPr>
              <w:t>生态环境现状</w:t>
            </w:r>
          </w:p>
        </w:tc>
        <w:tc>
          <w:tcPr>
            <w:tcW w:w="4750" w:type="pct"/>
            <w:vAlign w:val="center"/>
          </w:tcPr>
          <w:p w14:paraId="3715BBB6">
            <w:pPr>
              <w:pStyle w:val="113"/>
              <w:rPr>
                <w:rFonts w:hint="eastAsia"/>
                <w:bCs/>
              </w:rPr>
            </w:pPr>
            <w:r>
              <w:rPr>
                <w:bCs/>
              </w:rPr>
              <w:t>1</w:t>
            </w:r>
            <w:r>
              <w:rPr>
                <w:rFonts w:hint="eastAsia"/>
                <w:bCs/>
              </w:rPr>
              <w:t>、生态环境质量现状与评价</w:t>
            </w:r>
          </w:p>
          <w:p w14:paraId="57CF0D28">
            <w:pPr>
              <w:pStyle w:val="113"/>
              <w:rPr>
                <w:rFonts w:hint="eastAsia"/>
              </w:rPr>
            </w:pPr>
            <w:r>
              <w:rPr>
                <w:rFonts w:hint="eastAsia"/>
              </w:rPr>
              <w:t>1）主体功能区划</w:t>
            </w:r>
          </w:p>
          <w:p w14:paraId="3D38A1C8">
            <w:pPr>
              <w:pStyle w:val="113"/>
              <w:rPr>
                <w:rFonts w:hint="eastAsia"/>
              </w:rPr>
            </w:pPr>
            <w:r>
              <w:rPr>
                <w:rFonts w:hint="eastAsia"/>
              </w:rPr>
              <w:t>根据《新疆维吾尔自治区主体功能区规划》</w:t>
            </w:r>
            <w:r>
              <w:t>（2016年10月24日）</w:t>
            </w:r>
            <w:r>
              <w:rPr>
                <w:rFonts w:hint="eastAsia"/>
              </w:rPr>
              <w:t>，将新疆分为以下主体功能区：按开发方式，分为优化开发区域、重点开发区域、限制开发区域和禁止开发区域四类；按开发内容，分为城市化地区、农产品主产区和重点生态功能区三类；按层级，分为国家和省级两个层面。</w:t>
            </w:r>
          </w:p>
          <w:p w14:paraId="40A33EDD">
            <w:pPr>
              <w:pStyle w:val="113"/>
              <w:rPr>
                <w:rFonts w:hint="eastAsia"/>
              </w:rPr>
            </w:pPr>
            <w:r>
              <w:rPr>
                <w:rFonts w:hint="eastAsia"/>
              </w:rPr>
              <w:t>本项目建设地点位于新疆维吾尔自治区昌吉回族自治州</w:t>
            </w:r>
            <w:r>
              <w:rPr>
                <w:rFonts w:hint="eastAsia"/>
                <w:szCs w:val="21"/>
              </w:rPr>
              <w:t>玛纳斯县</w:t>
            </w:r>
            <w:r>
              <w:rPr>
                <w:rFonts w:hint="eastAsia"/>
              </w:rPr>
              <w:t>，属于</w:t>
            </w:r>
            <w:r>
              <w:t>新疆国家级农产品主产区</w:t>
            </w:r>
            <w:r>
              <w:rPr>
                <w:rFonts w:hint="eastAsia"/>
              </w:rPr>
              <w:t>（</w:t>
            </w:r>
            <w:r>
              <w:t>天山</w:t>
            </w:r>
            <w:r>
              <w:rPr>
                <w:rFonts w:hint="eastAsia"/>
              </w:rPr>
              <w:t>北</w:t>
            </w:r>
            <w:r>
              <w:t>坡主产区</w:t>
            </w:r>
            <w:r>
              <w:rPr>
                <w:rFonts w:hint="eastAsia"/>
              </w:rPr>
              <w:t>），</w:t>
            </w:r>
            <w:r>
              <w:t>天山北坡主产区涉及13个县市，这些农产品主产区县市的城区或城关镇及其境内的重要工业园区是国家级重点开发区域，但这些县市以享受国家农产品主产区的政策为主</w:t>
            </w:r>
            <w:r>
              <w:rPr>
                <w:rFonts w:hint="eastAsia"/>
              </w:rPr>
              <w:t>。</w:t>
            </w:r>
          </w:p>
          <w:p w14:paraId="51AF6985">
            <w:pPr>
              <w:pStyle w:val="113"/>
              <w:rPr>
                <w:rFonts w:hint="eastAsia"/>
              </w:rPr>
            </w:pPr>
            <w:r>
              <w:t>新疆农产品主产区的功能定位是：保障农牧产品供给安全的重要区域，农牧民安居乐业的美好家园，社会主义新农村建设的示范区</w:t>
            </w:r>
            <w:r>
              <w:rPr>
                <w:rFonts w:hint="eastAsia"/>
              </w:rPr>
              <w:t>；</w:t>
            </w:r>
            <w:r>
              <w:t>农产品主产区发展方向和开发原则</w:t>
            </w:r>
            <w:r>
              <w:rPr>
                <w:rFonts w:hint="eastAsia"/>
              </w:rPr>
              <w:t>还包括：</w:t>
            </w:r>
            <w:r>
              <w:t>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r>
              <w:rPr>
                <w:rFonts w:hint="eastAsia"/>
              </w:rPr>
              <w:t>。</w:t>
            </w:r>
          </w:p>
          <w:p w14:paraId="516FE6DC">
            <w:pPr>
              <w:pStyle w:val="113"/>
              <w:rPr>
                <w:rFonts w:hint="eastAsia"/>
              </w:rPr>
            </w:pPr>
            <w:r>
              <w:rPr>
                <w:rFonts w:hint="eastAsia"/>
              </w:rPr>
              <w:t>本项目为油气资源勘探项目，项目的建设有利于提高油气资源的安全供应能力和开发利用水平，支撑地区经济，因此本项目符合自治区对该区域的功能定位要求。</w:t>
            </w:r>
          </w:p>
          <w:p w14:paraId="4CF87411">
            <w:pPr>
              <w:pStyle w:val="113"/>
              <w:rPr>
                <w:rFonts w:hint="eastAsia"/>
              </w:rPr>
            </w:pPr>
            <w:r>
              <w:t>2</w:t>
            </w:r>
            <w:r>
              <w:rPr>
                <w:rFonts w:hint="eastAsia"/>
              </w:rPr>
              <w:t>）生态功能区划</w:t>
            </w:r>
          </w:p>
          <w:p w14:paraId="72898A76">
            <w:pPr>
              <w:pStyle w:val="113"/>
              <w:rPr>
                <w:rFonts w:hint="eastAsia"/>
              </w:rPr>
            </w:pPr>
            <w:r>
              <w:rPr>
                <w:rFonts w:hint="eastAsia"/>
              </w:rPr>
              <w:t>本项目位于新疆维吾尔自治区昌吉回族自治州玛纳斯县，一五零团五连西南侧2.28km处。</w:t>
            </w:r>
            <w:r>
              <w:rPr>
                <w:rFonts w:hint="eastAsia"/>
                <w:snapToGrid w:val="0"/>
              </w:rPr>
              <w:t>根据《新疆生态功能区划》（2005年12月21日），本项目生态区属于Ⅱ准噶尔盆地温性荒漠与绿洲农业生态区，生态亚区属于Ⅱ</w:t>
            </w:r>
            <w:r>
              <w:rPr>
                <w:rFonts w:hint="eastAsia"/>
                <w:snapToGrid w:val="0"/>
                <w:vertAlign w:val="subscript"/>
              </w:rPr>
              <w:t>3</w:t>
            </w:r>
            <w:r>
              <w:rPr>
                <w:rFonts w:hint="eastAsia"/>
                <w:snapToGrid w:val="0"/>
              </w:rPr>
              <w:t>准噶尔盆地中部固定、半固定沙漠生态亚区，生态功能区属于</w:t>
            </w:r>
            <w:r>
              <w:rPr>
                <w:rFonts w:hint="eastAsia"/>
              </w:rPr>
              <w:t>古尔班通古特沙漠化敏感及植被保护生态功能区，详见</w:t>
            </w:r>
            <w:r>
              <w:fldChar w:fldCharType="begin"/>
            </w:r>
            <w:r>
              <w:instrText xml:space="preserve"> REF _Ref138686411 \h  \* MERGEFORMAT </w:instrText>
            </w:r>
            <w:r>
              <w:fldChar w:fldCharType="separate"/>
            </w:r>
            <w:r>
              <w:rPr>
                <w:rFonts w:hint="eastAsia"/>
              </w:rPr>
              <w:t>表26</w:t>
            </w:r>
            <w:r>
              <w:fldChar w:fldCharType="end"/>
            </w:r>
            <w:r>
              <w:rPr>
                <w:rFonts w:hint="eastAsia"/>
              </w:rPr>
              <w:t>、附图11。</w:t>
            </w:r>
          </w:p>
          <w:p w14:paraId="2191CC5A">
            <w:pPr>
              <w:pStyle w:val="12"/>
              <w:spacing w:before="120"/>
              <w:rPr>
                <w:rFonts w:hint="eastAsia" w:hAnsi="宋体"/>
              </w:rPr>
            </w:pPr>
            <w:bookmarkStart w:id="42" w:name="_Ref138686411"/>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26</w:t>
            </w:r>
            <w:r>
              <w:rPr>
                <w:rFonts w:hAnsi="宋体"/>
              </w:rPr>
              <w:fldChar w:fldCharType="end"/>
            </w:r>
            <w:bookmarkEnd w:id="42"/>
            <w:r>
              <w:rPr>
                <w:rFonts w:hAnsi="宋体"/>
              </w:rPr>
              <w:t xml:space="preserve">  </w:t>
            </w:r>
            <w:r>
              <w:rPr>
                <w:rFonts w:hint="eastAsia" w:hAnsi="宋体"/>
                <w:szCs w:val="21"/>
              </w:rPr>
              <w:t>生态功能区划简表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315"/>
            </w:tblGrid>
            <w:tr w14:paraId="436A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7159595B">
                  <w:pPr>
                    <w:pStyle w:val="87"/>
                    <w:rPr>
                      <w:rFonts w:hint="eastAsia" w:hAnsi="宋体"/>
                    </w:rPr>
                  </w:pPr>
                  <w:r>
                    <w:rPr>
                      <w:rFonts w:hint="eastAsia" w:hAnsi="宋体"/>
                    </w:rPr>
                    <w:t>生态区</w:t>
                  </w:r>
                </w:p>
              </w:tc>
              <w:tc>
                <w:tcPr>
                  <w:tcW w:w="4012" w:type="pct"/>
                  <w:vAlign w:val="center"/>
                </w:tcPr>
                <w:p w14:paraId="0BC5EEE6">
                  <w:pPr>
                    <w:pStyle w:val="87"/>
                    <w:rPr>
                      <w:rFonts w:hint="eastAsia" w:hAnsi="宋体"/>
                    </w:rPr>
                  </w:pPr>
                  <w:r>
                    <w:rPr>
                      <w:rFonts w:hint="eastAsia" w:hAnsi="宋体"/>
                    </w:rPr>
                    <w:t>Ⅱ准噶尔盆地温性荒漠与绿洲农业生态区</w:t>
                  </w:r>
                </w:p>
              </w:tc>
            </w:tr>
            <w:tr w14:paraId="1FC6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6D2EFBE3">
                  <w:pPr>
                    <w:pStyle w:val="87"/>
                    <w:rPr>
                      <w:rFonts w:hint="eastAsia" w:hAnsi="宋体"/>
                    </w:rPr>
                  </w:pPr>
                  <w:r>
                    <w:rPr>
                      <w:rFonts w:hint="eastAsia" w:hAnsi="宋体"/>
                    </w:rPr>
                    <w:t>生态亚区</w:t>
                  </w:r>
                </w:p>
              </w:tc>
              <w:tc>
                <w:tcPr>
                  <w:tcW w:w="4012" w:type="pct"/>
                  <w:vAlign w:val="center"/>
                </w:tcPr>
                <w:p w14:paraId="3E821758">
                  <w:pPr>
                    <w:pStyle w:val="87"/>
                    <w:rPr>
                      <w:rFonts w:hint="eastAsia" w:hAnsi="宋体"/>
                    </w:rPr>
                  </w:pPr>
                  <w:r>
                    <w:rPr>
                      <w:rFonts w:hint="eastAsia"/>
                      <w:snapToGrid w:val="0"/>
                    </w:rPr>
                    <w:t>Ⅱ</w:t>
                  </w:r>
                  <w:r>
                    <w:rPr>
                      <w:snapToGrid w:val="0"/>
                      <w:vertAlign w:val="subscript"/>
                    </w:rPr>
                    <w:t>1</w:t>
                  </w:r>
                  <w:r>
                    <w:rPr>
                      <w:rFonts w:hint="eastAsia"/>
                      <w:snapToGrid w:val="0"/>
                    </w:rPr>
                    <w:t>准噶尔盆地北部灌木荒漠生态亚区</w:t>
                  </w:r>
                </w:p>
              </w:tc>
            </w:tr>
            <w:tr w14:paraId="1818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19D3E257">
                  <w:pPr>
                    <w:pStyle w:val="87"/>
                    <w:rPr>
                      <w:rFonts w:hint="eastAsia" w:hAnsi="宋体"/>
                    </w:rPr>
                  </w:pPr>
                  <w:r>
                    <w:rPr>
                      <w:rFonts w:hint="eastAsia" w:hAnsi="宋体"/>
                    </w:rPr>
                    <w:t>生态功能区</w:t>
                  </w:r>
                </w:p>
              </w:tc>
              <w:tc>
                <w:tcPr>
                  <w:tcW w:w="4012" w:type="pct"/>
                  <w:vAlign w:val="center"/>
                </w:tcPr>
                <w:p w14:paraId="709ED32F">
                  <w:pPr>
                    <w:pStyle w:val="87"/>
                    <w:rPr>
                      <w:rFonts w:hint="eastAsia" w:hAnsi="宋体"/>
                    </w:rPr>
                  </w:pPr>
                  <w:r>
                    <w:rPr>
                      <w:rFonts w:hint="eastAsia" w:hAnsi="宋体"/>
                    </w:rPr>
                    <w:t>23．古尔班通古特沙漠化敏感及植被保护生态功能区</w:t>
                  </w:r>
                </w:p>
              </w:tc>
            </w:tr>
            <w:tr w14:paraId="638C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02B36B34">
                  <w:pPr>
                    <w:pStyle w:val="87"/>
                    <w:rPr>
                      <w:rFonts w:hint="eastAsia" w:hAnsi="宋体"/>
                    </w:rPr>
                  </w:pPr>
                  <w:r>
                    <w:rPr>
                      <w:rFonts w:hint="eastAsia" w:hAnsi="宋体"/>
                    </w:rPr>
                    <w:t>隶属行政区</w:t>
                  </w:r>
                </w:p>
              </w:tc>
              <w:tc>
                <w:tcPr>
                  <w:tcW w:w="4012" w:type="pct"/>
                  <w:vAlign w:val="center"/>
                </w:tcPr>
                <w:p w14:paraId="38244C35">
                  <w:pPr>
                    <w:pStyle w:val="87"/>
                    <w:rPr>
                      <w:rFonts w:hint="eastAsia" w:hAnsi="宋体"/>
                    </w:rPr>
                  </w:pPr>
                  <w:r>
                    <w:rPr>
                      <w:rFonts w:hint="eastAsia" w:hAnsi="宋体"/>
                    </w:rPr>
                    <w:t>玛纳斯县</w:t>
                  </w:r>
                </w:p>
              </w:tc>
            </w:tr>
            <w:tr w14:paraId="12E5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1D759FB9">
                  <w:pPr>
                    <w:pStyle w:val="87"/>
                    <w:rPr>
                      <w:rFonts w:hint="eastAsia" w:hAnsi="宋体"/>
                    </w:rPr>
                  </w:pPr>
                  <w:r>
                    <w:rPr>
                      <w:rFonts w:hint="eastAsia" w:hAnsi="宋体"/>
                    </w:rPr>
                    <w:t>主要生态服务功能</w:t>
                  </w:r>
                </w:p>
              </w:tc>
              <w:tc>
                <w:tcPr>
                  <w:tcW w:w="4012" w:type="pct"/>
                  <w:vAlign w:val="center"/>
                </w:tcPr>
                <w:p w14:paraId="447D384D">
                  <w:pPr>
                    <w:pStyle w:val="87"/>
                    <w:rPr>
                      <w:rFonts w:hint="eastAsia" w:hAnsi="宋体"/>
                    </w:rPr>
                  </w:pPr>
                  <w:r>
                    <w:rPr>
                      <w:rFonts w:hint="eastAsia" w:hAnsi="宋体"/>
                    </w:rPr>
                    <w:t>沙漠化控制、生物多样性维护</w:t>
                  </w:r>
                </w:p>
              </w:tc>
            </w:tr>
            <w:tr w14:paraId="1858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1085C1B5">
                  <w:pPr>
                    <w:pStyle w:val="87"/>
                    <w:rPr>
                      <w:rFonts w:hint="eastAsia" w:hAnsi="宋体"/>
                    </w:rPr>
                  </w:pPr>
                  <w:r>
                    <w:rPr>
                      <w:rFonts w:hint="eastAsia" w:hAnsi="宋体"/>
                    </w:rPr>
                    <w:t>主要生态环境问题</w:t>
                  </w:r>
                </w:p>
              </w:tc>
              <w:tc>
                <w:tcPr>
                  <w:tcW w:w="4012" w:type="pct"/>
                  <w:vAlign w:val="center"/>
                </w:tcPr>
                <w:p w14:paraId="7664E955">
                  <w:pPr>
                    <w:pStyle w:val="87"/>
                    <w:rPr>
                      <w:rFonts w:hint="eastAsia" w:hAnsi="宋体"/>
                    </w:rPr>
                  </w:pPr>
                  <w:r>
                    <w:rPr>
                      <w:rFonts w:hint="eastAsia" w:hAnsi="宋体"/>
                    </w:rPr>
                    <w:t>人为干扰范围扩大、工程建设引起沙漠植被破坏、鼠害严重、植被退化、沙漠化构成对南缘绿洲的威胁</w:t>
                  </w:r>
                </w:p>
              </w:tc>
            </w:tr>
            <w:tr w14:paraId="0D03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1227AC69">
                  <w:pPr>
                    <w:pStyle w:val="87"/>
                    <w:rPr>
                      <w:rFonts w:hint="eastAsia" w:hAnsi="宋体"/>
                    </w:rPr>
                  </w:pPr>
                  <w:r>
                    <w:rPr>
                      <w:rFonts w:hint="eastAsia" w:hAnsi="宋体"/>
                    </w:rPr>
                    <w:t>生态敏感因子</w:t>
                  </w:r>
                </w:p>
              </w:tc>
              <w:tc>
                <w:tcPr>
                  <w:tcW w:w="4012" w:type="pct"/>
                  <w:vAlign w:val="center"/>
                </w:tcPr>
                <w:p w14:paraId="170DF1D8">
                  <w:pPr>
                    <w:pStyle w:val="87"/>
                    <w:rPr>
                      <w:rFonts w:hint="eastAsia" w:hAnsi="宋体"/>
                    </w:rPr>
                  </w:pPr>
                  <w:r>
                    <w:rPr>
                      <w:rFonts w:hint="eastAsia" w:hAnsi="宋体"/>
                    </w:rPr>
                    <w:t>生物多样性及其生境高度敏感，土地沙漠化极度敏感，土壤侵蚀高度敏感、土壤盐渍化轻度敏感</w:t>
                  </w:r>
                </w:p>
              </w:tc>
            </w:tr>
            <w:tr w14:paraId="5E04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5E2C44A3">
                  <w:pPr>
                    <w:pStyle w:val="87"/>
                    <w:rPr>
                      <w:rFonts w:hint="eastAsia" w:hAnsi="宋体"/>
                    </w:rPr>
                  </w:pPr>
                  <w:r>
                    <w:rPr>
                      <w:rFonts w:hint="eastAsia" w:hAnsi="宋体"/>
                    </w:rPr>
                    <w:t>保护目标</w:t>
                  </w:r>
                </w:p>
              </w:tc>
              <w:tc>
                <w:tcPr>
                  <w:tcW w:w="4012" w:type="pct"/>
                  <w:vAlign w:val="center"/>
                </w:tcPr>
                <w:p w14:paraId="63520E89">
                  <w:pPr>
                    <w:pStyle w:val="87"/>
                    <w:rPr>
                      <w:rFonts w:hint="eastAsia" w:hAnsi="宋体"/>
                    </w:rPr>
                  </w:pPr>
                  <w:r>
                    <w:rPr>
                      <w:rFonts w:hint="eastAsia" w:hAnsi="宋体"/>
                    </w:rPr>
                    <w:t>保护沙漠植被、防止沙丘活化</w:t>
                  </w:r>
                </w:p>
              </w:tc>
            </w:tr>
            <w:tr w14:paraId="265F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6C818C70">
                  <w:pPr>
                    <w:pStyle w:val="87"/>
                    <w:rPr>
                      <w:rFonts w:hint="eastAsia" w:hAnsi="宋体"/>
                    </w:rPr>
                  </w:pPr>
                  <w:r>
                    <w:rPr>
                      <w:rFonts w:hint="eastAsia" w:hAnsi="宋体"/>
                    </w:rPr>
                    <w:t>主要保护措施</w:t>
                  </w:r>
                </w:p>
              </w:tc>
              <w:tc>
                <w:tcPr>
                  <w:tcW w:w="4012" w:type="pct"/>
                  <w:vAlign w:val="center"/>
                </w:tcPr>
                <w:p w14:paraId="40F58798">
                  <w:pPr>
                    <w:pStyle w:val="87"/>
                    <w:rPr>
                      <w:rFonts w:hint="eastAsia" w:hAnsi="宋体"/>
                    </w:rPr>
                  </w:pPr>
                  <w:r>
                    <w:rPr>
                      <w:rFonts w:hint="eastAsia" w:hAnsi="宋体"/>
                    </w:rPr>
                    <w:t>对沙漠边缘流动沙丘、活化沙地进行封沙育林、退耕还林（草），禁止憔采和放牧，禁止开荒</w:t>
                  </w:r>
                </w:p>
              </w:tc>
            </w:tr>
            <w:tr w14:paraId="4D0E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14:paraId="3DFF9CA4">
                  <w:pPr>
                    <w:pStyle w:val="87"/>
                    <w:rPr>
                      <w:rFonts w:hint="eastAsia" w:hAnsi="宋体"/>
                    </w:rPr>
                  </w:pPr>
                  <w:r>
                    <w:rPr>
                      <w:rFonts w:hint="eastAsia" w:hAnsi="宋体"/>
                    </w:rPr>
                    <w:t>适宜发展方向</w:t>
                  </w:r>
                </w:p>
              </w:tc>
              <w:tc>
                <w:tcPr>
                  <w:tcW w:w="4012" w:type="pct"/>
                  <w:vAlign w:val="center"/>
                </w:tcPr>
                <w:p w14:paraId="122914C6">
                  <w:pPr>
                    <w:pStyle w:val="87"/>
                    <w:rPr>
                      <w:rFonts w:hint="eastAsia" w:hAnsi="宋体"/>
                    </w:rPr>
                  </w:pPr>
                  <w:r>
                    <w:rPr>
                      <w:rFonts w:hint="eastAsia" w:hAnsi="宋体"/>
                    </w:rPr>
                    <w:t>维护固定、半固定沙漠景观与植被，治理活化沙丘，遏制蔓延</w:t>
                  </w:r>
                </w:p>
              </w:tc>
            </w:tr>
          </w:tbl>
          <w:p w14:paraId="48A4DBAA">
            <w:pPr>
              <w:pStyle w:val="113"/>
              <w:rPr>
                <w:rFonts w:hint="eastAsia"/>
              </w:rPr>
            </w:pPr>
          </w:p>
          <w:p w14:paraId="778BE61E">
            <w:pPr>
              <w:pStyle w:val="113"/>
              <w:rPr>
                <w:rFonts w:hint="eastAsia"/>
              </w:rPr>
            </w:pPr>
            <w:r>
              <w:t>3）</w:t>
            </w:r>
            <w:r>
              <w:rPr>
                <w:rFonts w:hint="eastAsia"/>
              </w:rPr>
              <w:t>植被现状</w:t>
            </w:r>
          </w:p>
          <w:p w14:paraId="4D07F32D">
            <w:pPr>
              <w:pStyle w:val="26"/>
              <w:widowControl w:val="0"/>
              <w:adjustRightInd w:val="0"/>
              <w:snapToGrid w:val="0"/>
              <w:spacing w:before="0" w:beforeAutospacing="0" w:after="0" w:afterAutospacing="0" w:line="326" w:lineRule="auto"/>
              <w:ind w:firstLine="420" w:firstLineChars="200"/>
              <w:jc w:val="both"/>
              <w:rPr>
                <w:rFonts w:hint="eastAsia"/>
              </w:rPr>
            </w:pPr>
            <w:r>
              <w:rPr>
                <w:rFonts w:hint="eastAsia"/>
                <w:kern w:val="2"/>
                <w:sz w:val="21"/>
                <w:szCs w:val="21"/>
              </w:rPr>
              <w:t>根据现场调查和查阅相关资料，本项目占地范围及评价范围区域内天然植物种类贫乏，以超旱生、耐盐碱的亚洲中部荒漠成分占优势。项目区土地利用现状为裸岩石砾地、工矿用地，植被覆盖率较低。根据现场调研照片分析，项目区所分布的植物主要为梭梭、红柳、风滚草等。</w:t>
            </w:r>
          </w:p>
          <w:p w14:paraId="4508DCF0">
            <w:pPr>
              <w:pStyle w:val="113"/>
              <w:rPr>
                <w:rFonts w:hint="eastAsia"/>
                <w:bCs/>
              </w:rPr>
            </w:pPr>
            <w:r>
              <w:rPr>
                <w:rFonts w:hint="eastAsia"/>
              </w:rPr>
              <w:t>根据《国家重点保护野生植物名录》（2021年9月7日）、《关于印发&lt;新疆国家重点保护野生植物名录&gt;的通知》（新林护字[2022]8号）和《新疆维吾尔自治区人民政府关于公布新疆维吾尔自治区重点保护野生植物名录的通知》（新政发[2023]63号），</w:t>
            </w:r>
            <w:r>
              <w:rPr>
                <w:rFonts w:hint="eastAsia"/>
                <w:bCs/>
              </w:rPr>
              <w:t>临时占地范围内无濒危、珍稀植物种，不涉及保护植被的砍伐。</w:t>
            </w:r>
          </w:p>
          <w:p w14:paraId="0010C9FE">
            <w:pPr>
              <w:pStyle w:val="113"/>
              <w:rPr>
                <w:rFonts w:hint="eastAsia"/>
              </w:rPr>
            </w:pPr>
            <w:r>
              <w:t>4</w:t>
            </w:r>
            <w:r>
              <w:rPr>
                <w:rFonts w:hint="eastAsia"/>
              </w:rPr>
              <w:t>）野生动物现状</w:t>
            </w:r>
          </w:p>
          <w:p w14:paraId="1F21D0D8">
            <w:pPr>
              <w:pStyle w:val="113"/>
              <w:rPr>
                <w:rFonts w:hint="eastAsia"/>
              </w:rPr>
            </w:pPr>
            <w:r>
              <w:rPr>
                <w:rFonts w:hint="eastAsia"/>
              </w:rPr>
              <w:t>根据现场踏勘情况，本项目区域受人为活动影响，大型兽类活动较少，仅分布有一些啮齿类、爬行类的小型动物，项目评价范围内未见《国家重点保护野生动物名录》（2021年2月1日）、《国家重点保护水生野生动物名录》、《新疆维吾尔自治区重点保护野生动物名录》（2022年9月18日）中的重点保护野生动物和中国濒危珍稀动物。项目的建设和运行不会对野生动物的生活产生影响和危害。</w:t>
            </w:r>
          </w:p>
          <w:p w14:paraId="6F55B174">
            <w:pPr>
              <w:pStyle w:val="89"/>
              <w:ind w:firstLine="420"/>
              <w:rPr>
                <w:rFonts w:hint="eastAsia" w:hAnsi="宋体"/>
              </w:rPr>
            </w:pPr>
            <w:r>
              <w:rPr>
                <w:rFonts w:hAnsi="宋体"/>
              </w:rPr>
              <w:t>5</w:t>
            </w:r>
            <w:r>
              <w:rPr>
                <w:rFonts w:hint="eastAsia" w:hAnsi="宋体"/>
              </w:rPr>
              <w:t>）</w:t>
            </w:r>
            <w:bookmarkStart w:id="43" w:name="_Toc49863985"/>
            <w:r>
              <w:rPr>
                <w:rFonts w:hint="eastAsia" w:hAnsi="宋体"/>
              </w:rPr>
              <w:t>生态系统类型与特点</w:t>
            </w:r>
            <w:bookmarkEnd w:id="43"/>
          </w:p>
          <w:p w14:paraId="4585A574">
            <w:pPr>
              <w:pStyle w:val="89"/>
              <w:ind w:firstLine="420"/>
              <w:rPr>
                <w:rFonts w:hint="eastAsia" w:hAnsi="宋体"/>
              </w:rPr>
            </w:pPr>
            <w:r>
              <w:rPr>
                <w:rFonts w:hint="eastAsia" w:hAnsi="宋体"/>
              </w:rPr>
              <w:t>根据调查，经现场调查，评价范围生态系统类型主要为荒漠、林地生态系统，主要植被有</w:t>
            </w:r>
            <w:r>
              <w:rPr>
                <w:rFonts w:hint="eastAsia"/>
              </w:rPr>
              <w:t>梭梭、红柳、风滚草</w:t>
            </w:r>
            <w:r>
              <w:rPr>
                <w:rFonts w:hint="eastAsia" w:hAnsi="宋体"/>
              </w:rPr>
              <w:t>等。项目区气候干燥，温差大，多风沙，土地贫瘠，质地粗，植被分布部均匀，呈斑块分布，可见明显土地裸露。</w:t>
            </w:r>
          </w:p>
          <w:p w14:paraId="332925CA">
            <w:pPr>
              <w:pStyle w:val="89"/>
              <w:ind w:firstLine="420"/>
              <w:rPr>
                <w:rFonts w:hint="eastAsia" w:hAnsi="宋体"/>
              </w:rPr>
            </w:pPr>
            <w:r>
              <w:rPr>
                <w:rFonts w:hAnsi="宋体"/>
              </w:rPr>
              <w:t>6）土壤</w:t>
            </w:r>
            <w:r>
              <w:rPr>
                <w:rFonts w:hint="eastAsia" w:hAnsi="宋体"/>
              </w:rPr>
              <w:t>现状</w:t>
            </w:r>
          </w:p>
          <w:p w14:paraId="4C9B7745">
            <w:pPr>
              <w:pStyle w:val="89"/>
              <w:ind w:firstLine="420"/>
              <w:rPr>
                <w:rFonts w:ascii="Calibri" w:cs="Calibri"/>
              </w:rPr>
            </w:pPr>
            <w:r>
              <w:rPr>
                <w:rFonts w:ascii="Calibri" w:cs="Calibri"/>
              </w:rPr>
              <w:t>项目所在区域分布的土壤类型为</w:t>
            </w:r>
            <w:r>
              <w:rPr>
                <w:rFonts w:hint="eastAsia" w:ascii="Calibri" w:cs="Calibri"/>
              </w:rPr>
              <w:t>流动风沙土</w:t>
            </w:r>
            <w:r>
              <w:rPr>
                <w:rFonts w:ascii="Calibri" w:cs="Calibri"/>
              </w:rPr>
              <w:t>。</w:t>
            </w:r>
          </w:p>
          <w:p w14:paraId="033B7773">
            <w:pPr>
              <w:pStyle w:val="89"/>
              <w:ind w:firstLine="420"/>
              <w:rPr>
                <w:rFonts w:hint="eastAsia" w:hAnsi="宋体" w:cs="Calibri"/>
              </w:rPr>
            </w:pPr>
            <w:r>
              <w:rPr>
                <w:rFonts w:hint="eastAsia" w:hAnsi="宋体" w:cs="Calibri"/>
              </w:rPr>
              <w:t>风沙土特征：风沙土质地粗，细砂粒占土壤矿质部分重量的80%～90%以上，而粗砂粒、粉砂粒及粘粒的含量甚微。干旱是风沙土的又一重要性状，土壤表层多为干沙层，厚度不一，通常在10cm～20cm左右，其下含水率也仅2%～3%。有机质含量低，约在0.1%～1.0%范围内；有盐分和碳酸钙的积聚，前者由风力从他处运积而来，后者是植物残体分解和沙尘沉积的结果。</w:t>
            </w:r>
          </w:p>
          <w:p w14:paraId="1B62210A">
            <w:pPr>
              <w:pStyle w:val="89"/>
              <w:ind w:firstLine="420"/>
              <w:rPr>
                <w:rFonts w:hint="eastAsia" w:hAnsi="宋体"/>
              </w:rPr>
            </w:pPr>
            <w:r>
              <w:rPr>
                <w:rFonts w:hint="eastAsia" w:hAnsi="宋体" w:cs="Calibri"/>
              </w:rPr>
              <w:t>由于所处的自然地带不同，风沙土的性质也表现出一定的地区性变异。通常是草原地区的风沙土有机质含量较高，盐分含量较低且无石灰积聚；半荒漠地区的风沙土有机质含量较低，有盐分及少量石灰的积聚；荒漠地区的风沙土有机质含量更低，盐分及石灰的积聚作用明显增强。</w:t>
            </w:r>
          </w:p>
          <w:p w14:paraId="1E9A4132">
            <w:pPr>
              <w:pStyle w:val="89"/>
              <w:ind w:firstLine="420"/>
              <w:rPr>
                <w:rFonts w:hint="eastAsia" w:hAnsi="宋体"/>
              </w:rPr>
            </w:pPr>
            <w:r>
              <w:rPr>
                <w:rFonts w:hint="eastAsia" w:hAnsi="宋体"/>
              </w:rPr>
              <w:t>项目区土壤类型见附图</w:t>
            </w:r>
            <w:r>
              <w:rPr>
                <w:rFonts w:hAnsi="宋体"/>
              </w:rPr>
              <w:t>7</w:t>
            </w:r>
            <w:r>
              <w:rPr>
                <w:rFonts w:hint="eastAsia" w:hAnsi="宋体"/>
              </w:rPr>
              <w:t>。</w:t>
            </w:r>
          </w:p>
          <w:p w14:paraId="1EC3ED5D">
            <w:pPr>
              <w:pStyle w:val="113"/>
              <w:rPr>
                <w:rFonts w:hint="eastAsia"/>
              </w:rPr>
            </w:pPr>
            <w:r>
              <w:rPr>
                <w:rFonts w:hint="eastAsia"/>
              </w:rPr>
              <w:t>7）土地沙化现状</w:t>
            </w:r>
          </w:p>
          <w:p w14:paraId="5D75C63A">
            <w:pPr>
              <w:pStyle w:val="113"/>
              <w:rPr>
                <w:rFonts w:hint="eastAsia"/>
                <w:szCs w:val="21"/>
              </w:rPr>
            </w:pPr>
            <w:r>
              <w:rPr>
                <w:rFonts w:hint="eastAsia"/>
              </w:rPr>
              <w:t>根据调查，玛纳斯县属中温带大陆性半荒漠干旱性气候，冬季严寒，夏季酷热，干燥少雨，日照充足，蒸发量大，降水少，项目区生态环境比较脆弱，植被比较稀少，且常年干旱少雨，常见的自然灾害有大风，沙尘暴等，土地沙漠化情况严重。</w:t>
            </w:r>
          </w:p>
          <w:p w14:paraId="0A4276D1">
            <w:pPr>
              <w:pStyle w:val="113"/>
              <w:rPr>
                <w:rFonts w:hint="eastAsia"/>
              </w:rPr>
            </w:pPr>
            <w:r>
              <w:rPr>
                <w:rFonts w:hint="eastAsia"/>
              </w:rPr>
              <w:t>本项目位于古尔班通古特沙漠西南部。古尔班通古特沙漠面积48695km</w:t>
            </w:r>
            <w:r>
              <w:rPr>
                <w:rFonts w:hint="eastAsia"/>
                <w:vertAlign w:val="superscript"/>
              </w:rPr>
              <w:t>2</w:t>
            </w:r>
            <w:r>
              <w:rPr>
                <w:rFonts w:hint="eastAsia"/>
              </w:rPr>
              <w:t>，占全疆沙漠的11.05%；是我国第二大沙漠，也是我国最大的固定、半固定沙漠。主要由四片沙漠组成，奇台以东为霍景涅里辛沙漠，中部为德佐索腾艾里松沙漠，分布在三个泉干谷以南，西部是索布古尔布格莱沙漠，北部是阔布什和阿克库姆沙漠。沙漠中的沙化土地面4666222.99hm</w:t>
            </w:r>
            <w:r>
              <w:rPr>
                <w:rFonts w:hint="eastAsia"/>
                <w:vertAlign w:val="superscript"/>
              </w:rPr>
              <w:t>2</w:t>
            </w:r>
            <w:r>
              <w:rPr>
                <w:rFonts w:hint="eastAsia"/>
              </w:rPr>
              <w:t>，其中：沙质土地4532361.18hm</w:t>
            </w:r>
            <w:r>
              <w:rPr>
                <w:rFonts w:hint="eastAsia"/>
                <w:vertAlign w:val="superscript"/>
              </w:rPr>
              <w:t>2</w:t>
            </w:r>
            <w:r>
              <w:rPr>
                <w:rFonts w:hint="eastAsia"/>
              </w:rPr>
              <w:t>。沙质土地中，流动沙地 38997.61hm</w:t>
            </w:r>
            <w:r>
              <w:rPr>
                <w:rFonts w:hint="eastAsia"/>
                <w:vertAlign w:val="superscript"/>
              </w:rPr>
              <w:t>2</w:t>
            </w:r>
            <w:r>
              <w:rPr>
                <w:rFonts w:hint="eastAsia"/>
              </w:rPr>
              <w:t>，半固定沙地1215775.51hm</w:t>
            </w:r>
            <w:r>
              <w:rPr>
                <w:rFonts w:hint="eastAsia"/>
                <w:vertAlign w:val="superscript"/>
              </w:rPr>
              <w:t>2</w:t>
            </w:r>
            <w:r>
              <w:rPr>
                <w:rFonts w:hint="eastAsia"/>
              </w:rPr>
              <w:t>，固定沙地3223187.31hm</w:t>
            </w:r>
            <w:r>
              <w:rPr>
                <w:rFonts w:hint="eastAsia"/>
                <w:vertAlign w:val="superscript"/>
              </w:rPr>
              <w:t>2</w:t>
            </w:r>
            <w:r>
              <w:rPr>
                <w:rFonts w:hint="eastAsia"/>
              </w:rPr>
              <w:t>，沙化耕地 54400.75hm</w:t>
            </w:r>
            <w:r>
              <w:rPr>
                <w:rFonts w:hint="eastAsia"/>
                <w:vertAlign w:val="superscript"/>
              </w:rPr>
              <w:t>2</w:t>
            </w:r>
            <w:r>
              <w:rPr>
                <w:rFonts w:hint="eastAsia"/>
              </w:rPr>
              <w:t>。</w:t>
            </w:r>
          </w:p>
          <w:p w14:paraId="32D4D7F0">
            <w:pPr>
              <w:pStyle w:val="113"/>
              <w:rPr>
                <w:rFonts w:hint="eastAsia"/>
              </w:rPr>
            </w:pPr>
            <w:r>
              <w:rPr>
                <w:rFonts w:hint="eastAsia"/>
              </w:rPr>
              <w:t>本项目位于古尔班通古特沙漠西南部边缘，主要为荒漠景观和荒漠植被景观，该地区有一定量的野生植被，植物种类单调，生态系统较为稳定。</w:t>
            </w:r>
          </w:p>
          <w:p w14:paraId="2A6CEBE1">
            <w:pPr>
              <w:pStyle w:val="113"/>
              <w:rPr>
                <w:rFonts w:hint="eastAsia"/>
              </w:rPr>
            </w:pPr>
            <w:r>
              <w:t>8</w:t>
            </w:r>
            <w:r>
              <w:rPr>
                <w:rFonts w:hint="eastAsia"/>
              </w:rPr>
              <w:t>）水土流失现状调查</w:t>
            </w:r>
          </w:p>
          <w:p w14:paraId="2FA1DA7A">
            <w:pPr>
              <w:pStyle w:val="113"/>
              <w:rPr>
                <w:rFonts w:hint="eastAsia"/>
              </w:rPr>
            </w:pPr>
            <w:r>
              <w:t>玛纳斯县位于新疆维吾尔自治区昌吉回族自治州，地处天山北麓、准噶尔盆地南缘，其水土流失现状具有显著的地域特征</w:t>
            </w:r>
            <w:r>
              <w:rPr>
                <w:rFonts w:hint="eastAsia"/>
              </w:rPr>
              <w:t>，年均降水量约150～200mm，降水集中在春夏季，短时暴雨集中，雨滴击溅侵蚀显著。均风速3～4m/s，春季大风日数达50天以上，风力侵蚀（扬沙、沙尘暴）是平原区主要侵蚀类型。北部沙漠边缘为复合型侵蚀（风</w:t>
            </w:r>
            <w:r>
              <w:t>-</w:t>
            </w:r>
            <w:r>
              <w:rPr>
                <w:rFonts w:hint="eastAsia"/>
              </w:rPr>
              <w:t>水协同作用），土地沙化速率约</w:t>
            </w:r>
            <w:r>
              <w:t>1%</w:t>
            </w:r>
            <w:r>
              <w:rPr>
                <w:rFonts w:hint="eastAsia"/>
              </w:rPr>
              <w:t>～</w:t>
            </w:r>
            <w:r>
              <w:t>2%</w:t>
            </w:r>
            <w:r>
              <w:rPr>
                <w:rFonts w:hint="eastAsia"/>
              </w:rPr>
              <w:t>。</w:t>
            </w:r>
          </w:p>
          <w:p w14:paraId="6F473596">
            <w:pPr>
              <w:pStyle w:val="113"/>
              <w:rPr>
                <w:rFonts w:hint="eastAsia"/>
              </w:rPr>
            </w:pPr>
            <w:r>
              <w:t>项目区内气候极端干燥，区内盛行西南风，全年大风日数在6天以上。本项目所在区域水土流失发生时间取决于大风活动状况。通过对风力特征的分析，在春季(3-5月)存在风蚀，风蚀时间较长，植被稀疏、风力强劲的戈壁及沙漠附近地带，风蚀、风埋现象严重。</w:t>
            </w:r>
          </w:p>
          <w:p w14:paraId="19DFAF56">
            <w:pPr>
              <w:pStyle w:val="113"/>
              <w:rPr>
                <w:rFonts w:hint="eastAsia"/>
              </w:rPr>
            </w:pPr>
            <w:r>
              <w:rPr>
                <w:rFonts w:hint="eastAsia"/>
              </w:rPr>
              <w:t>根据《</w:t>
            </w:r>
            <w:r>
              <w:t>水利部办公厅关于印发</w:t>
            </w:r>
            <w:r>
              <w:rPr>
                <w:rFonts w:hint="eastAsia"/>
              </w:rPr>
              <w:t>&lt;</w:t>
            </w:r>
            <w:r>
              <w:t>全国水土保持规划国家级水土流失重点预防区和重点治理区复核划分成果</w:t>
            </w:r>
            <w:r>
              <w:rPr>
                <w:rFonts w:hint="eastAsia"/>
              </w:rPr>
              <w:t>&gt;</w:t>
            </w:r>
            <w:r>
              <w:t>的通知</w:t>
            </w:r>
            <w:r>
              <w:rPr>
                <w:rFonts w:hint="eastAsia"/>
              </w:rPr>
              <w:t>》（办水保[</w:t>
            </w:r>
            <w:r>
              <w:t>2013]188</w:t>
            </w:r>
            <w:r>
              <w:rPr>
                <w:rFonts w:hint="eastAsia"/>
              </w:rPr>
              <w:t>号），</w:t>
            </w:r>
            <w:r>
              <w:rPr>
                <w:rFonts w:hint="eastAsia"/>
                <w:szCs w:val="21"/>
              </w:rPr>
              <w:t>玛纳斯县</w:t>
            </w:r>
            <w:r>
              <w:rPr>
                <w:rFonts w:hint="eastAsia"/>
              </w:rPr>
              <w:t>属于天山北坡国家级水土流失重点预防区，根据《关于印发新疆自治区级水土流失重点预防区和重点治理区复核划分成果的通知》(新水水保[2019]4号)，</w:t>
            </w:r>
            <w:r>
              <w:rPr>
                <w:rFonts w:hint="eastAsia"/>
                <w:szCs w:val="21"/>
              </w:rPr>
              <w:t>玛纳斯县</w:t>
            </w:r>
            <w:r>
              <w:rPr>
                <w:rFonts w:hint="eastAsia"/>
              </w:rPr>
              <w:t>属于自治区级水土流失重点治理区。</w:t>
            </w:r>
          </w:p>
          <w:p w14:paraId="355622D3">
            <w:pPr>
              <w:pStyle w:val="113"/>
              <w:rPr>
                <w:rFonts w:hint="eastAsia"/>
                <w:szCs w:val="21"/>
              </w:rPr>
            </w:pPr>
            <w:r>
              <w:rPr>
                <w:rFonts w:ascii="Calibri" w:hAnsi="Calibri" w:cs="Calibri"/>
              </w:rPr>
              <w:t>根据《新疆维吾尔自治区</w:t>
            </w:r>
            <w:r>
              <w:t>202</w:t>
            </w:r>
            <w:r>
              <w:rPr>
                <w:rFonts w:hint="eastAsia"/>
              </w:rPr>
              <w:t>3</w:t>
            </w:r>
            <w:r>
              <w:rPr>
                <w:rFonts w:ascii="Calibri" w:hAnsi="Calibri" w:cs="Calibri"/>
              </w:rPr>
              <w:t>年水土保持公报》（新疆维吾尔自治区水利厅，</w:t>
            </w:r>
            <w:r>
              <w:t>2</w:t>
            </w:r>
            <w:r>
              <w:rPr>
                <w:rFonts w:hint="eastAsia"/>
              </w:rPr>
              <w:t>024</w:t>
            </w:r>
            <w:r>
              <w:rPr>
                <w:rFonts w:ascii="Calibri" w:hAnsi="Calibri" w:cs="Calibri"/>
              </w:rPr>
              <w:t>年</w:t>
            </w:r>
            <w:r>
              <w:rPr>
                <w:rFonts w:hint="eastAsia"/>
              </w:rPr>
              <w:t>10</w:t>
            </w:r>
            <w:r>
              <w:rPr>
                <w:rFonts w:ascii="Calibri" w:hAnsi="Calibri" w:cs="Calibri"/>
              </w:rPr>
              <w:t>月）中</w:t>
            </w:r>
            <w:r>
              <w:t>2</w:t>
            </w:r>
            <w:r>
              <w:rPr>
                <w:rFonts w:hint="eastAsia"/>
              </w:rPr>
              <w:t>023</w:t>
            </w:r>
            <w:r>
              <w:rPr>
                <w:rFonts w:ascii="Calibri" w:hAnsi="Calibri" w:cs="Calibri"/>
              </w:rPr>
              <w:t>年自治区水土流失动态监测成果，全区水土流失总面积</w:t>
            </w:r>
            <w:r>
              <w:t>8</w:t>
            </w:r>
            <w:r>
              <w:rPr>
                <w:rFonts w:hint="eastAsia"/>
              </w:rPr>
              <w:t>3.21</w:t>
            </w:r>
            <w:r>
              <w:t xml:space="preserve"> km</w:t>
            </w:r>
            <w:r>
              <w:rPr>
                <w:rFonts w:hint="eastAsia"/>
                <w:vertAlign w:val="superscript"/>
              </w:rPr>
              <w:t>2</w:t>
            </w:r>
            <w:r>
              <w:rPr>
                <w:rFonts w:ascii="Calibri" w:hAnsi="Calibri" w:cs="Calibri"/>
              </w:rPr>
              <w:t>（不含冻融侵蚀），与</w:t>
            </w:r>
            <w:r>
              <w:t>2022</w:t>
            </w:r>
            <w:r>
              <w:rPr>
                <w:rFonts w:ascii="Calibri" w:hAnsi="Calibri" w:cs="Calibri"/>
              </w:rPr>
              <w:t>年相比，全区水土流失面积减少了</w:t>
            </w:r>
            <w:r>
              <w:t>2286.08km</w:t>
            </w:r>
            <w:r>
              <w:rPr>
                <w:rFonts w:hint="eastAsia"/>
                <w:vertAlign w:val="superscript"/>
              </w:rPr>
              <w:t>2</w:t>
            </w:r>
            <w:r>
              <w:rPr>
                <w:rFonts w:ascii="Calibri" w:hAnsi="Calibri" w:cs="Calibri"/>
              </w:rPr>
              <w:t>，减幅</w:t>
            </w:r>
            <w:r>
              <w:t>0.27%</w:t>
            </w:r>
            <w:r>
              <w:rPr>
                <w:rFonts w:ascii="Calibri" w:hAnsi="Calibri" w:cs="Calibri"/>
              </w:rPr>
              <w:t>。昌吉回族自治州水土流失面积</w:t>
            </w:r>
            <w:r>
              <w:rPr>
                <w:rFonts w:hint="eastAsia"/>
              </w:rPr>
              <w:t>45803.54</w:t>
            </w:r>
            <w:r>
              <w:t>km</w:t>
            </w:r>
            <w:r>
              <w:rPr>
                <w:rFonts w:hint="eastAsia"/>
                <w:vertAlign w:val="superscript"/>
              </w:rPr>
              <w:t>2</w:t>
            </w:r>
            <w:r>
              <w:rPr>
                <w:rFonts w:ascii="Calibri" w:hAnsi="Calibri" w:cs="Calibri"/>
              </w:rPr>
              <w:t>，水力侵蚀面积</w:t>
            </w:r>
            <w:r>
              <w:rPr>
                <w:rFonts w:hint="eastAsia"/>
              </w:rPr>
              <w:t>4129.15</w:t>
            </w:r>
            <w:r>
              <w:t>km</w:t>
            </w:r>
            <w:r>
              <w:rPr>
                <w:rFonts w:hint="eastAsia"/>
                <w:vertAlign w:val="superscript"/>
              </w:rPr>
              <w:t>2</w:t>
            </w:r>
            <w:r>
              <w:rPr>
                <w:rFonts w:ascii="Calibri" w:hAnsi="Calibri" w:cs="Calibri"/>
              </w:rPr>
              <w:t>，风力侵蚀面积</w:t>
            </w:r>
            <w:r>
              <w:rPr>
                <w:rFonts w:hint="eastAsia"/>
              </w:rPr>
              <w:t>41674.39</w:t>
            </w:r>
            <w:r>
              <w:t>km</w:t>
            </w:r>
            <w:r>
              <w:rPr>
                <w:rFonts w:hint="eastAsia"/>
                <w:vertAlign w:val="superscript"/>
              </w:rPr>
              <w:t>2</w:t>
            </w:r>
            <w:r>
              <w:rPr>
                <w:rFonts w:ascii="Calibri" w:hAnsi="Calibri" w:cs="Calibri"/>
              </w:rPr>
              <w:t>。</w:t>
            </w:r>
          </w:p>
          <w:p w14:paraId="4482D56A">
            <w:pPr>
              <w:pStyle w:val="113"/>
              <w:rPr>
                <w:rFonts w:hint="eastAsia"/>
              </w:rPr>
            </w:pPr>
            <w:r>
              <w:t>水土流失造成草场退化、载畜量降低，沙漠、戈壁区防风固沙能力降低，土地沙漠化、沙尘暴、洪涝灾害、干热风等自然灾害逐年增加</w:t>
            </w:r>
            <w:r>
              <w:rPr>
                <w:rFonts w:hint="eastAsia"/>
              </w:rPr>
              <w:t>，</w:t>
            </w:r>
            <w:r>
              <w:t>特点是分布广、类型多、强度高、危害深、治理难度大。</w:t>
            </w:r>
          </w:p>
          <w:p w14:paraId="6A421866">
            <w:pPr>
              <w:pStyle w:val="113"/>
              <w:rPr>
                <w:rFonts w:hint="eastAsia"/>
                <w:szCs w:val="21"/>
              </w:rPr>
            </w:pPr>
            <w:r>
              <w:t>8</w:t>
            </w:r>
            <w:r>
              <w:rPr>
                <w:rFonts w:hint="eastAsia"/>
              </w:rPr>
              <w:t>）土地利用类型</w:t>
            </w:r>
          </w:p>
          <w:p w14:paraId="04AEF98B">
            <w:pPr>
              <w:pStyle w:val="113"/>
              <w:rPr>
                <w:rFonts w:hint="eastAsia"/>
              </w:rPr>
            </w:pPr>
            <w:r>
              <w:rPr>
                <w:rFonts w:hint="eastAsia"/>
              </w:rPr>
              <w:t>本项目临时占用灌木林地，评价区不在自然保护区范围内，不在湿地公园、风景名胜区范围内。</w:t>
            </w:r>
          </w:p>
          <w:p w14:paraId="47A7FFF8">
            <w:pPr>
              <w:pStyle w:val="113"/>
              <w:rPr>
                <w:rFonts w:hint="eastAsia"/>
                <w:bCs/>
              </w:rPr>
            </w:pPr>
            <w:r>
              <w:rPr>
                <w:rFonts w:hint="eastAsia"/>
                <w:bCs/>
              </w:rPr>
              <w:t>2</w:t>
            </w:r>
            <w:r>
              <w:rPr>
                <w:bCs/>
              </w:rPr>
              <w:t>、环境空气</w:t>
            </w:r>
            <w:r>
              <w:rPr>
                <w:rFonts w:hint="eastAsia"/>
                <w:bCs/>
              </w:rPr>
              <w:t>质量现状与评价</w:t>
            </w:r>
          </w:p>
          <w:p w14:paraId="1313A8F5">
            <w:pPr>
              <w:pStyle w:val="3"/>
              <w:ind w:firstLine="420"/>
              <w:rPr>
                <w:rFonts w:hint="eastAsia"/>
                <w:sz w:val="21"/>
                <w:szCs w:val="21"/>
              </w:rPr>
            </w:pPr>
            <w:r>
              <w:rPr>
                <w:rFonts w:hint="eastAsia"/>
                <w:sz w:val="21"/>
                <w:szCs w:val="21"/>
              </w:rPr>
              <w:t>根据维吾尔自治区生态环境厅发布的《新疆维吾尔自治区2024年生态环境状况公报》环境空气质量数据，2024年昌吉州环境空气质量现状不满足《环境空气质量标准》（GB 3095-2012）及其修改单（生态环境部公告 2018年 第29号）中二级标准限值。因此项目所在地属于大气环境不达标区。</w:t>
            </w:r>
          </w:p>
          <w:p w14:paraId="74458D00">
            <w:pPr>
              <w:pStyle w:val="12"/>
              <w:spacing w:before="120"/>
              <w:rPr>
                <w:rFonts w:hint="eastAsia" w:hAnsi="宋体"/>
              </w:rPr>
            </w:pPr>
            <w:bookmarkStart w:id="44" w:name="_Ref303400458"/>
            <w:r>
              <w:rPr>
                <w:rFonts w:hint="eastAsia" w:hAnsi="宋体"/>
              </w:rPr>
              <w:t>表</w:t>
            </w:r>
            <w:r>
              <w:rPr>
                <w:rFonts w:hint="eastAsia" w:hAnsi="宋体"/>
              </w:rPr>
              <w:fldChar w:fldCharType="begin"/>
            </w:r>
            <w:r>
              <w:rPr>
                <w:rFonts w:hint="eastAsia" w:hAnsi="宋体"/>
              </w:rPr>
              <w:instrText xml:space="preserve"> SEQ 表 \*ARABIC </w:instrText>
            </w:r>
            <w:r>
              <w:rPr>
                <w:rFonts w:hint="eastAsia" w:hAnsi="宋体"/>
              </w:rPr>
              <w:fldChar w:fldCharType="separate"/>
            </w:r>
            <w:r>
              <w:rPr>
                <w:rFonts w:hint="eastAsia" w:hAnsi="宋体"/>
              </w:rPr>
              <w:t>27</w:t>
            </w:r>
            <w:r>
              <w:rPr>
                <w:rFonts w:hint="eastAsia" w:hAnsi="宋体"/>
              </w:rPr>
              <w:fldChar w:fldCharType="end"/>
            </w:r>
            <w:bookmarkEnd w:id="44"/>
            <w:r>
              <w:rPr>
                <w:rFonts w:hint="eastAsia" w:hAnsi="宋体"/>
              </w:rPr>
              <w:t xml:space="preserve">  玛纳斯县环境基本污染物环境质量现状一览表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986"/>
              <w:gridCol w:w="1320"/>
              <w:gridCol w:w="1320"/>
              <w:gridCol w:w="931"/>
              <w:gridCol w:w="1154"/>
            </w:tblGrid>
            <w:tr w14:paraId="707A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Mar>
                    <w:top w:w="57" w:type="dxa"/>
                    <w:left w:w="108" w:type="dxa"/>
                    <w:bottom w:w="57" w:type="dxa"/>
                    <w:right w:w="108" w:type="dxa"/>
                  </w:tcMar>
                  <w:vAlign w:val="center"/>
                </w:tcPr>
                <w:p w14:paraId="2B3F3C93">
                  <w:pPr>
                    <w:pStyle w:val="87"/>
                    <w:rPr>
                      <w:rFonts w:hint="eastAsia" w:hAnsi="宋体" w:cs="宋体"/>
                      <w:kern w:val="0"/>
                    </w:rPr>
                  </w:pPr>
                  <w:r>
                    <w:rPr>
                      <w:rFonts w:hint="eastAsia" w:hAnsi="宋体" w:cs="宋体"/>
                      <w:kern w:val="0"/>
                    </w:rPr>
                    <w:t>评价因子</w:t>
                  </w:r>
                </w:p>
              </w:tc>
              <w:tc>
                <w:tcPr>
                  <w:tcW w:w="1262" w:type="pct"/>
                  <w:tcMar>
                    <w:top w:w="57" w:type="dxa"/>
                    <w:left w:w="108" w:type="dxa"/>
                    <w:bottom w:w="57" w:type="dxa"/>
                    <w:right w:w="108" w:type="dxa"/>
                  </w:tcMar>
                  <w:vAlign w:val="center"/>
                </w:tcPr>
                <w:p w14:paraId="3403ABBE">
                  <w:pPr>
                    <w:pStyle w:val="87"/>
                    <w:rPr>
                      <w:rFonts w:hint="eastAsia" w:hAnsi="宋体" w:cs="宋体"/>
                      <w:kern w:val="0"/>
                    </w:rPr>
                  </w:pPr>
                  <w:r>
                    <w:rPr>
                      <w:rFonts w:hint="eastAsia" w:hAnsi="宋体" w:cs="宋体"/>
                      <w:kern w:val="0"/>
                    </w:rPr>
                    <w:t>年评价指标</w:t>
                  </w:r>
                </w:p>
              </w:tc>
              <w:tc>
                <w:tcPr>
                  <w:tcW w:w="839" w:type="pct"/>
                  <w:tcMar>
                    <w:top w:w="57" w:type="dxa"/>
                    <w:left w:w="108" w:type="dxa"/>
                    <w:bottom w:w="57" w:type="dxa"/>
                    <w:right w:w="108" w:type="dxa"/>
                  </w:tcMar>
                  <w:vAlign w:val="center"/>
                </w:tcPr>
                <w:p w14:paraId="0BE077C9">
                  <w:pPr>
                    <w:pStyle w:val="87"/>
                    <w:rPr>
                      <w:rFonts w:hint="eastAsia" w:hAnsi="宋体" w:cs="宋体"/>
                      <w:kern w:val="0"/>
                    </w:rPr>
                  </w:pPr>
                  <w:r>
                    <w:rPr>
                      <w:rFonts w:hint="eastAsia" w:hAnsi="宋体" w:cs="宋体"/>
                      <w:kern w:val="0"/>
                    </w:rPr>
                    <w:t>现状浓度</w:t>
                  </w:r>
                </w:p>
                <w:p w14:paraId="3D6012BE">
                  <w:pPr>
                    <w:pStyle w:val="87"/>
                    <w:rPr>
                      <w:rFonts w:hint="eastAsia" w:hAnsi="宋体" w:cs="宋体"/>
                      <w:kern w:val="0"/>
                    </w:rPr>
                  </w:pPr>
                  <w:r>
                    <w:rPr>
                      <w:rFonts w:hint="eastAsia" w:hAnsi="宋体" w:cs="宋体"/>
                      <w:kern w:val="0"/>
                    </w:rPr>
                    <w:t>（μg/m</w:t>
                  </w:r>
                  <w:r>
                    <w:rPr>
                      <w:rFonts w:hint="eastAsia" w:hAnsi="宋体" w:cs="宋体"/>
                      <w:kern w:val="0"/>
                      <w:vertAlign w:val="superscript"/>
                    </w:rPr>
                    <w:t>3</w:t>
                  </w:r>
                  <w:r>
                    <w:rPr>
                      <w:rFonts w:hint="eastAsia" w:hAnsi="宋体" w:cs="宋体"/>
                      <w:kern w:val="0"/>
                    </w:rPr>
                    <w:t>）</w:t>
                  </w:r>
                </w:p>
              </w:tc>
              <w:tc>
                <w:tcPr>
                  <w:tcW w:w="839" w:type="pct"/>
                  <w:tcMar>
                    <w:top w:w="57" w:type="dxa"/>
                    <w:left w:w="108" w:type="dxa"/>
                    <w:bottom w:w="57" w:type="dxa"/>
                    <w:right w:w="108" w:type="dxa"/>
                  </w:tcMar>
                  <w:vAlign w:val="center"/>
                </w:tcPr>
                <w:p w14:paraId="29BBC9C2">
                  <w:pPr>
                    <w:pStyle w:val="87"/>
                    <w:rPr>
                      <w:rFonts w:hint="eastAsia" w:hAnsi="宋体" w:cs="宋体"/>
                      <w:kern w:val="0"/>
                    </w:rPr>
                  </w:pPr>
                  <w:r>
                    <w:rPr>
                      <w:rFonts w:hint="eastAsia" w:hAnsi="宋体" w:cs="宋体"/>
                      <w:kern w:val="0"/>
                    </w:rPr>
                    <w:t>评价标准</w:t>
                  </w:r>
                </w:p>
                <w:p w14:paraId="2437DCF0">
                  <w:pPr>
                    <w:pStyle w:val="87"/>
                    <w:rPr>
                      <w:rFonts w:hint="eastAsia" w:hAnsi="宋体" w:cs="宋体"/>
                      <w:kern w:val="0"/>
                    </w:rPr>
                  </w:pPr>
                  <w:r>
                    <w:rPr>
                      <w:rFonts w:hint="eastAsia" w:hAnsi="宋体" w:cs="宋体"/>
                      <w:kern w:val="0"/>
                    </w:rPr>
                    <w:t>（μg/m</w:t>
                  </w:r>
                  <w:r>
                    <w:rPr>
                      <w:rFonts w:hint="eastAsia" w:hAnsi="宋体" w:cs="宋体"/>
                      <w:kern w:val="0"/>
                      <w:vertAlign w:val="superscript"/>
                    </w:rPr>
                    <w:t>3</w:t>
                  </w:r>
                  <w:r>
                    <w:rPr>
                      <w:rFonts w:hint="eastAsia" w:hAnsi="宋体" w:cs="宋体"/>
                      <w:kern w:val="0"/>
                    </w:rPr>
                    <w:t>）</w:t>
                  </w:r>
                </w:p>
              </w:tc>
              <w:tc>
                <w:tcPr>
                  <w:tcW w:w="592" w:type="pct"/>
                  <w:tcMar>
                    <w:top w:w="57" w:type="dxa"/>
                    <w:left w:w="108" w:type="dxa"/>
                    <w:bottom w:w="57" w:type="dxa"/>
                    <w:right w:w="108" w:type="dxa"/>
                  </w:tcMar>
                  <w:vAlign w:val="center"/>
                </w:tcPr>
                <w:p w14:paraId="0E23A547">
                  <w:pPr>
                    <w:pStyle w:val="87"/>
                    <w:rPr>
                      <w:rFonts w:hint="eastAsia" w:hAnsi="宋体" w:cs="宋体"/>
                      <w:kern w:val="0"/>
                    </w:rPr>
                  </w:pPr>
                  <w:r>
                    <w:rPr>
                      <w:rFonts w:hint="eastAsia" w:hAnsi="宋体" w:cs="宋体"/>
                      <w:kern w:val="0"/>
                    </w:rPr>
                    <w:t>占标率</w:t>
                  </w:r>
                </w:p>
              </w:tc>
              <w:tc>
                <w:tcPr>
                  <w:tcW w:w="733" w:type="pct"/>
                  <w:tcMar>
                    <w:top w:w="57" w:type="dxa"/>
                    <w:left w:w="108" w:type="dxa"/>
                    <w:bottom w:w="57" w:type="dxa"/>
                    <w:right w:w="108" w:type="dxa"/>
                  </w:tcMar>
                  <w:vAlign w:val="center"/>
                </w:tcPr>
                <w:p w14:paraId="08885037">
                  <w:pPr>
                    <w:pStyle w:val="87"/>
                    <w:rPr>
                      <w:rFonts w:hint="eastAsia" w:hAnsi="宋体" w:cs="宋体"/>
                      <w:kern w:val="0"/>
                    </w:rPr>
                  </w:pPr>
                  <w:r>
                    <w:rPr>
                      <w:rFonts w:hint="eastAsia" w:hAnsi="宋体" w:cs="宋体"/>
                      <w:kern w:val="0"/>
                    </w:rPr>
                    <w:t>达标情况</w:t>
                  </w:r>
                </w:p>
              </w:tc>
            </w:tr>
            <w:tr w14:paraId="2294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Mar>
                    <w:top w:w="57" w:type="dxa"/>
                    <w:left w:w="108" w:type="dxa"/>
                    <w:bottom w:w="57" w:type="dxa"/>
                    <w:right w:w="108" w:type="dxa"/>
                  </w:tcMar>
                  <w:vAlign w:val="center"/>
                </w:tcPr>
                <w:p w14:paraId="13D31477">
                  <w:pPr>
                    <w:pStyle w:val="87"/>
                    <w:rPr>
                      <w:rFonts w:hint="eastAsia" w:hAnsi="宋体" w:cs="宋体"/>
                      <w:kern w:val="0"/>
                    </w:rPr>
                  </w:pPr>
                  <w:r>
                    <w:rPr>
                      <w:rFonts w:hint="eastAsia" w:hAnsi="宋体" w:cs="宋体"/>
                      <w:kern w:val="0"/>
                    </w:rPr>
                    <w:t>SO</w:t>
                  </w:r>
                  <w:r>
                    <w:rPr>
                      <w:rFonts w:hint="eastAsia" w:hAnsi="宋体" w:cs="宋体"/>
                      <w:kern w:val="0"/>
                      <w:vertAlign w:val="subscript"/>
                    </w:rPr>
                    <w:t>2</w:t>
                  </w:r>
                </w:p>
              </w:tc>
              <w:tc>
                <w:tcPr>
                  <w:tcW w:w="1262" w:type="pct"/>
                  <w:tcMar>
                    <w:top w:w="57" w:type="dxa"/>
                    <w:left w:w="108" w:type="dxa"/>
                    <w:bottom w:w="57" w:type="dxa"/>
                    <w:right w:w="108" w:type="dxa"/>
                  </w:tcMar>
                  <w:vAlign w:val="center"/>
                </w:tcPr>
                <w:p w14:paraId="23C4C285">
                  <w:pPr>
                    <w:pStyle w:val="87"/>
                    <w:rPr>
                      <w:rFonts w:hint="eastAsia" w:hAnsi="宋体" w:cs="宋体"/>
                      <w:kern w:val="0"/>
                    </w:rPr>
                  </w:pPr>
                  <w:r>
                    <w:rPr>
                      <w:rFonts w:hint="eastAsia" w:hAnsi="宋体" w:cs="宋体"/>
                      <w:kern w:val="0"/>
                    </w:rPr>
                    <w:t>年平均</w:t>
                  </w:r>
                </w:p>
              </w:tc>
              <w:tc>
                <w:tcPr>
                  <w:tcW w:w="839" w:type="pct"/>
                  <w:tcMar>
                    <w:top w:w="57" w:type="dxa"/>
                    <w:left w:w="108" w:type="dxa"/>
                    <w:bottom w:w="57" w:type="dxa"/>
                    <w:right w:w="108" w:type="dxa"/>
                  </w:tcMar>
                  <w:vAlign w:val="center"/>
                </w:tcPr>
                <w:p w14:paraId="4E671F03">
                  <w:pPr>
                    <w:pStyle w:val="87"/>
                    <w:rPr>
                      <w:rFonts w:hint="eastAsia" w:hAnsi="宋体" w:cs="宋体"/>
                      <w:kern w:val="0"/>
                    </w:rPr>
                  </w:pPr>
                  <w:r>
                    <w:rPr>
                      <w:rFonts w:hint="eastAsia" w:hAnsi="宋体" w:cs="宋体"/>
                    </w:rPr>
                    <w:t>7</w:t>
                  </w:r>
                </w:p>
              </w:tc>
              <w:tc>
                <w:tcPr>
                  <w:tcW w:w="839" w:type="pct"/>
                  <w:tcMar>
                    <w:top w:w="57" w:type="dxa"/>
                    <w:left w:w="108" w:type="dxa"/>
                    <w:bottom w:w="57" w:type="dxa"/>
                    <w:right w:w="108" w:type="dxa"/>
                  </w:tcMar>
                  <w:vAlign w:val="center"/>
                </w:tcPr>
                <w:p w14:paraId="651DA6DB">
                  <w:pPr>
                    <w:pStyle w:val="87"/>
                    <w:rPr>
                      <w:rFonts w:hint="eastAsia" w:hAnsi="宋体" w:cs="宋体"/>
                    </w:rPr>
                  </w:pPr>
                  <w:r>
                    <w:rPr>
                      <w:rFonts w:hint="eastAsia" w:hAnsi="宋体" w:cs="宋体"/>
                    </w:rPr>
                    <w:t>60</w:t>
                  </w:r>
                </w:p>
              </w:tc>
              <w:tc>
                <w:tcPr>
                  <w:tcW w:w="592" w:type="pct"/>
                  <w:tcMar>
                    <w:top w:w="57" w:type="dxa"/>
                    <w:left w:w="108" w:type="dxa"/>
                    <w:bottom w:w="57" w:type="dxa"/>
                    <w:right w:w="108" w:type="dxa"/>
                  </w:tcMar>
                  <w:vAlign w:val="center"/>
                </w:tcPr>
                <w:p w14:paraId="3D97078F">
                  <w:pPr>
                    <w:pStyle w:val="87"/>
                    <w:rPr>
                      <w:rFonts w:hint="eastAsia" w:hAnsi="宋体" w:cs="宋体"/>
                      <w:kern w:val="0"/>
                    </w:rPr>
                  </w:pPr>
                  <w:r>
                    <w:rPr>
                      <w:rFonts w:hint="eastAsia" w:hAnsi="宋体" w:cs="宋体"/>
                    </w:rPr>
                    <w:t>12</w:t>
                  </w:r>
                </w:p>
              </w:tc>
              <w:tc>
                <w:tcPr>
                  <w:tcW w:w="733" w:type="pct"/>
                  <w:tcMar>
                    <w:top w:w="57" w:type="dxa"/>
                    <w:left w:w="108" w:type="dxa"/>
                    <w:bottom w:w="57" w:type="dxa"/>
                    <w:right w:w="108" w:type="dxa"/>
                  </w:tcMar>
                  <w:vAlign w:val="center"/>
                </w:tcPr>
                <w:p w14:paraId="6609D748">
                  <w:pPr>
                    <w:pStyle w:val="87"/>
                    <w:rPr>
                      <w:rFonts w:hint="eastAsia" w:hAnsi="宋体" w:cs="宋体"/>
                    </w:rPr>
                  </w:pPr>
                  <w:r>
                    <w:rPr>
                      <w:rFonts w:hint="eastAsia" w:hAnsi="宋体" w:cs="宋体"/>
                    </w:rPr>
                    <w:t>达标</w:t>
                  </w:r>
                </w:p>
              </w:tc>
            </w:tr>
            <w:tr w14:paraId="5B5E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Mar>
                    <w:top w:w="57" w:type="dxa"/>
                    <w:left w:w="108" w:type="dxa"/>
                    <w:bottom w:w="57" w:type="dxa"/>
                    <w:right w:w="108" w:type="dxa"/>
                  </w:tcMar>
                  <w:vAlign w:val="center"/>
                </w:tcPr>
                <w:p w14:paraId="436100EA">
                  <w:pPr>
                    <w:pStyle w:val="87"/>
                    <w:rPr>
                      <w:rFonts w:hint="eastAsia" w:hAnsi="宋体" w:cs="宋体"/>
                      <w:kern w:val="0"/>
                    </w:rPr>
                  </w:pPr>
                  <w:r>
                    <w:rPr>
                      <w:rFonts w:hint="eastAsia" w:hAnsi="宋体" w:cs="宋体"/>
                      <w:kern w:val="0"/>
                    </w:rPr>
                    <w:t>NO</w:t>
                  </w:r>
                  <w:r>
                    <w:rPr>
                      <w:rFonts w:hint="eastAsia" w:hAnsi="宋体" w:cs="宋体"/>
                      <w:kern w:val="0"/>
                      <w:vertAlign w:val="subscript"/>
                    </w:rPr>
                    <w:t>2</w:t>
                  </w:r>
                </w:p>
              </w:tc>
              <w:tc>
                <w:tcPr>
                  <w:tcW w:w="1262" w:type="pct"/>
                  <w:tcMar>
                    <w:top w:w="57" w:type="dxa"/>
                    <w:left w:w="108" w:type="dxa"/>
                    <w:bottom w:w="57" w:type="dxa"/>
                    <w:right w:w="108" w:type="dxa"/>
                  </w:tcMar>
                  <w:vAlign w:val="center"/>
                </w:tcPr>
                <w:p w14:paraId="7B6CF5B5">
                  <w:pPr>
                    <w:pStyle w:val="87"/>
                    <w:rPr>
                      <w:rFonts w:hint="eastAsia" w:hAnsi="宋体" w:cs="宋体"/>
                      <w:kern w:val="0"/>
                    </w:rPr>
                  </w:pPr>
                  <w:r>
                    <w:rPr>
                      <w:rFonts w:hint="eastAsia" w:hAnsi="宋体" w:cs="宋体"/>
                      <w:kern w:val="0"/>
                    </w:rPr>
                    <w:t>年平均</w:t>
                  </w:r>
                </w:p>
              </w:tc>
              <w:tc>
                <w:tcPr>
                  <w:tcW w:w="839" w:type="pct"/>
                  <w:tcMar>
                    <w:top w:w="57" w:type="dxa"/>
                    <w:left w:w="108" w:type="dxa"/>
                    <w:bottom w:w="57" w:type="dxa"/>
                    <w:right w:w="108" w:type="dxa"/>
                  </w:tcMar>
                  <w:vAlign w:val="center"/>
                </w:tcPr>
                <w:p w14:paraId="1E1B25C1">
                  <w:pPr>
                    <w:pStyle w:val="87"/>
                    <w:rPr>
                      <w:rFonts w:hint="eastAsia" w:hAnsi="宋体" w:cs="宋体"/>
                    </w:rPr>
                  </w:pPr>
                  <w:r>
                    <w:rPr>
                      <w:rFonts w:hint="eastAsia" w:hAnsi="宋体" w:cs="宋体"/>
                    </w:rPr>
                    <w:t>30</w:t>
                  </w:r>
                </w:p>
              </w:tc>
              <w:tc>
                <w:tcPr>
                  <w:tcW w:w="839" w:type="pct"/>
                  <w:tcMar>
                    <w:top w:w="57" w:type="dxa"/>
                    <w:left w:w="108" w:type="dxa"/>
                    <w:bottom w:w="57" w:type="dxa"/>
                    <w:right w:w="108" w:type="dxa"/>
                  </w:tcMar>
                  <w:vAlign w:val="center"/>
                </w:tcPr>
                <w:p w14:paraId="1284207A">
                  <w:pPr>
                    <w:pStyle w:val="87"/>
                    <w:rPr>
                      <w:rFonts w:hint="eastAsia" w:hAnsi="宋体" w:cs="宋体"/>
                    </w:rPr>
                  </w:pPr>
                  <w:r>
                    <w:rPr>
                      <w:rFonts w:hint="eastAsia" w:hAnsi="宋体" w:cs="宋体"/>
                    </w:rPr>
                    <w:t>40</w:t>
                  </w:r>
                </w:p>
              </w:tc>
              <w:tc>
                <w:tcPr>
                  <w:tcW w:w="592" w:type="pct"/>
                  <w:tcMar>
                    <w:top w:w="57" w:type="dxa"/>
                    <w:left w:w="108" w:type="dxa"/>
                    <w:bottom w:w="57" w:type="dxa"/>
                    <w:right w:w="108" w:type="dxa"/>
                  </w:tcMar>
                  <w:vAlign w:val="center"/>
                </w:tcPr>
                <w:p w14:paraId="71DEA71C">
                  <w:pPr>
                    <w:pStyle w:val="87"/>
                    <w:rPr>
                      <w:rFonts w:hint="eastAsia" w:hAnsi="宋体" w:cs="宋体"/>
                    </w:rPr>
                  </w:pPr>
                  <w:r>
                    <w:rPr>
                      <w:rFonts w:hint="eastAsia" w:hAnsi="宋体" w:cs="宋体"/>
                    </w:rPr>
                    <w:t>75</w:t>
                  </w:r>
                </w:p>
              </w:tc>
              <w:tc>
                <w:tcPr>
                  <w:tcW w:w="733" w:type="pct"/>
                  <w:tcMar>
                    <w:top w:w="57" w:type="dxa"/>
                    <w:left w:w="108" w:type="dxa"/>
                    <w:bottom w:w="57" w:type="dxa"/>
                    <w:right w:w="108" w:type="dxa"/>
                  </w:tcMar>
                  <w:vAlign w:val="center"/>
                </w:tcPr>
                <w:p w14:paraId="05BDBF42">
                  <w:pPr>
                    <w:pStyle w:val="87"/>
                    <w:rPr>
                      <w:rFonts w:hint="eastAsia" w:hAnsi="宋体" w:cs="宋体"/>
                    </w:rPr>
                  </w:pPr>
                  <w:r>
                    <w:rPr>
                      <w:rFonts w:hint="eastAsia" w:hAnsi="宋体" w:cs="宋体"/>
                    </w:rPr>
                    <w:t>达标</w:t>
                  </w:r>
                </w:p>
              </w:tc>
            </w:tr>
            <w:tr w14:paraId="78DB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Mar>
                    <w:top w:w="57" w:type="dxa"/>
                    <w:left w:w="108" w:type="dxa"/>
                    <w:bottom w:w="57" w:type="dxa"/>
                    <w:right w:w="108" w:type="dxa"/>
                  </w:tcMar>
                  <w:vAlign w:val="center"/>
                </w:tcPr>
                <w:p w14:paraId="6467D512">
                  <w:pPr>
                    <w:pStyle w:val="87"/>
                    <w:rPr>
                      <w:rFonts w:hint="eastAsia" w:hAnsi="宋体" w:cs="宋体"/>
                      <w:kern w:val="0"/>
                    </w:rPr>
                  </w:pPr>
                  <w:r>
                    <w:rPr>
                      <w:rFonts w:hint="eastAsia" w:hAnsi="宋体" w:cs="宋体"/>
                      <w:kern w:val="0"/>
                    </w:rPr>
                    <w:t>CO</w:t>
                  </w:r>
                </w:p>
              </w:tc>
              <w:tc>
                <w:tcPr>
                  <w:tcW w:w="1262" w:type="pct"/>
                  <w:tcMar>
                    <w:top w:w="57" w:type="dxa"/>
                    <w:left w:w="108" w:type="dxa"/>
                    <w:bottom w:w="57" w:type="dxa"/>
                    <w:right w:w="108" w:type="dxa"/>
                  </w:tcMar>
                  <w:vAlign w:val="center"/>
                </w:tcPr>
                <w:p w14:paraId="7E6606DA">
                  <w:pPr>
                    <w:pStyle w:val="87"/>
                    <w:rPr>
                      <w:rFonts w:hint="eastAsia" w:hAnsi="宋体" w:cs="宋体"/>
                      <w:kern w:val="0"/>
                    </w:rPr>
                  </w:pPr>
                  <w:r>
                    <w:rPr>
                      <w:rFonts w:hint="eastAsia" w:hAnsi="宋体" w:cs="宋体"/>
                      <w:kern w:val="0"/>
                    </w:rPr>
                    <w:t>第95百分位数日</w:t>
                  </w:r>
                </w:p>
                <w:p w14:paraId="2B21C7F1">
                  <w:pPr>
                    <w:pStyle w:val="87"/>
                    <w:rPr>
                      <w:rFonts w:hint="eastAsia" w:hAnsi="宋体" w:cs="宋体"/>
                      <w:kern w:val="0"/>
                    </w:rPr>
                  </w:pPr>
                  <w:r>
                    <w:rPr>
                      <w:rFonts w:hint="eastAsia" w:hAnsi="宋体" w:cs="宋体"/>
                      <w:kern w:val="0"/>
                    </w:rPr>
                    <w:t>平均质量浓度</w:t>
                  </w:r>
                </w:p>
              </w:tc>
              <w:tc>
                <w:tcPr>
                  <w:tcW w:w="839" w:type="pct"/>
                  <w:tcMar>
                    <w:top w:w="57" w:type="dxa"/>
                    <w:left w:w="108" w:type="dxa"/>
                    <w:bottom w:w="57" w:type="dxa"/>
                    <w:right w:w="108" w:type="dxa"/>
                  </w:tcMar>
                  <w:vAlign w:val="center"/>
                </w:tcPr>
                <w:p w14:paraId="4A002E02">
                  <w:pPr>
                    <w:pStyle w:val="87"/>
                    <w:rPr>
                      <w:rFonts w:hint="eastAsia" w:hAnsi="宋体" w:cs="宋体"/>
                    </w:rPr>
                  </w:pPr>
                  <w:r>
                    <w:rPr>
                      <w:rFonts w:hint="eastAsia" w:hAnsi="宋体" w:cs="宋体"/>
                    </w:rPr>
                    <w:t>1800</w:t>
                  </w:r>
                </w:p>
              </w:tc>
              <w:tc>
                <w:tcPr>
                  <w:tcW w:w="839" w:type="pct"/>
                  <w:tcMar>
                    <w:top w:w="57" w:type="dxa"/>
                    <w:left w:w="108" w:type="dxa"/>
                    <w:bottom w:w="57" w:type="dxa"/>
                    <w:right w:w="108" w:type="dxa"/>
                  </w:tcMar>
                  <w:vAlign w:val="center"/>
                </w:tcPr>
                <w:p w14:paraId="03F1EB2E">
                  <w:pPr>
                    <w:pStyle w:val="87"/>
                    <w:rPr>
                      <w:rFonts w:hint="eastAsia" w:hAnsi="宋体" w:cs="宋体"/>
                    </w:rPr>
                  </w:pPr>
                  <w:r>
                    <w:rPr>
                      <w:rFonts w:hint="eastAsia" w:hAnsi="宋体" w:cs="宋体"/>
                    </w:rPr>
                    <w:t>4000</w:t>
                  </w:r>
                </w:p>
              </w:tc>
              <w:tc>
                <w:tcPr>
                  <w:tcW w:w="592" w:type="pct"/>
                  <w:tcMar>
                    <w:top w:w="57" w:type="dxa"/>
                    <w:left w:w="108" w:type="dxa"/>
                    <w:bottom w:w="57" w:type="dxa"/>
                    <w:right w:w="108" w:type="dxa"/>
                  </w:tcMar>
                  <w:vAlign w:val="center"/>
                </w:tcPr>
                <w:p w14:paraId="72D7FF20">
                  <w:pPr>
                    <w:pStyle w:val="87"/>
                    <w:rPr>
                      <w:rFonts w:hint="eastAsia" w:hAnsi="宋体" w:cs="宋体"/>
                    </w:rPr>
                  </w:pPr>
                  <w:r>
                    <w:rPr>
                      <w:rFonts w:hint="eastAsia" w:hAnsi="宋体" w:cs="宋体"/>
                    </w:rPr>
                    <w:t>45</w:t>
                  </w:r>
                </w:p>
              </w:tc>
              <w:tc>
                <w:tcPr>
                  <w:tcW w:w="733" w:type="pct"/>
                  <w:tcMar>
                    <w:top w:w="57" w:type="dxa"/>
                    <w:left w:w="108" w:type="dxa"/>
                    <w:bottom w:w="57" w:type="dxa"/>
                    <w:right w:w="108" w:type="dxa"/>
                  </w:tcMar>
                  <w:vAlign w:val="center"/>
                </w:tcPr>
                <w:p w14:paraId="63637066">
                  <w:pPr>
                    <w:pStyle w:val="87"/>
                    <w:rPr>
                      <w:rFonts w:hint="eastAsia" w:hAnsi="宋体" w:cs="宋体"/>
                    </w:rPr>
                  </w:pPr>
                  <w:r>
                    <w:rPr>
                      <w:rFonts w:hint="eastAsia" w:hAnsi="宋体" w:cs="宋体"/>
                    </w:rPr>
                    <w:t>达标</w:t>
                  </w:r>
                </w:p>
              </w:tc>
            </w:tr>
            <w:tr w14:paraId="4012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Mar>
                    <w:top w:w="57" w:type="dxa"/>
                    <w:left w:w="108" w:type="dxa"/>
                    <w:bottom w:w="57" w:type="dxa"/>
                    <w:right w:w="108" w:type="dxa"/>
                  </w:tcMar>
                  <w:vAlign w:val="center"/>
                </w:tcPr>
                <w:p w14:paraId="27ABC508">
                  <w:pPr>
                    <w:pStyle w:val="87"/>
                    <w:rPr>
                      <w:rFonts w:hint="eastAsia" w:hAnsi="宋体" w:cs="宋体"/>
                      <w:kern w:val="0"/>
                    </w:rPr>
                  </w:pPr>
                  <w:r>
                    <w:rPr>
                      <w:rFonts w:hint="eastAsia" w:hAnsi="宋体" w:cs="宋体"/>
                      <w:kern w:val="0"/>
                    </w:rPr>
                    <w:t>O</w:t>
                  </w:r>
                  <w:r>
                    <w:rPr>
                      <w:rFonts w:hint="eastAsia" w:hAnsi="宋体" w:cs="宋体"/>
                      <w:kern w:val="0"/>
                      <w:vertAlign w:val="subscript"/>
                    </w:rPr>
                    <w:t>3</w:t>
                  </w:r>
                </w:p>
              </w:tc>
              <w:tc>
                <w:tcPr>
                  <w:tcW w:w="1262" w:type="pct"/>
                  <w:tcMar>
                    <w:top w:w="57" w:type="dxa"/>
                    <w:left w:w="108" w:type="dxa"/>
                    <w:bottom w:w="57" w:type="dxa"/>
                    <w:right w:w="108" w:type="dxa"/>
                  </w:tcMar>
                  <w:vAlign w:val="center"/>
                </w:tcPr>
                <w:p w14:paraId="03B29A27">
                  <w:pPr>
                    <w:pStyle w:val="87"/>
                    <w:rPr>
                      <w:rFonts w:hint="eastAsia" w:hAnsi="宋体" w:cs="宋体"/>
                      <w:kern w:val="0"/>
                    </w:rPr>
                  </w:pPr>
                  <w:r>
                    <w:rPr>
                      <w:rFonts w:hint="eastAsia" w:hAnsi="宋体" w:cs="宋体"/>
                      <w:kern w:val="0"/>
                    </w:rPr>
                    <w:t>第90百分位数8h</w:t>
                  </w:r>
                </w:p>
                <w:p w14:paraId="75D08043">
                  <w:pPr>
                    <w:pStyle w:val="87"/>
                    <w:rPr>
                      <w:rFonts w:hint="eastAsia" w:hAnsi="宋体" w:cs="宋体"/>
                      <w:kern w:val="0"/>
                    </w:rPr>
                  </w:pPr>
                  <w:r>
                    <w:rPr>
                      <w:rFonts w:hint="eastAsia" w:hAnsi="宋体" w:cs="宋体"/>
                      <w:kern w:val="0"/>
                    </w:rPr>
                    <w:t>平均质量浓度</w:t>
                  </w:r>
                </w:p>
              </w:tc>
              <w:tc>
                <w:tcPr>
                  <w:tcW w:w="839" w:type="pct"/>
                  <w:tcMar>
                    <w:top w:w="57" w:type="dxa"/>
                    <w:left w:w="108" w:type="dxa"/>
                    <w:bottom w:w="57" w:type="dxa"/>
                    <w:right w:w="108" w:type="dxa"/>
                  </w:tcMar>
                  <w:vAlign w:val="center"/>
                </w:tcPr>
                <w:p w14:paraId="5AD59016">
                  <w:pPr>
                    <w:pStyle w:val="87"/>
                    <w:rPr>
                      <w:rFonts w:hint="eastAsia" w:hAnsi="宋体" w:cs="宋体"/>
                      <w:kern w:val="0"/>
                    </w:rPr>
                  </w:pPr>
                  <w:r>
                    <w:rPr>
                      <w:rFonts w:hint="eastAsia" w:hAnsi="宋体" w:cs="宋体"/>
                    </w:rPr>
                    <w:t>135</w:t>
                  </w:r>
                </w:p>
              </w:tc>
              <w:tc>
                <w:tcPr>
                  <w:tcW w:w="839" w:type="pct"/>
                  <w:tcMar>
                    <w:top w:w="57" w:type="dxa"/>
                    <w:left w:w="108" w:type="dxa"/>
                    <w:bottom w:w="57" w:type="dxa"/>
                    <w:right w:w="108" w:type="dxa"/>
                  </w:tcMar>
                  <w:vAlign w:val="center"/>
                </w:tcPr>
                <w:p w14:paraId="4E057EAC">
                  <w:pPr>
                    <w:pStyle w:val="87"/>
                    <w:rPr>
                      <w:rFonts w:hint="eastAsia" w:hAnsi="宋体" w:cs="宋体"/>
                    </w:rPr>
                  </w:pPr>
                  <w:r>
                    <w:rPr>
                      <w:rFonts w:hint="eastAsia" w:hAnsi="宋体" w:cs="宋体"/>
                    </w:rPr>
                    <w:t>160</w:t>
                  </w:r>
                </w:p>
              </w:tc>
              <w:tc>
                <w:tcPr>
                  <w:tcW w:w="592" w:type="pct"/>
                  <w:tcMar>
                    <w:top w:w="57" w:type="dxa"/>
                    <w:left w:w="108" w:type="dxa"/>
                    <w:bottom w:w="57" w:type="dxa"/>
                    <w:right w:w="108" w:type="dxa"/>
                  </w:tcMar>
                  <w:vAlign w:val="center"/>
                </w:tcPr>
                <w:p w14:paraId="43D96ECA">
                  <w:pPr>
                    <w:pStyle w:val="87"/>
                    <w:rPr>
                      <w:rFonts w:hint="eastAsia" w:hAnsi="宋体" w:cs="宋体"/>
                    </w:rPr>
                  </w:pPr>
                  <w:r>
                    <w:rPr>
                      <w:rFonts w:hint="eastAsia" w:hAnsi="宋体" w:cs="宋体"/>
                    </w:rPr>
                    <w:t>84</w:t>
                  </w:r>
                </w:p>
              </w:tc>
              <w:tc>
                <w:tcPr>
                  <w:tcW w:w="733" w:type="pct"/>
                  <w:tcMar>
                    <w:top w:w="57" w:type="dxa"/>
                    <w:left w:w="108" w:type="dxa"/>
                    <w:bottom w:w="57" w:type="dxa"/>
                    <w:right w:w="108" w:type="dxa"/>
                  </w:tcMar>
                  <w:vAlign w:val="center"/>
                </w:tcPr>
                <w:p w14:paraId="077C2137">
                  <w:pPr>
                    <w:pStyle w:val="87"/>
                    <w:rPr>
                      <w:rFonts w:hint="eastAsia" w:hAnsi="宋体" w:cs="宋体"/>
                    </w:rPr>
                  </w:pPr>
                  <w:r>
                    <w:rPr>
                      <w:rFonts w:hint="eastAsia" w:hAnsi="宋体" w:cs="宋体"/>
                    </w:rPr>
                    <w:t>达标</w:t>
                  </w:r>
                </w:p>
              </w:tc>
            </w:tr>
            <w:tr w14:paraId="56DC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Mar>
                    <w:top w:w="57" w:type="dxa"/>
                    <w:left w:w="108" w:type="dxa"/>
                    <w:bottom w:w="57" w:type="dxa"/>
                    <w:right w:w="108" w:type="dxa"/>
                  </w:tcMar>
                  <w:vAlign w:val="center"/>
                </w:tcPr>
                <w:p w14:paraId="30757A23">
                  <w:pPr>
                    <w:pStyle w:val="87"/>
                    <w:rPr>
                      <w:rFonts w:hint="eastAsia" w:hAnsi="宋体" w:cs="宋体"/>
                      <w:kern w:val="0"/>
                    </w:rPr>
                  </w:pPr>
                  <w:r>
                    <w:rPr>
                      <w:rFonts w:hint="eastAsia" w:hAnsi="宋体" w:cs="宋体"/>
                      <w:kern w:val="0"/>
                    </w:rPr>
                    <w:t>PM</w:t>
                  </w:r>
                  <w:r>
                    <w:rPr>
                      <w:rFonts w:hint="eastAsia" w:hAnsi="宋体" w:cs="宋体"/>
                      <w:kern w:val="0"/>
                      <w:vertAlign w:val="subscript"/>
                    </w:rPr>
                    <w:t>10</w:t>
                  </w:r>
                </w:p>
              </w:tc>
              <w:tc>
                <w:tcPr>
                  <w:tcW w:w="1262" w:type="pct"/>
                  <w:tcMar>
                    <w:top w:w="57" w:type="dxa"/>
                    <w:left w:w="108" w:type="dxa"/>
                    <w:bottom w:w="57" w:type="dxa"/>
                    <w:right w:w="108" w:type="dxa"/>
                  </w:tcMar>
                  <w:vAlign w:val="center"/>
                </w:tcPr>
                <w:p w14:paraId="25DB4E28">
                  <w:pPr>
                    <w:pStyle w:val="87"/>
                    <w:rPr>
                      <w:rFonts w:hint="eastAsia" w:hAnsi="宋体" w:cs="宋体"/>
                      <w:kern w:val="0"/>
                    </w:rPr>
                  </w:pPr>
                  <w:r>
                    <w:rPr>
                      <w:rFonts w:hint="eastAsia" w:hAnsi="宋体" w:cs="宋体"/>
                      <w:kern w:val="0"/>
                    </w:rPr>
                    <w:t>年平均</w:t>
                  </w:r>
                </w:p>
              </w:tc>
              <w:tc>
                <w:tcPr>
                  <w:tcW w:w="839" w:type="pct"/>
                  <w:tcMar>
                    <w:top w:w="57" w:type="dxa"/>
                    <w:left w:w="108" w:type="dxa"/>
                    <w:bottom w:w="57" w:type="dxa"/>
                    <w:right w:w="108" w:type="dxa"/>
                  </w:tcMar>
                  <w:vAlign w:val="center"/>
                </w:tcPr>
                <w:p w14:paraId="69522C45">
                  <w:pPr>
                    <w:pStyle w:val="87"/>
                    <w:rPr>
                      <w:rFonts w:hint="eastAsia" w:hAnsi="宋体" w:cs="宋体"/>
                    </w:rPr>
                  </w:pPr>
                  <w:r>
                    <w:rPr>
                      <w:rFonts w:hint="eastAsia" w:hAnsi="宋体" w:cs="宋体"/>
                    </w:rPr>
                    <w:t>71</w:t>
                  </w:r>
                </w:p>
              </w:tc>
              <w:tc>
                <w:tcPr>
                  <w:tcW w:w="839" w:type="pct"/>
                  <w:tcMar>
                    <w:top w:w="57" w:type="dxa"/>
                    <w:left w:w="108" w:type="dxa"/>
                    <w:bottom w:w="57" w:type="dxa"/>
                    <w:right w:w="108" w:type="dxa"/>
                  </w:tcMar>
                  <w:vAlign w:val="center"/>
                </w:tcPr>
                <w:p w14:paraId="107947CF">
                  <w:pPr>
                    <w:pStyle w:val="87"/>
                    <w:rPr>
                      <w:rFonts w:hint="eastAsia" w:hAnsi="宋体" w:cs="宋体"/>
                    </w:rPr>
                  </w:pPr>
                  <w:r>
                    <w:rPr>
                      <w:rFonts w:hint="eastAsia" w:hAnsi="宋体" w:cs="宋体"/>
                    </w:rPr>
                    <w:t>70</w:t>
                  </w:r>
                </w:p>
              </w:tc>
              <w:tc>
                <w:tcPr>
                  <w:tcW w:w="592" w:type="pct"/>
                  <w:tcMar>
                    <w:top w:w="57" w:type="dxa"/>
                    <w:left w:w="108" w:type="dxa"/>
                    <w:bottom w:w="57" w:type="dxa"/>
                    <w:right w:w="108" w:type="dxa"/>
                  </w:tcMar>
                  <w:vAlign w:val="center"/>
                </w:tcPr>
                <w:p w14:paraId="17C48387">
                  <w:pPr>
                    <w:pStyle w:val="87"/>
                    <w:rPr>
                      <w:rFonts w:hint="eastAsia" w:hAnsi="宋体" w:cs="宋体"/>
                    </w:rPr>
                  </w:pPr>
                  <w:r>
                    <w:rPr>
                      <w:rFonts w:hint="eastAsia" w:hAnsi="宋体" w:cs="宋体"/>
                    </w:rPr>
                    <w:t>103</w:t>
                  </w:r>
                </w:p>
              </w:tc>
              <w:tc>
                <w:tcPr>
                  <w:tcW w:w="733" w:type="pct"/>
                  <w:tcMar>
                    <w:top w:w="57" w:type="dxa"/>
                    <w:left w:w="108" w:type="dxa"/>
                    <w:bottom w:w="57" w:type="dxa"/>
                    <w:right w:w="108" w:type="dxa"/>
                  </w:tcMar>
                  <w:vAlign w:val="center"/>
                </w:tcPr>
                <w:p w14:paraId="68F695C7">
                  <w:pPr>
                    <w:pStyle w:val="87"/>
                    <w:rPr>
                      <w:rFonts w:hint="eastAsia" w:hAnsi="宋体" w:cs="宋体"/>
                    </w:rPr>
                  </w:pPr>
                  <w:r>
                    <w:rPr>
                      <w:rFonts w:hint="eastAsia" w:hAnsi="宋体" w:cs="宋体"/>
                    </w:rPr>
                    <w:t>超标</w:t>
                  </w:r>
                </w:p>
              </w:tc>
            </w:tr>
            <w:tr w14:paraId="255C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Mar>
                    <w:top w:w="57" w:type="dxa"/>
                    <w:left w:w="108" w:type="dxa"/>
                    <w:bottom w:w="57" w:type="dxa"/>
                    <w:right w:w="108" w:type="dxa"/>
                  </w:tcMar>
                  <w:vAlign w:val="center"/>
                </w:tcPr>
                <w:p w14:paraId="70E15592">
                  <w:pPr>
                    <w:pStyle w:val="87"/>
                    <w:rPr>
                      <w:rFonts w:hint="eastAsia" w:hAnsi="宋体" w:cs="宋体"/>
                      <w:kern w:val="0"/>
                    </w:rPr>
                  </w:pPr>
                  <w:r>
                    <w:rPr>
                      <w:rFonts w:hint="eastAsia" w:hAnsi="宋体" w:cs="宋体"/>
                      <w:kern w:val="0"/>
                    </w:rPr>
                    <w:t>PM</w:t>
                  </w:r>
                  <w:r>
                    <w:rPr>
                      <w:rFonts w:hint="eastAsia" w:hAnsi="宋体" w:cs="宋体"/>
                      <w:kern w:val="0"/>
                      <w:vertAlign w:val="subscript"/>
                    </w:rPr>
                    <w:t>2.5</w:t>
                  </w:r>
                </w:p>
              </w:tc>
              <w:tc>
                <w:tcPr>
                  <w:tcW w:w="1262" w:type="pct"/>
                  <w:tcMar>
                    <w:top w:w="57" w:type="dxa"/>
                    <w:left w:w="108" w:type="dxa"/>
                    <w:bottom w:w="57" w:type="dxa"/>
                    <w:right w:w="108" w:type="dxa"/>
                  </w:tcMar>
                  <w:vAlign w:val="center"/>
                </w:tcPr>
                <w:p w14:paraId="0F9CBB34">
                  <w:pPr>
                    <w:pStyle w:val="87"/>
                    <w:rPr>
                      <w:rFonts w:hint="eastAsia" w:hAnsi="宋体" w:cs="宋体"/>
                      <w:kern w:val="0"/>
                    </w:rPr>
                  </w:pPr>
                  <w:r>
                    <w:rPr>
                      <w:rFonts w:hint="eastAsia" w:hAnsi="宋体" w:cs="宋体"/>
                      <w:kern w:val="0"/>
                    </w:rPr>
                    <w:t>年平均</w:t>
                  </w:r>
                </w:p>
              </w:tc>
              <w:tc>
                <w:tcPr>
                  <w:tcW w:w="839" w:type="pct"/>
                  <w:tcMar>
                    <w:top w:w="57" w:type="dxa"/>
                    <w:left w:w="108" w:type="dxa"/>
                    <w:bottom w:w="57" w:type="dxa"/>
                    <w:right w:w="108" w:type="dxa"/>
                  </w:tcMar>
                  <w:vAlign w:val="center"/>
                </w:tcPr>
                <w:p w14:paraId="0AC6626E">
                  <w:pPr>
                    <w:pStyle w:val="87"/>
                    <w:rPr>
                      <w:rFonts w:hint="eastAsia" w:hAnsi="宋体" w:cs="宋体"/>
                    </w:rPr>
                  </w:pPr>
                  <w:r>
                    <w:rPr>
                      <w:rFonts w:hint="eastAsia" w:hAnsi="宋体" w:cs="宋体"/>
                    </w:rPr>
                    <w:t>40</w:t>
                  </w:r>
                </w:p>
              </w:tc>
              <w:tc>
                <w:tcPr>
                  <w:tcW w:w="839" w:type="pct"/>
                  <w:tcMar>
                    <w:top w:w="57" w:type="dxa"/>
                    <w:left w:w="108" w:type="dxa"/>
                    <w:bottom w:w="57" w:type="dxa"/>
                    <w:right w:w="108" w:type="dxa"/>
                  </w:tcMar>
                  <w:vAlign w:val="center"/>
                </w:tcPr>
                <w:p w14:paraId="77BAD3B3">
                  <w:pPr>
                    <w:pStyle w:val="87"/>
                    <w:rPr>
                      <w:rFonts w:hint="eastAsia" w:hAnsi="宋体" w:cs="宋体"/>
                    </w:rPr>
                  </w:pPr>
                  <w:r>
                    <w:rPr>
                      <w:rFonts w:hint="eastAsia" w:hAnsi="宋体" w:cs="宋体"/>
                    </w:rPr>
                    <w:t>35</w:t>
                  </w:r>
                </w:p>
              </w:tc>
              <w:tc>
                <w:tcPr>
                  <w:tcW w:w="592" w:type="pct"/>
                  <w:tcMar>
                    <w:top w:w="57" w:type="dxa"/>
                    <w:left w:w="108" w:type="dxa"/>
                    <w:bottom w:w="57" w:type="dxa"/>
                    <w:right w:w="108" w:type="dxa"/>
                  </w:tcMar>
                  <w:vAlign w:val="center"/>
                </w:tcPr>
                <w:p w14:paraId="55586DA4">
                  <w:pPr>
                    <w:pStyle w:val="87"/>
                    <w:rPr>
                      <w:rFonts w:hint="eastAsia" w:hAnsi="宋体" w:cs="宋体"/>
                    </w:rPr>
                  </w:pPr>
                  <w:r>
                    <w:rPr>
                      <w:rFonts w:hint="eastAsia" w:hAnsi="宋体" w:cs="宋体"/>
                    </w:rPr>
                    <w:t>114</w:t>
                  </w:r>
                </w:p>
              </w:tc>
              <w:tc>
                <w:tcPr>
                  <w:tcW w:w="733" w:type="pct"/>
                  <w:tcMar>
                    <w:top w:w="57" w:type="dxa"/>
                    <w:left w:w="108" w:type="dxa"/>
                    <w:bottom w:w="57" w:type="dxa"/>
                    <w:right w:w="108" w:type="dxa"/>
                  </w:tcMar>
                  <w:vAlign w:val="center"/>
                </w:tcPr>
                <w:p w14:paraId="3C7310E8">
                  <w:pPr>
                    <w:pStyle w:val="87"/>
                    <w:rPr>
                      <w:rFonts w:hint="eastAsia" w:hAnsi="宋体" w:cs="宋体"/>
                    </w:rPr>
                  </w:pPr>
                  <w:r>
                    <w:rPr>
                      <w:rFonts w:hint="eastAsia" w:hAnsi="宋体" w:cs="宋体"/>
                    </w:rPr>
                    <w:t>超标</w:t>
                  </w:r>
                </w:p>
              </w:tc>
            </w:tr>
          </w:tbl>
          <w:p w14:paraId="67387E94">
            <w:pPr>
              <w:widowControl/>
              <w:ind w:firstLine="480" w:firstLineChars="200"/>
              <w:jc w:val="left"/>
              <w:rPr>
                <w:rFonts w:hint="eastAsia" w:ascii="宋体" w:hAnsi="宋体" w:cs="宋体"/>
                <w:kern w:val="0"/>
                <w:sz w:val="24"/>
                <w:lang w:bidi="ar"/>
              </w:rPr>
            </w:pPr>
          </w:p>
          <w:p w14:paraId="7D5CD013">
            <w:pPr>
              <w:pStyle w:val="113"/>
              <w:rPr>
                <w:rFonts w:hint="eastAsia"/>
                <w:bCs/>
              </w:rPr>
            </w:pPr>
            <w:r>
              <w:rPr>
                <w:bCs/>
              </w:rPr>
              <w:t>3、水环境质量现状调查与评价</w:t>
            </w:r>
          </w:p>
          <w:p w14:paraId="6CA760B6">
            <w:pPr>
              <w:pStyle w:val="3"/>
              <w:ind w:firstLine="420"/>
              <w:rPr>
                <w:rFonts w:hint="eastAsia"/>
                <w:sz w:val="21"/>
              </w:rPr>
            </w:pPr>
            <w:r>
              <w:rPr>
                <w:rFonts w:hint="eastAsia"/>
                <w:sz w:val="21"/>
              </w:rPr>
              <w:t>（1）地表水</w:t>
            </w:r>
          </w:p>
          <w:p w14:paraId="6C36110A">
            <w:pPr>
              <w:pStyle w:val="3"/>
              <w:ind w:firstLine="420"/>
              <w:rPr>
                <w:rFonts w:hint="eastAsia"/>
                <w:sz w:val="21"/>
              </w:rPr>
            </w:pPr>
            <w:r>
              <w:rPr>
                <w:rFonts w:hint="eastAsia"/>
                <w:sz w:val="21"/>
              </w:rPr>
              <w:t>根据《环境影响评价技术导则 地表水环境》（HJ 2.3-2018）要求，“建设项目生产工艺中有废水产生，但作为回水利用，不排放到外环境的，按三级B评价。”本项目产生的井下作业废液、压裂返排液定期由罐车运至春风一号联合站进行处理，生活污水排入环保厕所，后拉运至中石化新疆新春石油开发有限责任公司管理一区生活基地合理化处置；废水均不外排。因此，地表水评价等级为三级B。</w:t>
            </w:r>
          </w:p>
          <w:p w14:paraId="71388E43">
            <w:pPr>
              <w:pStyle w:val="3"/>
              <w:ind w:firstLine="420"/>
              <w:rPr>
                <w:rFonts w:hint="eastAsia"/>
                <w:sz w:val="21"/>
              </w:rPr>
            </w:pPr>
            <w:r>
              <w:rPr>
                <w:rFonts w:hint="eastAsia"/>
                <w:sz w:val="21"/>
              </w:rPr>
              <w:t>（2）地下水</w:t>
            </w:r>
          </w:p>
          <w:p w14:paraId="21B69442">
            <w:pPr>
              <w:pStyle w:val="3"/>
              <w:ind w:firstLine="420"/>
              <w:rPr>
                <w:rFonts w:hint="eastAsia"/>
                <w:sz w:val="21"/>
              </w:rPr>
            </w:pPr>
            <w:r>
              <w:rPr>
                <w:rFonts w:hint="eastAsia"/>
                <w:sz w:val="21"/>
              </w:rPr>
              <w:t>根据《环境影响评价技术导则 地下水环境》（HJ 610-2016）中附录A 地下水环境影响评价行业分类表，本项目行业类别为：C 地质勘查，24、矿产资源地质勘查（包括勘探活动），地下水环境影响评价项目类别为Ⅳ类。根据《环境影响评价技术导则 地下水环境》（HJ 610-2016），Ⅳ类建设项目不开展地下水环境影响评价，故本项目不对地下水进行环境影响评价。</w:t>
            </w:r>
          </w:p>
          <w:p w14:paraId="74625B73">
            <w:pPr>
              <w:pStyle w:val="113"/>
              <w:rPr>
                <w:rFonts w:hint="eastAsia"/>
                <w:bCs/>
              </w:rPr>
            </w:pPr>
            <w:r>
              <w:rPr>
                <w:bCs/>
              </w:rPr>
              <w:t>4</w:t>
            </w:r>
            <w:r>
              <w:rPr>
                <w:rFonts w:hint="eastAsia"/>
                <w:bCs/>
              </w:rPr>
              <w:t>、声环境质量现状与评价</w:t>
            </w:r>
          </w:p>
          <w:p w14:paraId="7C5B42CF">
            <w:pPr>
              <w:pStyle w:val="3"/>
              <w:ind w:firstLine="420"/>
              <w:rPr>
                <w:rFonts w:hint="eastAsia"/>
                <w:sz w:val="21"/>
              </w:rPr>
            </w:pPr>
            <w:r>
              <w:rPr>
                <w:rFonts w:hint="eastAsia"/>
                <w:sz w:val="21"/>
              </w:rPr>
              <w:t>经过现场实地踏勘，项目区域周边空旷，能够满足《声环境质量标准》（GB 3096-2008）中的2类声环境功能区环境噪声限值，项目区声环境质量现状较好。本项目周边50m不存在声环境保护目标，参照《建设项目环境影响报告表编制技术指南（污染影响类）（试行）》，本次评价不开展声环境质量现状监测。</w:t>
            </w:r>
          </w:p>
          <w:p w14:paraId="541EFF1A">
            <w:pPr>
              <w:pStyle w:val="113"/>
              <w:rPr>
                <w:rFonts w:hint="eastAsia"/>
                <w:bCs/>
              </w:rPr>
            </w:pPr>
            <w:r>
              <w:rPr>
                <w:bCs/>
              </w:rPr>
              <w:t>5、</w:t>
            </w:r>
            <w:r>
              <w:rPr>
                <w:rFonts w:hint="eastAsia"/>
                <w:bCs/>
              </w:rPr>
              <w:t>土壤</w:t>
            </w:r>
            <w:r>
              <w:rPr>
                <w:bCs/>
              </w:rPr>
              <w:t>环境质量现状调查与评价</w:t>
            </w:r>
          </w:p>
          <w:p w14:paraId="442D64AF">
            <w:pPr>
              <w:pStyle w:val="113"/>
              <w:rPr>
                <w:rFonts w:hint="eastAsia"/>
              </w:rPr>
            </w:pPr>
            <w:r>
              <w:rPr>
                <w:rFonts w:hint="eastAsia"/>
              </w:rPr>
              <w:t>根据《环境影响评价技术导则 土壤环境（试行）》（</w:t>
            </w:r>
            <w:r>
              <w:t xml:space="preserve">HJ </w:t>
            </w:r>
            <w:r>
              <w:rPr>
                <w:rFonts w:hint="eastAsia"/>
              </w:rPr>
              <w:t>964</w:t>
            </w:r>
            <w:r>
              <w:t>-201</w:t>
            </w:r>
            <w:r>
              <w:rPr>
                <w:rFonts w:hint="eastAsia"/>
              </w:rPr>
              <w:t>8）附录A 土壤环境影响评价项目类别，本项目为矿产资源地质勘查，行业类别属于其他行业，土壤环境影响评价项目类别为Ⅳ类。根据《环境影响评价技术导则 土壤环境（试行）》（</w:t>
            </w:r>
            <w:r>
              <w:t xml:space="preserve">HJ </w:t>
            </w:r>
            <w:r>
              <w:rPr>
                <w:rFonts w:hint="eastAsia"/>
              </w:rPr>
              <w:t>964</w:t>
            </w:r>
            <w:r>
              <w:t>-201</w:t>
            </w:r>
            <w:r>
              <w:rPr>
                <w:rFonts w:hint="eastAsia"/>
              </w:rPr>
              <w:t>8），Ⅳ类建设项目不开展土壤环境影响评价，故本项目不对土壤进行环境影响评价。</w:t>
            </w:r>
          </w:p>
        </w:tc>
      </w:tr>
      <w:tr w14:paraId="25A7D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Align w:val="center"/>
          </w:tcPr>
          <w:p w14:paraId="694AD9B0">
            <w:pPr>
              <w:adjustRightInd w:val="0"/>
              <w:snapToGrid w:val="0"/>
              <w:jc w:val="center"/>
              <w:rPr>
                <w:rFonts w:hint="eastAsia" w:ascii="宋体" w:hAnsi="宋体" w:cs="宋体"/>
                <w:kern w:val="0"/>
                <w:szCs w:val="21"/>
              </w:rPr>
            </w:pPr>
            <w:r>
              <w:rPr>
                <w:rFonts w:hint="eastAsia" w:ascii="宋体" w:hAnsi="宋体"/>
                <w:bCs/>
                <w:szCs w:val="21"/>
              </w:rPr>
              <w:t>与项目有关的原有环境污染和生态破坏问题</w:t>
            </w:r>
          </w:p>
        </w:tc>
        <w:tc>
          <w:tcPr>
            <w:tcW w:w="4750" w:type="pct"/>
            <w:vAlign w:val="center"/>
          </w:tcPr>
          <w:p w14:paraId="778E3583">
            <w:pPr>
              <w:pStyle w:val="113"/>
              <w:rPr>
                <w:rFonts w:hint="eastAsia"/>
              </w:rPr>
            </w:pPr>
            <w:r>
              <w:rPr>
                <w:rFonts w:hint="eastAsia"/>
              </w:rPr>
              <w:t>本项目为新建项目，无原有环境污染和生态破坏问题。</w:t>
            </w:r>
          </w:p>
        </w:tc>
      </w:tr>
      <w:tr w14:paraId="1FC05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49" w:type="pct"/>
            <w:vAlign w:val="center"/>
          </w:tcPr>
          <w:p w14:paraId="32F3EBAB">
            <w:pPr>
              <w:adjustRightInd w:val="0"/>
              <w:snapToGrid w:val="0"/>
              <w:jc w:val="center"/>
              <w:rPr>
                <w:rFonts w:hint="eastAsia" w:ascii="宋体" w:hAnsi="宋体" w:cs="宋体"/>
                <w:kern w:val="0"/>
                <w:szCs w:val="21"/>
              </w:rPr>
            </w:pPr>
            <w:r>
              <w:rPr>
                <w:rFonts w:hint="eastAsia" w:ascii="宋体" w:hAnsi="宋体" w:cs="宋体"/>
                <w:kern w:val="0"/>
                <w:szCs w:val="21"/>
              </w:rPr>
              <w:t>生态环境保护目标</w:t>
            </w:r>
          </w:p>
        </w:tc>
        <w:tc>
          <w:tcPr>
            <w:tcW w:w="4750" w:type="pct"/>
            <w:vAlign w:val="center"/>
          </w:tcPr>
          <w:p w14:paraId="52A4D630">
            <w:pPr>
              <w:pStyle w:val="113"/>
              <w:rPr>
                <w:rFonts w:hint="eastAsia"/>
              </w:rPr>
            </w:pPr>
            <w:r>
              <w:rPr>
                <w:rFonts w:hint="eastAsia"/>
              </w:rPr>
              <w:t>根据《环境影响评价技术导则 陆地石油天然气开发建设项目》（HJ/T 349-2023）中关于生态影响评价范围的要求，区域性建设项目以影响区范围向四周外扩原则确定评价范围。因此，本项目生态环境影响评价范围为项目影响范围并外扩50m。</w:t>
            </w:r>
          </w:p>
          <w:p w14:paraId="18B9CBD4">
            <w:pPr>
              <w:pStyle w:val="113"/>
              <w:rPr>
                <w:rFonts w:hint="eastAsia"/>
              </w:rPr>
            </w:pPr>
            <w:r>
              <w:rPr>
                <w:rFonts w:hint="eastAsia"/>
              </w:rPr>
              <w:t>本项目大气、声环境参照《建设项目环境影响报告表编制技术指南（污染影响类）（试行）》分别调查5</w:t>
            </w:r>
            <w:r>
              <w:t>00</w:t>
            </w:r>
            <w:r>
              <w:rPr>
                <w:rFonts w:hint="eastAsia"/>
              </w:rPr>
              <w:t>m、5</w:t>
            </w:r>
            <w:r>
              <w:t>0</w:t>
            </w:r>
            <w:r>
              <w:rPr>
                <w:rFonts w:hint="eastAsia"/>
              </w:rPr>
              <w:t>m范围内保护目标，根据调查结果，本项目调查范围内无大气、声环境保护目标。</w:t>
            </w:r>
          </w:p>
          <w:p w14:paraId="2ACD3612">
            <w:pPr>
              <w:pStyle w:val="112"/>
              <w:ind w:firstLine="420"/>
              <w:rPr>
                <w:rFonts w:hint="eastAsia"/>
              </w:rPr>
            </w:pPr>
            <w:r>
              <w:rPr>
                <w:rFonts w:hint="eastAsia"/>
              </w:rPr>
              <w:t>根据《昌吉回族自治州国土空间总体规划（2021-2035年）》，本项目不涉及生态保护红线，不占用永久基本农田，项目周边无名胜古迹、自然保护区、风景名胜区、疗养院、水源地等重点保护目标。项目周边1km内无地表水体。</w:t>
            </w:r>
          </w:p>
          <w:p w14:paraId="1DA010E8">
            <w:pPr>
              <w:pStyle w:val="112"/>
              <w:ind w:firstLine="420"/>
              <w:rPr>
                <w:rFonts w:hint="eastAsia"/>
              </w:rPr>
            </w:pPr>
            <w:r>
              <w:rPr>
                <w:rFonts w:hint="eastAsia"/>
              </w:rPr>
              <w:t>主要环境保护目标见</w:t>
            </w:r>
            <w:r>
              <w:fldChar w:fldCharType="begin"/>
            </w:r>
            <w:r>
              <w:instrText xml:space="preserve"> REF _Ref138686495 \h  \* MERGEFORMAT </w:instrText>
            </w:r>
            <w:r>
              <w:fldChar w:fldCharType="separate"/>
            </w:r>
            <w:r>
              <w:rPr>
                <w:rFonts w:hint="eastAsia"/>
              </w:rPr>
              <w:t>表28</w:t>
            </w:r>
            <w:r>
              <w:fldChar w:fldCharType="end"/>
            </w:r>
            <w:r>
              <w:rPr>
                <w:rFonts w:hint="eastAsia"/>
              </w:rPr>
              <w:t>。</w:t>
            </w:r>
          </w:p>
          <w:p w14:paraId="20B548E2">
            <w:pPr>
              <w:pStyle w:val="12"/>
              <w:spacing w:before="120"/>
              <w:rPr>
                <w:rFonts w:hint="eastAsia" w:hAnsi="宋体"/>
                <w:szCs w:val="21"/>
              </w:rPr>
            </w:pPr>
            <w:bookmarkStart w:id="45" w:name="_Ref138686495"/>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28</w:t>
            </w:r>
            <w:r>
              <w:rPr>
                <w:rFonts w:hAnsi="宋体"/>
              </w:rPr>
              <w:fldChar w:fldCharType="end"/>
            </w:r>
            <w:bookmarkEnd w:id="45"/>
            <w:r>
              <w:rPr>
                <w:rFonts w:hAnsi="宋体"/>
              </w:rPr>
              <w:t xml:space="preserve">  </w:t>
            </w:r>
            <w:r>
              <w:rPr>
                <w:rFonts w:hint="eastAsia" w:hAnsi="宋体"/>
                <w:szCs w:val="21"/>
              </w:rPr>
              <w:t>区域环境保护目标一览表</w:t>
            </w:r>
          </w:p>
          <w:tbl>
            <w:tblPr>
              <w:tblStyle w:val="2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618"/>
              <w:gridCol w:w="623"/>
              <w:gridCol w:w="1012"/>
              <w:gridCol w:w="624"/>
              <w:gridCol w:w="819"/>
              <w:gridCol w:w="1012"/>
              <w:gridCol w:w="1012"/>
              <w:gridCol w:w="1135"/>
            </w:tblGrid>
            <w:tr w14:paraId="328C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0" w:type="pct"/>
                  <w:vAlign w:val="center"/>
                </w:tcPr>
                <w:p w14:paraId="65B9CD35">
                  <w:pPr>
                    <w:pStyle w:val="87"/>
                    <w:rPr>
                      <w:rFonts w:hint="eastAsia" w:hAnsi="宋体"/>
                      <w:kern w:val="0"/>
                    </w:rPr>
                  </w:pPr>
                  <w:r>
                    <w:rPr>
                      <w:rFonts w:hint="eastAsia" w:hAnsi="宋体"/>
                      <w:kern w:val="0"/>
                    </w:rPr>
                    <w:t>类型</w:t>
                  </w:r>
                </w:p>
              </w:tc>
              <w:tc>
                <w:tcPr>
                  <w:tcW w:w="393" w:type="pct"/>
                  <w:vAlign w:val="center"/>
                </w:tcPr>
                <w:p w14:paraId="2402528E">
                  <w:pPr>
                    <w:pStyle w:val="87"/>
                    <w:rPr>
                      <w:rFonts w:hint="eastAsia" w:hAnsi="宋体"/>
                      <w:kern w:val="0"/>
                    </w:rPr>
                  </w:pPr>
                  <w:r>
                    <w:rPr>
                      <w:rFonts w:hint="eastAsia" w:hAnsi="宋体"/>
                      <w:kern w:val="0"/>
                    </w:rPr>
                    <w:t>序号</w:t>
                  </w:r>
                </w:p>
              </w:tc>
              <w:tc>
                <w:tcPr>
                  <w:tcW w:w="396" w:type="pct"/>
                  <w:vAlign w:val="center"/>
                </w:tcPr>
                <w:p w14:paraId="0825E56F">
                  <w:pPr>
                    <w:pStyle w:val="87"/>
                    <w:rPr>
                      <w:rFonts w:hint="eastAsia" w:hAnsi="宋体"/>
                      <w:kern w:val="0"/>
                    </w:rPr>
                  </w:pPr>
                  <w:r>
                    <w:rPr>
                      <w:rFonts w:hint="eastAsia" w:hAnsi="宋体"/>
                      <w:kern w:val="0"/>
                    </w:rPr>
                    <w:t>名称</w:t>
                  </w:r>
                </w:p>
              </w:tc>
              <w:tc>
                <w:tcPr>
                  <w:tcW w:w="644" w:type="pct"/>
                  <w:vAlign w:val="center"/>
                </w:tcPr>
                <w:p w14:paraId="30DF909E">
                  <w:pPr>
                    <w:pStyle w:val="87"/>
                    <w:rPr>
                      <w:rFonts w:hint="eastAsia" w:hAnsi="宋体"/>
                      <w:kern w:val="0"/>
                    </w:rPr>
                  </w:pPr>
                  <w:r>
                    <w:rPr>
                      <w:rFonts w:hint="eastAsia" w:hAnsi="宋体"/>
                      <w:kern w:val="0"/>
                    </w:rPr>
                    <w:t>保护对象</w:t>
                  </w:r>
                </w:p>
                <w:p w14:paraId="0BBBC735">
                  <w:pPr>
                    <w:pStyle w:val="87"/>
                    <w:rPr>
                      <w:rFonts w:hint="eastAsia" w:hAnsi="宋体"/>
                      <w:kern w:val="0"/>
                    </w:rPr>
                  </w:pPr>
                  <w:r>
                    <w:rPr>
                      <w:rFonts w:hint="eastAsia" w:hAnsi="宋体"/>
                      <w:kern w:val="0"/>
                    </w:rPr>
                    <w:t>（人）</w:t>
                  </w:r>
                </w:p>
              </w:tc>
              <w:tc>
                <w:tcPr>
                  <w:tcW w:w="396" w:type="pct"/>
                  <w:vAlign w:val="center"/>
                </w:tcPr>
                <w:p w14:paraId="3DD5EC82">
                  <w:pPr>
                    <w:pStyle w:val="87"/>
                    <w:rPr>
                      <w:rFonts w:hint="eastAsia" w:hAnsi="宋体"/>
                      <w:kern w:val="0"/>
                    </w:rPr>
                  </w:pPr>
                  <w:r>
                    <w:rPr>
                      <w:rFonts w:hint="eastAsia" w:hAnsi="宋体"/>
                      <w:kern w:val="0"/>
                    </w:rPr>
                    <w:t>保护</w:t>
                  </w:r>
                </w:p>
                <w:p w14:paraId="52DF102A">
                  <w:pPr>
                    <w:pStyle w:val="87"/>
                    <w:rPr>
                      <w:rFonts w:hint="eastAsia" w:hAnsi="宋体"/>
                      <w:kern w:val="0"/>
                    </w:rPr>
                  </w:pPr>
                  <w:r>
                    <w:rPr>
                      <w:rFonts w:hint="eastAsia" w:hAnsi="宋体"/>
                      <w:kern w:val="0"/>
                    </w:rPr>
                    <w:t>内容</w:t>
                  </w:r>
                </w:p>
              </w:tc>
              <w:tc>
                <w:tcPr>
                  <w:tcW w:w="521" w:type="pct"/>
                  <w:vAlign w:val="center"/>
                </w:tcPr>
                <w:p w14:paraId="527C0C66">
                  <w:pPr>
                    <w:pStyle w:val="87"/>
                    <w:rPr>
                      <w:rFonts w:hint="eastAsia" w:hAnsi="宋体"/>
                      <w:kern w:val="0"/>
                    </w:rPr>
                  </w:pPr>
                  <w:r>
                    <w:rPr>
                      <w:rFonts w:hint="eastAsia" w:hAnsi="宋体"/>
                      <w:kern w:val="0"/>
                    </w:rPr>
                    <w:t>环境</w:t>
                  </w:r>
                </w:p>
                <w:p w14:paraId="7BF48988">
                  <w:pPr>
                    <w:pStyle w:val="87"/>
                    <w:rPr>
                      <w:rFonts w:hint="eastAsia" w:hAnsi="宋体"/>
                      <w:kern w:val="0"/>
                    </w:rPr>
                  </w:pPr>
                  <w:r>
                    <w:rPr>
                      <w:rFonts w:hint="eastAsia" w:hAnsi="宋体"/>
                      <w:kern w:val="0"/>
                    </w:rPr>
                    <w:t>功能区</w:t>
                  </w:r>
                </w:p>
              </w:tc>
              <w:tc>
                <w:tcPr>
                  <w:tcW w:w="644" w:type="pct"/>
                  <w:vAlign w:val="center"/>
                </w:tcPr>
                <w:p w14:paraId="6F4D167F">
                  <w:pPr>
                    <w:pStyle w:val="87"/>
                    <w:rPr>
                      <w:rFonts w:hint="eastAsia" w:hAnsi="宋体"/>
                      <w:kern w:val="0"/>
                    </w:rPr>
                  </w:pPr>
                  <w:r>
                    <w:rPr>
                      <w:rFonts w:hint="eastAsia" w:hAnsi="宋体"/>
                      <w:kern w:val="0"/>
                    </w:rPr>
                    <w:t>参照</w:t>
                  </w:r>
                </w:p>
                <w:p w14:paraId="7B64FC25">
                  <w:pPr>
                    <w:pStyle w:val="87"/>
                    <w:rPr>
                      <w:rFonts w:hint="eastAsia" w:hAnsi="宋体"/>
                      <w:kern w:val="0"/>
                    </w:rPr>
                  </w:pPr>
                  <w:r>
                    <w:rPr>
                      <w:rFonts w:hint="eastAsia" w:hAnsi="宋体"/>
                      <w:kern w:val="0"/>
                    </w:rPr>
                    <w:t>污染源</w:t>
                  </w:r>
                </w:p>
              </w:tc>
              <w:tc>
                <w:tcPr>
                  <w:tcW w:w="644" w:type="pct"/>
                  <w:vAlign w:val="center"/>
                </w:tcPr>
                <w:p w14:paraId="6C2A1AF0">
                  <w:pPr>
                    <w:pStyle w:val="87"/>
                    <w:rPr>
                      <w:rFonts w:hint="eastAsia" w:hAnsi="宋体"/>
                      <w:kern w:val="0"/>
                    </w:rPr>
                  </w:pPr>
                  <w:r>
                    <w:rPr>
                      <w:rFonts w:hint="eastAsia" w:hAnsi="宋体"/>
                      <w:kern w:val="0"/>
                    </w:rPr>
                    <w:t>相对井场</w:t>
                  </w:r>
                </w:p>
                <w:p w14:paraId="26586100">
                  <w:pPr>
                    <w:pStyle w:val="87"/>
                    <w:rPr>
                      <w:rFonts w:hint="eastAsia" w:hAnsi="宋体"/>
                      <w:kern w:val="0"/>
                    </w:rPr>
                  </w:pPr>
                  <w:r>
                    <w:rPr>
                      <w:rFonts w:hint="eastAsia" w:hAnsi="宋体"/>
                      <w:kern w:val="0"/>
                    </w:rPr>
                    <w:t>方位</w:t>
                  </w:r>
                </w:p>
              </w:tc>
              <w:tc>
                <w:tcPr>
                  <w:tcW w:w="719" w:type="pct"/>
                  <w:vAlign w:val="center"/>
                </w:tcPr>
                <w:p w14:paraId="278E0190">
                  <w:pPr>
                    <w:pStyle w:val="87"/>
                    <w:rPr>
                      <w:rFonts w:hint="eastAsia" w:hAnsi="宋体"/>
                      <w:kern w:val="0"/>
                    </w:rPr>
                  </w:pPr>
                  <w:r>
                    <w:rPr>
                      <w:rFonts w:hint="eastAsia" w:hAnsi="宋体"/>
                      <w:kern w:val="0"/>
                    </w:rPr>
                    <w:t>相对井场</w:t>
                  </w:r>
                </w:p>
                <w:p w14:paraId="0DDEAC82">
                  <w:pPr>
                    <w:pStyle w:val="87"/>
                    <w:rPr>
                      <w:rFonts w:hint="eastAsia" w:hAnsi="宋体"/>
                      <w:kern w:val="0"/>
                    </w:rPr>
                  </w:pPr>
                  <w:r>
                    <w:rPr>
                      <w:rFonts w:hint="eastAsia" w:hAnsi="宋体"/>
                      <w:kern w:val="0"/>
                    </w:rPr>
                    <w:t>距离（m）</w:t>
                  </w:r>
                </w:p>
              </w:tc>
            </w:tr>
            <w:tr w14:paraId="2A76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vAlign w:val="center"/>
                </w:tcPr>
                <w:p w14:paraId="5C57AC36">
                  <w:pPr>
                    <w:pStyle w:val="87"/>
                    <w:rPr>
                      <w:rFonts w:hint="eastAsia" w:hAnsi="宋体" w:cs="宋体"/>
                      <w:kern w:val="0"/>
                    </w:rPr>
                  </w:pPr>
                  <w:r>
                    <w:rPr>
                      <w:rFonts w:hint="eastAsia" w:hAnsi="宋体"/>
                      <w:kern w:val="0"/>
                    </w:rPr>
                    <w:t>生态环境</w:t>
                  </w:r>
                  <w:r>
                    <w:rPr>
                      <w:rFonts w:hint="eastAsia" w:hAnsi="宋体" w:cs="宋体"/>
                      <w:kern w:val="0"/>
                    </w:rPr>
                    <w:t>敏感目标</w:t>
                  </w:r>
                </w:p>
              </w:tc>
            </w:tr>
            <w:tr w14:paraId="66F9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vAlign w:val="center"/>
                </w:tcPr>
                <w:p w14:paraId="205CC49F">
                  <w:pPr>
                    <w:pStyle w:val="87"/>
                    <w:rPr>
                      <w:rFonts w:hint="eastAsia" w:hAnsi="宋体"/>
                      <w:kern w:val="0"/>
                    </w:rPr>
                  </w:pPr>
                  <w:r>
                    <w:rPr>
                      <w:rFonts w:hint="eastAsia" w:hAnsi="宋体"/>
                      <w:kern w:val="0"/>
                    </w:rPr>
                    <w:t>生态环境</w:t>
                  </w:r>
                </w:p>
              </w:tc>
              <w:tc>
                <w:tcPr>
                  <w:tcW w:w="393" w:type="pct"/>
                  <w:vAlign w:val="center"/>
                </w:tcPr>
                <w:p w14:paraId="21EFC761">
                  <w:pPr>
                    <w:pStyle w:val="87"/>
                    <w:rPr>
                      <w:rFonts w:hint="eastAsia" w:hAnsi="宋体" w:cs="宋体"/>
                      <w:kern w:val="0"/>
                    </w:rPr>
                  </w:pPr>
                  <w:r>
                    <w:rPr>
                      <w:rFonts w:hint="eastAsia" w:hAnsi="宋体" w:cs="宋体"/>
                      <w:kern w:val="0"/>
                    </w:rPr>
                    <w:t>1</w:t>
                  </w:r>
                </w:p>
              </w:tc>
              <w:tc>
                <w:tcPr>
                  <w:tcW w:w="1958" w:type="pct"/>
                  <w:gridSpan w:val="4"/>
                  <w:vAlign w:val="center"/>
                </w:tcPr>
                <w:p w14:paraId="06C08FE3">
                  <w:pPr>
                    <w:pStyle w:val="87"/>
                    <w:rPr>
                      <w:rFonts w:hint="eastAsia" w:hAnsi="宋体" w:cs="宋体"/>
                      <w:kern w:val="0"/>
                    </w:rPr>
                  </w:pPr>
                  <w:r>
                    <w:rPr>
                      <w:rFonts w:hint="eastAsia" w:hAnsi="宋体"/>
                      <w:kern w:val="0"/>
                    </w:rPr>
                    <w:t>拟建井场周边土壤、植被</w:t>
                  </w:r>
                </w:p>
              </w:tc>
              <w:tc>
                <w:tcPr>
                  <w:tcW w:w="644" w:type="pct"/>
                  <w:vMerge w:val="restart"/>
                  <w:vAlign w:val="center"/>
                </w:tcPr>
                <w:p w14:paraId="245C9B0F">
                  <w:pPr>
                    <w:pStyle w:val="87"/>
                    <w:rPr>
                      <w:rFonts w:hint="eastAsia" w:hAnsi="宋体" w:cs="宋体"/>
                      <w:kern w:val="0"/>
                    </w:rPr>
                  </w:pPr>
                  <w:r>
                    <w:rPr>
                      <w:rFonts w:hint="eastAsia" w:hAnsi="宋体" w:cs="宋体"/>
                      <w:kern w:val="0"/>
                    </w:rPr>
                    <w:t>征121井</w:t>
                  </w:r>
                </w:p>
              </w:tc>
              <w:tc>
                <w:tcPr>
                  <w:tcW w:w="644" w:type="pct"/>
                  <w:vAlign w:val="center"/>
                </w:tcPr>
                <w:p w14:paraId="0FB54CA5">
                  <w:pPr>
                    <w:pStyle w:val="87"/>
                    <w:rPr>
                      <w:rFonts w:hint="eastAsia" w:hAnsi="宋体"/>
                      <w:kern w:val="0"/>
                    </w:rPr>
                  </w:pPr>
                  <w:r>
                    <w:rPr>
                      <w:rFonts w:hint="eastAsia" w:hAnsi="宋体" w:cs="宋体"/>
                      <w:kern w:val="0"/>
                    </w:rPr>
                    <w:t>/</w:t>
                  </w:r>
                </w:p>
              </w:tc>
              <w:tc>
                <w:tcPr>
                  <w:tcW w:w="719" w:type="pct"/>
                  <w:vAlign w:val="center"/>
                </w:tcPr>
                <w:p w14:paraId="394A0047">
                  <w:pPr>
                    <w:pStyle w:val="87"/>
                    <w:rPr>
                      <w:rFonts w:hint="eastAsia" w:hAnsi="宋体"/>
                      <w:kern w:val="0"/>
                    </w:rPr>
                  </w:pPr>
                  <w:r>
                    <w:rPr>
                      <w:rFonts w:hint="eastAsia" w:hAnsi="宋体" w:cs="宋体"/>
                      <w:kern w:val="0"/>
                    </w:rPr>
                    <w:t>/</w:t>
                  </w:r>
                </w:p>
              </w:tc>
            </w:tr>
            <w:tr w14:paraId="62D6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vAlign w:val="center"/>
                </w:tcPr>
                <w:p w14:paraId="0A307A3A">
                  <w:pPr>
                    <w:pStyle w:val="87"/>
                    <w:rPr>
                      <w:rFonts w:hint="eastAsia" w:hAnsi="宋体"/>
                      <w:kern w:val="0"/>
                    </w:rPr>
                  </w:pPr>
                </w:p>
              </w:tc>
              <w:tc>
                <w:tcPr>
                  <w:tcW w:w="393" w:type="pct"/>
                  <w:vAlign w:val="center"/>
                </w:tcPr>
                <w:p w14:paraId="00CDC9F5">
                  <w:pPr>
                    <w:pStyle w:val="87"/>
                    <w:rPr>
                      <w:rFonts w:hint="eastAsia" w:hAnsi="宋体" w:cs="宋体"/>
                      <w:kern w:val="0"/>
                    </w:rPr>
                  </w:pPr>
                  <w:r>
                    <w:rPr>
                      <w:rFonts w:hint="eastAsia" w:hAnsi="宋体" w:cs="宋体"/>
                      <w:kern w:val="0"/>
                    </w:rPr>
                    <w:t>2</w:t>
                  </w:r>
                </w:p>
              </w:tc>
              <w:tc>
                <w:tcPr>
                  <w:tcW w:w="1958" w:type="pct"/>
                  <w:gridSpan w:val="4"/>
                  <w:vAlign w:val="center"/>
                </w:tcPr>
                <w:p w14:paraId="71C96908">
                  <w:pPr>
                    <w:pStyle w:val="87"/>
                    <w:rPr>
                      <w:rFonts w:hint="eastAsia" w:hAnsi="宋体"/>
                      <w:kern w:val="0"/>
                    </w:rPr>
                  </w:pPr>
                  <w:r>
                    <w:rPr>
                      <w:rFonts w:hint="eastAsia" w:hAnsi="宋体"/>
                      <w:kern w:val="0"/>
                    </w:rPr>
                    <w:t>自治区级水土流失重点治理区</w:t>
                  </w:r>
                </w:p>
              </w:tc>
              <w:tc>
                <w:tcPr>
                  <w:tcW w:w="644" w:type="pct"/>
                  <w:vMerge w:val="continue"/>
                  <w:vAlign w:val="center"/>
                </w:tcPr>
                <w:p w14:paraId="56CF5E7A">
                  <w:pPr>
                    <w:pStyle w:val="87"/>
                    <w:rPr>
                      <w:rFonts w:hint="eastAsia" w:hAnsi="宋体" w:cs="宋体"/>
                      <w:kern w:val="0"/>
                    </w:rPr>
                  </w:pPr>
                </w:p>
              </w:tc>
              <w:tc>
                <w:tcPr>
                  <w:tcW w:w="644" w:type="pct"/>
                  <w:vAlign w:val="center"/>
                </w:tcPr>
                <w:p w14:paraId="6C685C63">
                  <w:pPr>
                    <w:pStyle w:val="87"/>
                    <w:rPr>
                      <w:rFonts w:hint="eastAsia" w:hAnsi="宋体"/>
                      <w:kern w:val="0"/>
                    </w:rPr>
                  </w:pPr>
                  <w:r>
                    <w:rPr>
                      <w:rFonts w:hint="eastAsia" w:hAnsi="宋体" w:cs="宋体"/>
                      <w:kern w:val="0"/>
                    </w:rPr>
                    <w:t>/</w:t>
                  </w:r>
                </w:p>
              </w:tc>
              <w:tc>
                <w:tcPr>
                  <w:tcW w:w="719" w:type="pct"/>
                  <w:vAlign w:val="center"/>
                </w:tcPr>
                <w:p w14:paraId="7AAD3BA5">
                  <w:pPr>
                    <w:pStyle w:val="87"/>
                    <w:rPr>
                      <w:rFonts w:hint="eastAsia" w:hAnsi="宋体"/>
                      <w:kern w:val="0"/>
                    </w:rPr>
                  </w:pPr>
                  <w:r>
                    <w:rPr>
                      <w:rFonts w:hint="eastAsia" w:hAnsi="宋体" w:cs="宋体"/>
                      <w:kern w:val="0"/>
                    </w:rPr>
                    <w:t>/</w:t>
                  </w:r>
                </w:p>
              </w:tc>
            </w:tr>
            <w:tr w14:paraId="2E4E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40" w:type="pct"/>
                  <w:vMerge w:val="continue"/>
                  <w:vAlign w:val="center"/>
                </w:tcPr>
                <w:p w14:paraId="4CDE4339">
                  <w:pPr>
                    <w:pStyle w:val="87"/>
                    <w:rPr>
                      <w:rFonts w:hint="eastAsia" w:hAnsi="宋体"/>
                      <w:kern w:val="0"/>
                    </w:rPr>
                  </w:pPr>
                </w:p>
              </w:tc>
              <w:tc>
                <w:tcPr>
                  <w:tcW w:w="393" w:type="pct"/>
                  <w:vAlign w:val="center"/>
                </w:tcPr>
                <w:p w14:paraId="05C5BCAD">
                  <w:pPr>
                    <w:pStyle w:val="87"/>
                    <w:rPr>
                      <w:rFonts w:hint="eastAsia" w:hAnsi="宋体" w:cs="宋体"/>
                      <w:kern w:val="0"/>
                    </w:rPr>
                  </w:pPr>
                  <w:r>
                    <w:rPr>
                      <w:rFonts w:hint="eastAsia" w:hAnsi="宋体" w:cs="宋体"/>
                      <w:kern w:val="0"/>
                    </w:rPr>
                    <w:t>3</w:t>
                  </w:r>
                </w:p>
              </w:tc>
              <w:tc>
                <w:tcPr>
                  <w:tcW w:w="1958" w:type="pct"/>
                  <w:gridSpan w:val="4"/>
                  <w:vAlign w:val="center"/>
                </w:tcPr>
                <w:p w14:paraId="0DE3D998">
                  <w:pPr>
                    <w:pStyle w:val="87"/>
                    <w:rPr>
                      <w:rFonts w:hint="eastAsia" w:hAnsi="宋体"/>
                      <w:kern w:val="0"/>
                    </w:rPr>
                  </w:pPr>
                  <w:r>
                    <w:rPr>
                      <w:rFonts w:hint="eastAsia" w:hAnsi="宋体"/>
                      <w:kern w:val="0"/>
                    </w:rPr>
                    <w:t>国家二级公益林</w:t>
                  </w:r>
                </w:p>
              </w:tc>
              <w:tc>
                <w:tcPr>
                  <w:tcW w:w="644" w:type="pct"/>
                  <w:vMerge w:val="continue"/>
                  <w:vAlign w:val="center"/>
                </w:tcPr>
                <w:p w14:paraId="791F5E27">
                  <w:pPr>
                    <w:pStyle w:val="87"/>
                    <w:rPr>
                      <w:rFonts w:hint="eastAsia" w:hAnsi="宋体" w:cs="宋体"/>
                      <w:kern w:val="0"/>
                    </w:rPr>
                  </w:pPr>
                </w:p>
              </w:tc>
              <w:tc>
                <w:tcPr>
                  <w:tcW w:w="644" w:type="pct"/>
                  <w:vAlign w:val="center"/>
                </w:tcPr>
                <w:p w14:paraId="436BF860">
                  <w:pPr>
                    <w:pStyle w:val="87"/>
                    <w:rPr>
                      <w:rFonts w:hint="eastAsia" w:hAnsi="宋体" w:cs="宋体"/>
                      <w:kern w:val="0"/>
                    </w:rPr>
                  </w:pPr>
                  <w:r>
                    <w:rPr>
                      <w:rFonts w:hint="eastAsia" w:hAnsi="宋体" w:cs="宋体"/>
                      <w:kern w:val="0"/>
                    </w:rPr>
                    <w:t>/</w:t>
                  </w:r>
                </w:p>
              </w:tc>
              <w:tc>
                <w:tcPr>
                  <w:tcW w:w="719" w:type="pct"/>
                  <w:vAlign w:val="center"/>
                </w:tcPr>
                <w:p w14:paraId="20245E9B">
                  <w:pPr>
                    <w:pStyle w:val="87"/>
                    <w:rPr>
                      <w:rFonts w:hint="eastAsia" w:hAnsi="宋体" w:cs="宋体"/>
                      <w:kern w:val="0"/>
                    </w:rPr>
                  </w:pPr>
                  <w:r>
                    <w:rPr>
                      <w:rFonts w:hint="eastAsia" w:hAnsi="宋体" w:cs="宋体"/>
                      <w:kern w:val="0"/>
                    </w:rPr>
                    <w:t>/</w:t>
                  </w:r>
                </w:p>
              </w:tc>
            </w:tr>
            <w:tr w14:paraId="7340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vAlign w:val="center"/>
                </w:tcPr>
                <w:p w14:paraId="08BDC521">
                  <w:pPr>
                    <w:pStyle w:val="87"/>
                    <w:rPr>
                      <w:rFonts w:hint="eastAsia" w:hAnsi="宋体" w:cs="宋体"/>
                      <w:kern w:val="0"/>
                    </w:rPr>
                  </w:pPr>
                  <w:r>
                    <w:rPr>
                      <w:rFonts w:hint="eastAsia" w:hAnsi="宋体" w:cs="宋体"/>
                      <w:kern w:val="0"/>
                    </w:rPr>
                    <w:t>地下水环境敏感目标</w:t>
                  </w:r>
                </w:p>
              </w:tc>
            </w:tr>
            <w:tr w14:paraId="70E2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Align w:val="center"/>
                </w:tcPr>
                <w:p w14:paraId="016225D0">
                  <w:pPr>
                    <w:pStyle w:val="87"/>
                    <w:rPr>
                      <w:rFonts w:hint="eastAsia" w:hAnsi="宋体" w:cs="宋体"/>
                      <w:kern w:val="0"/>
                    </w:rPr>
                  </w:pPr>
                  <w:r>
                    <w:rPr>
                      <w:rFonts w:hint="eastAsia" w:hAnsi="宋体" w:cs="宋体"/>
                      <w:kern w:val="0"/>
                    </w:rPr>
                    <w:t>地下水</w:t>
                  </w:r>
                </w:p>
              </w:tc>
              <w:tc>
                <w:tcPr>
                  <w:tcW w:w="393" w:type="pct"/>
                  <w:vAlign w:val="center"/>
                </w:tcPr>
                <w:p w14:paraId="2D514626">
                  <w:pPr>
                    <w:pStyle w:val="87"/>
                    <w:rPr>
                      <w:rFonts w:hint="eastAsia" w:hAnsi="宋体" w:cs="宋体"/>
                      <w:kern w:val="0"/>
                    </w:rPr>
                  </w:pPr>
                  <w:r>
                    <w:rPr>
                      <w:rFonts w:hint="eastAsia" w:hAnsi="宋体" w:cs="宋体"/>
                      <w:kern w:val="0"/>
                    </w:rPr>
                    <w:t>1</w:t>
                  </w:r>
                </w:p>
              </w:tc>
              <w:tc>
                <w:tcPr>
                  <w:tcW w:w="1437" w:type="pct"/>
                  <w:gridSpan w:val="3"/>
                  <w:vAlign w:val="center"/>
                </w:tcPr>
                <w:p w14:paraId="21FCF261">
                  <w:pPr>
                    <w:pStyle w:val="87"/>
                    <w:rPr>
                      <w:rFonts w:hint="eastAsia" w:hAnsi="宋体" w:cs="宋体"/>
                      <w:kern w:val="0"/>
                    </w:rPr>
                  </w:pPr>
                  <w:r>
                    <w:rPr>
                      <w:rFonts w:hint="eastAsia" w:hAnsi="宋体" w:cs="宋体"/>
                      <w:kern w:val="0"/>
                    </w:rPr>
                    <w:t>周围地下水</w:t>
                  </w:r>
                </w:p>
              </w:tc>
              <w:tc>
                <w:tcPr>
                  <w:tcW w:w="521" w:type="pct"/>
                  <w:vAlign w:val="center"/>
                </w:tcPr>
                <w:p w14:paraId="7FEB38A8">
                  <w:pPr>
                    <w:pStyle w:val="87"/>
                    <w:rPr>
                      <w:rFonts w:hint="eastAsia" w:hAnsi="宋体" w:cs="宋体"/>
                      <w:kern w:val="0"/>
                    </w:rPr>
                  </w:pPr>
                  <w:r>
                    <w:rPr>
                      <w:rFonts w:hint="eastAsia" w:hAnsi="宋体" w:cs="宋体"/>
                      <w:kern w:val="0"/>
                    </w:rPr>
                    <w:t>Ⅲ类</w:t>
                  </w:r>
                </w:p>
              </w:tc>
              <w:tc>
                <w:tcPr>
                  <w:tcW w:w="644" w:type="pct"/>
                  <w:vAlign w:val="center"/>
                </w:tcPr>
                <w:p w14:paraId="7DE97D2D">
                  <w:pPr>
                    <w:pStyle w:val="87"/>
                    <w:rPr>
                      <w:rFonts w:hint="eastAsia" w:hAnsi="宋体" w:cs="宋体"/>
                      <w:kern w:val="0"/>
                    </w:rPr>
                  </w:pPr>
                  <w:r>
                    <w:rPr>
                      <w:rFonts w:hint="eastAsia" w:hAnsi="宋体" w:cs="宋体"/>
                      <w:kern w:val="0"/>
                    </w:rPr>
                    <w:t>征121井</w:t>
                  </w:r>
                </w:p>
              </w:tc>
              <w:tc>
                <w:tcPr>
                  <w:tcW w:w="644" w:type="pct"/>
                  <w:vAlign w:val="center"/>
                </w:tcPr>
                <w:p w14:paraId="01741E6A">
                  <w:pPr>
                    <w:pStyle w:val="87"/>
                    <w:rPr>
                      <w:rFonts w:hint="eastAsia" w:hAnsi="宋体"/>
                      <w:kern w:val="0"/>
                    </w:rPr>
                  </w:pPr>
                  <w:r>
                    <w:rPr>
                      <w:rFonts w:hint="eastAsia" w:hAnsi="宋体" w:cs="宋体"/>
                      <w:kern w:val="0"/>
                    </w:rPr>
                    <w:t>/</w:t>
                  </w:r>
                </w:p>
              </w:tc>
              <w:tc>
                <w:tcPr>
                  <w:tcW w:w="719" w:type="pct"/>
                  <w:vAlign w:val="center"/>
                </w:tcPr>
                <w:p w14:paraId="5EBF6DBF">
                  <w:pPr>
                    <w:pStyle w:val="87"/>
                    <w:rPr>
                      <w:rFonts w:hint="eastAsia" w:hAnsi="宋体"/>
                      <w:kern w:val="0"/>
                    </w:rPr>
                  </w:pPr>
                  <w:r>
                    <w:rPr>
                      <w:rFonts w:hint="eastAsia" w:hAnsi="宋体" w:cs="宋体"/>
                      <w:kern w:val="0"/>
                    </w:rPr>
                    <w:t>/</w:t>
                  </w:r>
                </w:p>
              </w:tc>
            </w:tr>
          </w:tbl>
          <w:p w14:paraId="2D7765F9"/>
          <w:p w14:paraId="588FCD35">
            <w:pPr>
              <w:pStyle w:val="112"/>
              <w:ind w:firstLine="0" w:firstLineChars="0"/>
              <w:rPr>
                <w:rFonts w:hint="eastAsia"/>
                <w:kern w:val="0"/>
              </w:rPr>
            </w:pPr>
          </w:p>
        </w:tc>
      </w:tr>
      <w:tr w14:paraId="17AA8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3" w:hRule="atLeast"/>
          <w:jc w:val="center"/>
        </w:trPr>
        <w:tc>
          <w:tcPr>
            <w:tcW w:w="249" w:type="pct"/>
            <w:vAlign w:val="center"/>
          </w:tcPr>
          <w:p w14:paraId="31AD141A">
            <w:pPr>
              <w:adjustRightInd w:val="0"/>
              <w:snapToGrid w:val="0"/>
              <w:jc w:val="center"/>
              <w:rPr>
                <w:rFonts w:hint="eastAsia" w:ascii="宋体" w:hAnsi="宋体" w:cs="宋体"/>
                <w:kern w:val="0"/>
                <w:szCs w:val="21"/>
              </w:rPr>
            </w:pPr>
            <w:r>
              <w:rPr>
                <w:rFonts w:hint="eastAsia" w:ascii="宋体" w:hAnsi="宋体" w:cs="宋体"/>
                <w:kern w:val="0"/>
                <w:szCs w:val="21"/>
              </w:rPr>
              <w:t>评价</w:t>
            </w:r>
          </w:p>
          <w:p w14:paraId="57E8FDF7">
            <w:pPr>
              <w:adjustRightInd w:val="0"/>
              <w:snapToGrid w:val="0"/>
              <w:jc w:val="center"/>
              <w:rPr>
                <w:rFonts w:hint="eastAsia" w:ascii="宋体" w:hAnsi="宋体" w:cs="宋体"/>
                <w:kern w:val="0"/>
                <w:szCs w:val="21"/>
              </w:rPr>
            </w:pPr>
            <w:r>
              <w:rPr>
                <w:rFonts w:hint="eastAsia" w:ascii="宋体" w:hAnsi="宋体" w:cs="宋体"/>
                <w:kern w:val="0"/>
                <w:szCs w:val="21"/>
              </w:rPr>
              <w:t>标准</w:t>
            </w:r>
          </w:p>
        </w:tc>
        <w:tc>
          <w:tcPr>
            <w:tcW w:w="4750" w:type="pct"/>
            <w:vAlign w:val="center"/>
          </w:tcPr>
          <w:p w14:paraId="2063C260">
            <w:pPr>
              <w:pStyle w:val="113"/>
              <w:rPr>
                <w:rFonts w:hint="eastAsia"/>
                <w:bCs/>
              </w:rPr>
            </w:pPr>
            <w:r>
              <w:rPr>
                <w:rFonts w:hint="eastAsia"/>
                <w:bCs/>
              </w:rPr>
              <w:t>1、环境质量标准</w:t>
            </w:r>
          </w:p>
          <w:p w14:paraId="2E24A7F4">
            <w:pPr>
              <w:pStyle w:val="113"/>
              <w:rPr>
                <w:rFonts w:hint="eastAsia"/>
              </w:rPr>
            </w:pPr>
            <w:r>
              <w:rPr>
                <w:rFonts w:hint="eastAsia"/>
              </w:rPr>
              <w:t>1）环境空气：执行</w:t>
            </w:r>
            <w:r>
              <w:t>《环境空气质量标准》（GB 3095-2012）及其修改单（生态环境部公告 2018年 第29号）</w:t>
            </w:r>
            <w:r>
              <w:rPr>
                <w:rFonts w:hint="eastAsia"/>
              </w:rPr>
              <w:t>二级浓度限值；环境空气中硫化氢参考《环境影响评价技术导则 大气环境》（HJ2.2-2018）中附录D1小时平均值10μg/m</w:t>
            </w:r>
            <w:r>
              <w:rPr>
                <w:rFonts w:hint="eastAsia"/>
                <w:vertAlign w:val="superscript"/>
              </w:rPr>
              <w:t>3</w:t>
            </w:r>
            <w:r>
              <w:rPr>
                <w:rFonts w:hint="eastAsia"/>
              </w:rPr>
              <w:t>要求。</w:t>
            </w:r>
          </w:p>
          <w:p w14:paraId="4F4C15A1">
            <w:pPr>
              <w:pStyle w:val="113"/>
              <w:rPr>
                <w:rFonts w:hint="eastAsia"/>
              </w:rPr>
            </w:pPr>
            <w:r>
              <w:t>2</w:t>
            </w:r>
            <w:r>
              <w:rPr>
                <w:rFonts w:hint="eastAsia"/>
              </w:rPr>
              <w:t>）地下水环境：执行《地下水质量标准》（GB/T</w:t>
            </w:r>
            <w:r>
              <w:t xml:space="preserve"> </w:t>
            </w:r>
            <w:r>
              <w:rPr>
                <w:rFonts w:hint="eastAsia"/>
              </w:rPr>
              <w:t>14848-2017）Ⅲ类标准，石油类参照《地表水环境质量标准》（GB</w:t>
            </w:r>
            <w:r>
              <w:t xml:space="preserve"> </w:t>
            </w:r>
            <w:r>
              <w:rPr>
                <w:rFonts w:hint="eastAsia"/>
              </w:rPr>
              <w:t>3838-2002）中的Ⅲ类标准；</w:t>
            </w:r>
          </w:p>
          <w:p w14:paraId="34E6A119">
            <w:pPr>
              <w:pStyle w:val="113"/>
              <w:rPr>
                <w:rFonts w:hint="eastAsia"/>
              </w:rPr>
            </w:pPr>
            <w:r>
              <w:t>3</w:t>
            </w:r>
            <w:r>
              <w:rPr>
                <w:rFonts w:hint="eastAsia"/>
              </w:rPr>
              <w:t>）声环境：执行《声环境质量标准》（</w:t>
            </w:r>
            <w:r>
              <w:t>GB 3096-2008</w:t>
            </w:r>
            <w:r>
              <w:rPr>
                <w:rFonts w:hint="eastAsia"/>
              </w:rPr>
              <w:t>）中的2类声环境功能区环境噪声限值；</w:t>
            </w:r>
          </w:p>
          <w:p w14:paraId="0EBF0D3C">
            <w:pPr>
              <w:pStyle w:val="113"/>
              <w:rPr>
                <w:rFonts w:hint="eastAsia"/>
              </w:rPr>
            </w:pPr>
            <w:r>
              <w:t>4</w:t>
            </w:r>
            <w:r>
              <w:rPr>
                <w:rFonts w:hint="eastAsia"/>
              </w:rPr>
              <w:t>）土壤环境：</w:t>
            </w:r>
            <w:bookmarkStart w:id="46" w:name="_Hlk127736650"/>
            <w:r>
              <w:rPr>
                <w:rFonts w:hint="eastAsia"/>
              </w:rPr>
              <w:t>占地范围内执行《土壤环境质量 建设用地土壤污染风险管控标准（试行）》（GB</w:t>
            </w:r>
            <w:r>
              <w:t xml:space="preserve"> </w:t>
            </w:r>
            <w:r>
              <w:rPr>
                <w:rFonts w:hint="eastAsia"/>
              </w:rPr>
              <w:t>36600-2018）第二类建设用地土壤污染风险筛选值</w:t>
            </w:r>
            <w:bookmarkEnd w:id="46"/>
            <w:r>
              <w:rPr>
                <w:rFonts w:hint="eastAsia"/>
              </w:rPr>
              <w:t>。</w:t>
            </w:r>
          </w:p>
          <w:p w14:paraId="526B5F68">
            <w:pPr>
              <w:pStyle w:val="113"/>
              <w:rPr>
                <w:rFonts w:hint="eastAsia"/>
                <w:bCs/>
              </w:rPr>
            </w:pPr>
            <w:r>
              <w:rPr>
                <w:rFonts w:hint="eastAsia"/>
                <w:bCs/>
              </w:rPr>
              <w:t>2、污染物排放标准</w:t>
            </w:r>
          </w:p>
          <w:p w14:paraId="7C3803DA">
            <w:pPr>
              <w:pStyle w:val="113"/>
              <w:rPr>
                <w:rFonts w:hint="eastAsia"/>
              </w:rPr>
            </w:pPr>
            <w:r>
              <w:rPr>
                <w:rFonts w:hint="eastAsia"/>
              </w:rPr>
              <w:t>1）废气：</w:t>
            </w:r>
          </w:p>
          <w:p w14:paraId="0BF8B1B1">
            <w:pPr>
              <w:pStyle w:val="113"/>
              <w:rPr>
                <w:rFonts w:hint="eastAsia"/>
              </w:rPr>
            </w:pPr>
            <w:r>
              <w:rPr>
                <w:rFonts w:hint="eastAsia"/>
              </w:rPr>
              <w:t>柴油发电机废气执行《大气污染物综合排放标准》（GB</w:t>
            </w:r>
            <w:r>
              <w:t xml:space="preserve"> </w:t>
            </w:r>
            <w:r>
              <w:rPr>
                <w:rFonts w:hint="eastAsia"/>
              </w:rPr>
              <w:t>16297-1996）无组织排放监控浓度限值；</w:t>
            </w:r>
            <w:r>
              <w:t>非甲烷总烃排放标准参照《</w:t>
            </w:r>
            <w:r>
              <w:rPr>
                <w:rFonts w:hint="eastAsia"/>
              </w:rPr>
              <w:t>陆上石油天然气开采工业</w:t>
            </w:r>
            <w:r>
              <w:rPr>
                <w:rFonts w:hint="eastAsia"/>
                <w:szCs w:val="21"/>
              </w:rPr>
              <w:t>大气污染物排放标准</w:t>
            </w:r>
            <w:r>
              <w:rPr>
                <w:rFonts w:hint="eastAsia"/>
              </w:rPr>
              <w:t>》（</w:t>
            </w:r>
            <w:r>
              <w:rPr>
                <w:rFonts w:hint="eastAsia"/>
                <w:szCs w:val="21"/>
              </w:rPr>
              <w:t>GB 39728</w:t>
            </w:r>
            <w:r>
              <w:t>-</w:t>
            </w:r>
            <w:r>
              <w:rPr>
                <w:rFonts w:hint="eastAsia"/>
                <w:szCs w:val="21"/>
              </w:rPr>
              <w:t>2020</w:t>
            </w:r>
            <w:r>
              <w:rPr>
                <w:rFonts w:hint="eastAsia"/>
              </w:rPr>
              <w:t>）</w:t>
            </w:r>
            <w:r>
              <w:t>中的无组织排放浓度限值</w:t>
            </w:r>
            <w:r>
              <w:rPr>
                <w:rFonts w:hint="eastAsia"/>
              </w:rPr>
              <w:t>（</w:t>
            </w:r>
            <w:r>
              <w:t>4.0mg/m</w:t>
            </w:r>
            <w:r>
              <w:rPr>
                <w:vertAlign w:val="superscript"/>
              </w:rPr>
              <w:t>3</w:t>
            </w:r>
            <w:r>
              <w:rPr>
                <w:rFonts w:hint="eastAsia"/>
              </w:rPr>
              <w:t>）</w:t>
            </w:r>
            <w:r>
              <w:t>执行</w:t>
            </w:r>
            <w:r>
              <w:rPr>
                <w:rFonts w:hint="eastAsia"/>
              </w:rPr>
              <w:t>；硫化氢（伴生气含硫化氢时）执行《恶臭污染物排放标准》（GB 14554-1993）厂界标准值；根据《国家发改委 国家能源局关于印发促进生物质能供热发展指导意见的通知》（发改能源[2017]2123号）中要求，生物质锅炉废气中颗粒物、SO</w:t>
            </w:r>
            <w:r>
              <w:rPr>
                <w:rFonts w:hint="eastAsia"/>
                <w:vertAlign w:val="subscript"/>
              </w:rPr>
              <w:t>2</w:t>
            </w:r>
            <w:r>
              <w:rPr>
                <w:rFonts w:hint="eastAsia"/>
              </w:rPr>
              <w:t>、NO</w:t>
            </w:r>
            <w:r>
              <w:rPr>
                <w:rFonts w:hint="eastAsia"/>
                <w:vertAlign w:val="subscript"/>
              </w:rPr>
              <w:t>X</w:t>
            </w:r>
            <w:r>
              <w:rPr>
                <w:rFonts w:hint="eastAsia"/>
              </w:rPr>
              <w:t>有组织排放执行《锅炉大气污染物排放标准》（GB 13271-2014）表2中燃气锅炉大气污染物排放限值要求（颗粒物：20mg/m</w:t>
            </w:r>
            <w:r>
              <w:rPr>
                <w:rFonts w:hint="eastAsia"/>
                <w:vertAlign w:val="superscript"/>
              </w:rPr>
              <w:t>3</w:t>
            </w:r>
            <w:r>
              <w:rPr>
                <w:rFonts w:hint="eastAsia"/>
              </w:rPr>
              <w:t>，SO</w:t>
            </w:r>
            <w:r>
              <w:rPr>
                <w:rFonts w:hint="eastAsia"/>
                <w:vertAlign w:val="subscript"/>
              </w:rPr>
              <w:t>2</w:t>
            </w:r>
            <w:r>
              <w:rPr>
                <w:rFonts w:hint="eastAsia"/>
              </w:rPr>
              <w:t>：50mg/m</w:t>
            </w:r>
            <w:r>
              <w:rPr>
                <w:rFonts w:hint="eastAsia"/>
                <w:vertAlign w:val="superscript"/>
              </w:rPr>
              <w:t>3</w:t>
            </w:r>
            <w:r>
              <w:rPr>
                <w:rFonts w:hint="eastAsia"/>
              </w:rPr>
              <w:t>，NO</w:t>
            </w:r>
            <w:r>
              <w:rPr>
                <w:rFonts w:hint="eastAsia"/>
                <w:vertAlign w:val="subscript"/>
              </w:rPr>
              <w:t>X</w:t>
            </w:r>
            <w:r>
              <w:rPr>
                <w:rFonts w:hint="eastAsia"/>
              </w:rPr>
              <w:t>：150mg/m</w:t>
            </w:r>
            <w:r>
              <w:rPr>
                <w:rFonts w:hint="eastAsia"/>
                <w:vertAlign w:val="superscript"/>
              </w:rPr>
              <w:t>3</w:t>
            </w:r>
            <w:r>
              <w:rPr>
                <w:rFonts w:hint="eastAsia"/>
              </w:rPr>
              <w:t>，林格曼黑度1级）；</w:t>
            </w:r>
          </w:p>
          <w:p w14:paraId="5EC59191">
            <w:pPr>
              <w:pStyle w:val="113"/>
              <w:rPr>
                <w:rFonts w:hint="eastAsia"/>
              </w:rPr>
            </w:pPr>
            <w:r>
              <w:rPr>
                <w:rFonts w:hint="eastAsia"/>
              </w:rPr>
              <w:t>2）噪声：施工期噪声执行《建筑施工场界环境噪声排放标准》（GB 12523-2011）（昼间70dB（A），夜间55dB（A））；</w:t>
            </w:r>
          </w:p>
          <w:p w14:paraId="5C6E3F57">
            <w:pPr>
              <w:pStyle w:val="104"/>
              <w:ind w:firstLine="420"/>
              <w:rPr>
                <w:rFonts w:hint="eastAsia"/>
              </w:rPr>
            </w:pPr>
            <w:r>
              <w:rPr>
                <w:rFonts w:hint="eastAsia"/>
              </w:rPr>
              <w:t>3）固废：</w:t>
            </w:r>
          </w:p>
          <w:p w14:paraId="0C80DA61">
            <w:pPr>
              <w:pStyle w:val="104"/>
              <w:ind w:firstLine="420"/>
              <w:rPr>
                <w:rFonts w:hint="eastAsia"/>
              </w:rPr>
            </w:pPr>
            <w:r>
              <w:rPr>
                <w:rFonts w:hint="eastAsia"/>
              </w:rPr>
              <w:t>一般工业固体废物执行《一般工业固体废物贮存和填埋污染控制标准》（GB 18599-2020）；处理后的钻井固废执行《油气田钻井固体废物综合利用污染控制要求》（DB65/T 3997-2017）；危险废物执行《危险废物贮存污染控制标准》（GB 18597-2023）；</w:t>
            </w:r>
          </w:p>
          <w:p w14:paraId="464672AF">
            <w:pPr>
              <w:pStyle w:val="104"/>
              <w:ind w:firstLine="420"/>
              <w:rPr>
                <w:rFonts w:hint="eastAsia"/>
                <w:kern w:val="0"/>
              </w:rPr>
            </w:pPr>
            <w:r>
              <w:rPr>
                <w:rFonts w:hint="eastAsia"/>
              </w:rPr>
              <w:t>4）废水：施工期井下作业废液</w:t>
            </w:r>
            <w:r>
              <w:rPr>
                <w:rFonts w:hint="eastAsia"/>
                <w:kern w:val="0"/>
              </w:rPr>
              <w:t>执行《碎屑岩油藏注水水质指标技术要求及分析方法》（</w:t>
            </w:r>
            <w:r>
              <w:rPr>
                <w:kern w:val="0"/>
              </w:rPr>
              <w:t>SY/T 5329-2022</w:t>
            </w:r>
            <w:r>
              <w:rPr>
                <w:rFonts w:hint="eastAsia"/>
                <w:kern w:val="0"/>
              </w:rPr>
              <w:t>）。</w:t>
            </w:r>
          </w:p>
        </w:tc>
      </w:tr>
      <w:tr w14:paraId="100CE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249" w:type="pct"/>
            <w:vAlign w:val="center"/>
          </w:tcPr>
          <w:p w14:paraId="04FB81C4">
            <w:pPr>
              <w:adjustRightInd w:val="0"/>
              <w:snapToGrid w:val="0"/>
              <w:jc w:val="center"/>
              <w:rPr>
                <w:rFonts w:hint="eastAsia" w:ascii="宋体" w:hAnsi="宋体" w:cs="宋体"/>
                <w:kern w:val="0"/>
                <w:szCs w:val="21"/>
              </w:rPr>
            </w:pPr>
            <w:r>
              <w:rPr>
                <w:rFonts w:hint="eastAsia" w:ascii="宋体" w:hAnsi="宋体" w:cs="宋体"/>
                <w:kern w:val="0"/>
                <w:szCs w:val="21"/>
              </w:rPr>
              <w:t>其他</w:t>
            </w:r>
          </w:p>
        </w:tc>
        <w:tc>
          <w:tcPr>
            <w:tcW w:w="4750" w:type="pct"/>
            <w:vAlign w:val="center"/>
          </w:tcPr>
          <w:p w14:paraId="3FADF7EC">
            <w:pPr>
              <w:pStyle w:val="113"/>
              <w:rPr>
                <w:rFonts w:hint="eastAsia"/>
                <w:kern w:val="0"/>
              </w:rPr>
            </w:pPr>
            <w:r>
              <w:rPr>
                <w:rFonts w:hint="eastAsia"/>
              </w:rPr>
              <w:t>本项目不涉及总量控制指标。</w:t>
            </w:r>
          </w:p>
        </w:tc>
      </w:tr>
    </w:tbl>
    <w:p w14:paraId="5A6CB276">
      <w:pPr>
        <w:pStyle w:val="26"/>
        <w:adjustRightInd w:val="0"/>
        <w:snapToGrid w:val="0"/>
        <w:spacing w:before="0" w:beforeAutospacing="0" w:after="0" w:afterAutospacing="0"/>
        <w:jc w:val="center"/>
        <w:outlineLvl w:val="0"/>
        <w:rPr>
          <w:rFonts w:hint="eastAsia" w:ascii="黑体" w:hAnsi="黑体" w:eastAsia="黑体"/>
          <w:snapToGrid w:val="0"/>
          <w:sz w:val="30"/>
          <w:szCs w:val="30"/>
        </w:rPr>
      </w:pPr>
      <w:r>
        <w:rPr>
          <w:rFonts w:ascii="黑体" w:hAnsi="黑体" w:eastAsia="黑体"/>
          <w:snapToGrid w:val="0"/>
          <w:kern w:val="2"/>
          <w:sz w:val="36"/>
          <w:szCs w:val="36"/>
        </w:rPr>
        <w:br w:type="page"/>
      </w:r>
      <w:bookmarkStart w:id="47" w:name="_Toc216179950"/>
      <w:r>
        <w:rPr>
          <w:rFonts w:hint="eastAsia" w:ascii="黑体" w:hAnsi="黑体" w:eastAsia="黑体"/>
          <w:snapToGrid w:val="0"/>
          <w:sz w:val="30"/>
          <w:szCs w:val="30"/>
        </w:rPr>
        <w:t>四、生态环境影响分析</w:t>
      </w:r>
      <w:bookmarkEnd w:id="47"/>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016"/>
      </w:tblGrid>
      <w:tr w14:paraId="12B1A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4" w:hRule="atLeast"/>
          <w:jc w:val="center"/>
        </w:trPr>
        <w:tc>
          <w:tcPr>
            <w:tcW w:w="252" w:type="pct"/>
            <w:tcMar>
              <w:left w:w="28" w:type="dxa"/>
              <w:right w:w="28" w:type="dxa"/>
            </w:tcMar>
            <w:vAlign w:val="center"/>
          </w:tcPr>
          <w:p w14:paraId="1707504E">
            <w:pPr>
              <w:pStyle w:val="26"/>
              <w:adjustRightInd w:val="0"/>
              <w:snapToGrid w:val="0"/>
              <w:spacing w:before="0" w:beforeAutospacing="0" w:after="0" w:afterAutospacing="0"/>
              <w:jc w:val="center"/>
              <w:rPr>
                <w:rFonts w:hint="eastAsia" w:cs="宋体"/>
                <w:bCs/>
                <w:kern w:val="2"/>
                <w:sz w:val="21"/>
                <w:szCs w:val="21"/>
              </w:rPr>
            </w:pPr>
            <w:bookmarkStart w:id="48" w:name="_Hlk49796138"/>
            <w:r>
              <w:rPr>
                <w:rFonts w:hint="eastAsia" w:cs="宋体"/>
                <w:bCs/>
                <w:spacing w:val="10"/>
                <w:kern w:val="2"/>
                <w:sz w:val="21"/>
                <w:szCs w:val="21"/>
              </w:rPr>
              <w:t>施工期生态环境影响分析</w:t>
            </w:r>
            <w:bookmarkEnd w:id="48"/>
          </w:p>
        </w:tc>
        <w:tc>
          <w:tcPr>
            <w:tcW w:w="4748" w:type="pct"/>
          </w:tcPr>
          <w:p w14:paraId="0EA08858">
            <w:pPr>
              <w:pStyle w:val="113"/>
              <w:rPr>
                <w:rFonts w:hint="eastAsia"/>
                <w:bCs/>
              </w:rPr>
            </w:pPr>
            <w:r>
              <w:rPr>
                <w:bCs/>
              </w:rPr>
              <w:t>1</w:t>
            </w:r>
            <w:r>
              <w:rPr>
                <w:rFonts w:hint="eastAsia"/>
                <w:bCs/>
              </w:rPr>
              <w:t>、</w:t>
            </w:r>
            <w:r>
              <w:rPr>
                <w:bCs/>
              </w:rPr>
              <w:t>生态环境</w:t>
            </w:r>
            <w:r>
              <w:rPr>
                <w:rFonts w:hint="eastAsia"/>
                <w:bCs/>
              </w:rPr>
              <w:t>影响</w:t>
            </w:r>
            <w:r>
              <w:rPr>
                <w:bCs/>
              </w:rPr>
              <w:t>分析</w:t>
            </w:r>
          </w:p>
          <w:p w14:paraId="3F9B60CD">
            <w:pPr>
              <w:pStyle w:val="113"/>
              <w:rPr>
                <w:rFonts w:hint="eastAsia"/>
                <w:snapToGrid w:val="0"/>
              </w:rPr>
            </w:pPr>
            <w:r>
              <w:rPr>
                <w:snapToGrid w:val="0"/>
              </w:rPr>
              <w:t>1）</w:t>
            </w:r>
            <w:r>
              <w:rPr>
                <w:rFonts w:hint="eastAsia"/>
                <w:snapToGrid w:val="0"/>
              </w:rPr>
              <w:t>生态评价范围</w:t>
            </w:r>
          </w:p>
          <w:p w14:paraId="46DD613A">
            <w:pPr>
              <w:pStyle w:val="113"/>
              <w:rPr>
                <w:rFonts w:hint="eastAsia"/>
              </w:rPr>
            </w:pPr>
            <w:r>
              <w:rPr>
                <w:rFonts w:hint="eastAsia"/>
              </w:rPr>
              <w:t>根据《环境影响评价技术导则 生态影响》（HJ 19-2022）以及《环境影响评价技术导则 陆地石油天然气开发建设项目》（HJ/T 349-2023）中关于生态影响评价范围的要求，区域性建设项目以影响区范围向四周外扩原则确定评价范围。因此，本项目评价范围为项目影响范围并外扩50m。</w:t>
            </w:r>
          </w:p>
          <w:p w14:paraId="35E7D639">
            <w:pPr>
              <w:pStyle w:val="112"/>
              <w:ind w:firstLine="420"/>
              <w:rPr>
                <w:rFonts w:hint="eastAsia"/>
              </w:rPr>
            </w:pPr>
            <w:r>
              <w:rPr>
                <w:rFonts w:hint="eastAsia"/>
              </w:rPr>
              <w:t>2）土地利用影响分析</w:t>
            </w:r>
          </w:p>
          <w:p w14:paraId="1A120E9E">
            <w:pPr>
              <w:pStyle w:val="113"/>
              <w:rPr>
                <w:rFonts w:hint="eastAsia"/>
              </w:rPr>
            </w:pPr>
            <w:r>
              <w:rPr>
                <w:rFonts w:hint="eastAsia"/>
              </w:rPr>
              <w:t>项目</w:t>
            </w:r>
            <w:r>
              <w:t>临时占用</w:t>
            </w:r>
            <w:r>
              <w:rPr>
                <w:rFonts w:hint="eastAsia"/>
              </w:rPr>
              <w:t>灌木林地，但临时</w:t>
            </w:r>
            <w:r>
              <w:t>占地只在短期内改变土地利用</w:t>
            </w:r>
            <w:r>
              <w:rPr>
                <w:rFonts w:hint="eastAsia"/>
              </w:rPr>
              <w:t>类型和植被现状</w:t>
            </w:r>
            <w:r>
              <w:t>，</w:t>
            </w:r>
            <w:r>
              <w:rPr>
                <w:rFonts w:hint="eastAsia"/>
              </w:rPr>
              <w:t>施工</w:t>
            </w:r>
            <w:r>
              <w:t>结束后</w:t>
            </w:r>
            <w:r>
              <w:rPr>
                <w:rFonts w:hint="eastAsia"/>
              </w:rPr>
              <w:t>将</w:t>
            </w:r>
            <w:r>
              <w:t>对临时占</w:t>
            </w:r>
            <w:r>
              <w:rPr>
                <w:rFonts w:hint="eastAsia"/>
              </w:rPr>
              <w:t>用</w:t>
            </w:r>
            <w:r>
              <w:t>土地进行</w:t>
            </w:r>
            <w:r>
              <w:rPr>
                <w:rFonts w:hint="eastAsia"/>
              </w:rPr>
              <w:t>地貌恢复，</w:t>
            </w:r>
            <w:r>
              <w:t>即可恢复为原有土地</w:t>
            </w:r>
            <w:r>
              <w:rPr>
                <w:rFonts w:hint="eastAsia"/>
              </w:rPr>
              <w:t>利用类型。因此，临时占地对区域土地利用类型的影响较小。</w:t>
            </w:r>
          </w:p>
          <w:p w14:paraId="41C788EF">
            <w:pPr>
              <w:pStyle w:val="113"/>
              <w:rPr>
                <w:rFonts w:hint="eastAsia"/>
                <w:kern w:val="44"/>
                <w:sz w:val="30"/>
              </w:rPr>
            </w:pPr>
            <w:r>
              <w:rPr>
                <w:snapToGrid w:val="0"/>
              </w:rPr>
              <w:t>3</w:t>
            </w:r>
            <w:r>
              <w:rPr>
                <w:rFonts w:hint="eastAsia"/>
                <w:snapToGrid w:val="0"/>
              </w:rPr>
              <w:t>）</w:t>
            </w:r>
            <w:bookmarkStart w:id="49" w:name="_Toc49863990"/>
            <w:bookmarkStart w:id="50" w:name="_Toc491680127"/>
            <w:r>
              <w:rPr>
                <w:rFonts w:hint="eastAsia"/>
              </w:rPr>
              <w:t>生态环境影响分析</w:t>
            </w:r>
            <w:bookmarkEnd w:id="49"/>
            <w:bookmarkEnd w:id="50"/>
          </w:p>
          <w:p w14:paraId="1EDD01E2">
            <w:pPr>
              <w:pStyle w:val="113"/>
              <w:rPr>
                <w:rFonts w:hint="eastAsia"/>
              </w:rPr>
            </w:pPr>
            <w:r>
              <w:rPr>
                <w:rFonts w:hint="eastAsia"/>
                <w:snapToGrid w:val="0"/>
              </w:rPr>
              <w:t>本项目钻井工程和进井道路建设是造成植被破坏的主要原因，开发过程中的占地为临时占地，对植被的主要影响形式是对土地的占用以及施工阶段清场过程中对地表植被的清理及施工过程中的碾压。地表保护层被破坏后，其稳定性下降，防止水土流失的能力也随之下降，并且地表植被已不复存在。</w:t>
            </w:r>
            <w:r>
              <w:rPr>
                <w:rFonts w:hint="eastAsia"/>
                <w:spacing w:val="4"/>
              </w:rPr>
              <w:t>该区域的植被覆盖低，项目占地会影响生态系统的功能发挥，并会产生一定的水土流失。</w:t>
            </w:r>
            <w:r>
              <w:rPr>
                <w:rFonts w:hint="eastAsia"/>
                <w:snapToGrid w:val="0"/>
              </w:rPr>
              <w:t>植被破坏后不易恢复，因而使得这部分土地基本没有植物初级生产能力。当临时性占地的植被得到初步恢复后，这种损失将逐渐减少</w:t>
            </w:r>
            <w:r>
              <w:t>。</w:t>
            </w:r>
          </w:p>
          <w:p w14:paraId="1F9DF267">
            <w:pPr>
              <w:pStyle w:val="113"/>
              <w:rPr>
                <w:rFonts w:hint="eastAsia"/>
              </w:rPr>
            </w:pPr>
            <w:r>
              <w:rPr>
                <w:rFonts w:hint="eastAsia"/>
              </w:rPr>
              <w:t>（1</w:t>
            </w:r>
            <w:r>
              <w:t>）对土壤环境影响</w:t>
            </w:r>
          </w:p>
          <w:p w14:paraId="09690ED8">
            <w:pPr>
              <w:pStyle w:val="113"/>
              <w:rPr>
                <w:rFonts w:hint="eastAsia"/>
              </w:rPr>
            </w:pPr>
            <w:r>
              <w:t>对土壤质量的影响主要为</w:t>
            </w:r>
            <w:r>
              <w:rPr>
                <w:rFonts w:hint="eastAsia"/>
              </w:rPr>
              <w:t>人为</w:t>
            </w:r>
            <w:r>
              <w:t>扰动、车辆行驶和机械施工。</w:t>
            </w:r>
          </w:p>
          <w:p w14:paraId="1E6B3B81">
            <w:pPr>
              <w:pStyle w:val="113"/>
              <w:rPr>
                <w:rFonts w:hint="eastAsia"/>
              </w:rPr>
            </w:pPr>
            <w:r>
              <w:rPr>
                <w:rFonts w:hint="eastAsia"/>
              </w:rPr>
              <w:t>①</w:t>
            </w:r>
            <w:r>
              <w:t>人为扰动对土壤的影响</w:t>
            </w:r>
          </w:p>
          <w:p w14:paraId="12D67ED6">
            <w:pPr>
              <w:pStyle w:val="113"/>
              <w:rPr>
                <w:rFonts w:hint="eastAsia"/>
              </w:rPr>
            </w:pPr>
            <w:r>
              <w:t>项目施工过程中，不可避免地要对土壤进行人为扰动，主要是开挖和回填，翻动土壤层次并破坏土壤结构。</w:t>
            </w:r>
          </w:p>
          <w:p w14:paraId="49CC8958">
            <w:pPr>
              <w:pStyle w:val="113"/>
              <w:rPr>
                <w:rFonts w:hint="eastAsia"/>
              </w:rPr>
            </w:pPr>
            <w:r>
              <w:rPr>
                <w:rFonts w:hint="eastAsia"/>
              </w:rPr>
              <w:t>②</w:t>
            </w:r>
            <w:r>
              <w:t>车辆行驶和机械施工对土壤的影响</w:t>
            </w:r>
          </w:p>
          <w:p w14:paraId="46BDD840">
            <w:pPr>
              <w:pStyle w:val="113"/>
              <w:rPr>
                <w:rFonts w:hint="eastAsia"/>
              </w:rPr>
            </w:pPr>
            <w:r>
              <w:t>在施工中，车辆行驶和机械作业时机械设备的碾压、施工人员的踩踏等都会对土壤的紧实度产生影响。机械碾压的结果使土壤紧实度增高，地表水入渗减少。各种车辆（尤其是重型卡车）在荒漠上行驶将使经过的土壤变紧实。因此环评要求，严格控制施工作业范围，严禁随意扩大施工用地范围，并充分利用项目区</w:t>
            </w:r>
            <w:r>
              <w:rPr>
                <w:rFonts w:hint="eastAsia"/>
              </w:rPr>
              <w:t>周边的现有</w:t>
            </w:r>
            <w:r>
              <w:t>便道。</w:t>
            </w:r>
          </w:p>
          <w:p w14:paraId="7C1DDC93">
            <w:pPr>
              <w:pStyle w:val="113"/>
              <w:rPr>
                <w:rFonts w:hint="eastAsia"/>
              </w:rPr>
            </w:pPr>
            <w:r>
              <w:rPr>
                <w:rFonts w:hint="eastAsia"/>
              </w:rPr>
              <w:t>（2）对工程区植被的影响</w:t>
            </w:r>
          </w:p>
          <w:p w14:paraId="20A3DEA1">
            <w:pPr>
              <w:pStyle w:val="113"/>
              <w:rPr>
                <w:rFonts w:hint="eastAsia"/>
                <w:szCs w:val="21"/>
              </w:rPr>
            </w:pPr>
            <w:r>
              <w:rPr>
                <w:rFonts w:hint="eastAsia"/>
              </w:rPr>
              <w:t>本项目建设过程中大量人员、机械进入施工区域，使草地环境中人类活动频率大幅度增加，对植被的影响主要表现在人类和机械对植物的踩踏、碾压和砍伐，使原生植被生境发生较大变化。井区在施工过程中临时占地面积较小，在完井后的2年～3年中，将影响占地范围之内的植被初级生产力。本项目施工期短暂，仅为临时占地。当临时性占地的植被得到初步恢复后，这种损失将逐渐减少。</w:t>
            </w:r>
          </w:p>
          <w:p w14:paraId="49A07744">
            <w:pPr>
              <w:pStyle w:val="113"/>
              <w:rPr>
                <w:rFonts w:hint="eastAsia"/>
              </w:rPr>
            </w:pPr>
            <w:r>
              <w:rPr>
                <w:rFonts w:hint="eastAsia"/>
              </w:rPr>
              <w:t>本项目建设过程中将损毁一定量的植被，由于所在区域植被类型少而单一，植被损失主要来自临时占地，因此只要加强施工管理，认真做好施工结束后的植被恢复及固沙工作，施工结束后地表植被自然恢复，建设对植被的环境影响是可以接受的。</w:t>
            </w:r>
          </w:p>
          <w:p w14:paraId="2C0C4F0F">
            <w:pPr>
              <w:pStyle w:val="113"/>
              <w:rPr>
                <w:rFonts w:hint="eastAsia"/>
              </w:rPr>
            </w:pPr>
            <w:r>
              <w:rPr>
                <w:rFonts w:hint="eastAsia"/>
              </w:rPr>
              <w:t>（</w:t>
            </w:r>
            <w:r>
              <w:t>3</w:t>
            </w:r>
            <w:r>
              <w:rPr>
                <w:rFonts w:hint="eastAsia"/>
              </w:rPr>
              <w:t>）对野生动物的影响</w:t>
            </w:r>
          </w:p>
          <w:p w14:paraId="6F41C6BE">
            <w:pPr>
              <w:pStyle w:val="113"/>
              <w:rPr>
                <w:rFonts w:hint="eastAsia"/>
              </w:rPr>
            </w:pPr>
            <w:r>
              <w:rPr>
                <w:rFonts w:hint="eastAsia"/>
              </w:rPr>
              <w:t>钻井工程对野生动物生存环境、分布范围和种群数量的影响主要分为直接影响和间接影响两个方面。直接影响主要表现为建设项目占地使野生动物的原始生存环境被破坏或改变；间接影响主要表现为由于植被的减少或污染破坏而引起野生动物食物来源减少。根据现场踏勘，未见国家及自治区野生保护动物，本项目区域受人为活动影响，大型兽类活动较少，区域内仅有少量小型野生动物栖息，包括小家鼠、田鼠、沙鼠等，鸟类有麻雀、乌鸦等，数量不多，由于评价区域不是动物的唯一栖息地，项目不涉及野生动物栖息地，故该建设项目对动物区域性生境不产生明显影响。</w:t>
            </w:r>
          </w:p>
          <w:p w14:paraId="49724E20">
            <w:pPr>
              <w:pStyle w:val="113"/>
              <w:rPr>
                <w:rFonts w:hint="eastAsia"/>
              </w:rPr>
            </w:pPr>
            <w:r>
              <w:rPr>
                <w:rFonts w:hint="eastAsia"/>
              </w:rPr>
              <w:t>（</w:t>
            </w:r>
            <w:r>
              <w:t>4</w:t>
            </w:r>
            <w:r>
              <w:rPr>
                <w:rFonts w:hint="eastAsia"/>
              </w:rPr>
              <w:t>）水土流失影响分析</w:t>
            </w:r>
          </w:p>
          <w:p w14:paraId="412BF911">
            <w:pPr>
              <w:pStyle w:val="113"/>
              <w:rPr>
                <w:rFonts w:hint="eastAsia"/>
              </w:rPr>
            </w:pPr>
            <w:r>
              <w:rPr>
                <w:rFonts w:hint="eastAsia"/>
              </w:rPr>
              <w:t>本项目建设将破坏地表原有稳定砾石层，增大了风蚀量。施工作业范围内的土壤地表表层遭到破坏，下层的粉细物质暴露在地层表面，在风力的作用下，风蚀量会明显加大，这种影响在短时间内不会完全恢复。但随着时间的推移，风蚀量会随着地表新保护层的逐渐形成而减弱。水土流失本次要求建设单位严格按照《中华人民共和国防沙治沙法》（2018年10月26日）中有关规定，执行以下井场防沙治沙防治措施：</w:t>
            </w:r>
          </w:p>
          <w:p w14:paraId="4EFEDA0A">
            <w:pPr>
              <w:pStyle w:val="113"/>
              <w:rPr>
                <w:rFonts w:hint="eastAsia"/>
              </w:rPr>
            </w:pPr>
            <w:r>
              <w:rPr>
                <w:rFonts w:hint="eastAsia"/>
              </w:rPr>
              <w:t>土地临时使用过程中发现土地沙化或者沙化程度加重的，应当及时报告当地人民政府；大力宣传《中华人民共和国防沙治沙法》（2018年10月26日），使施工人员知法、懂法、守法，自觉保护林草植被，自觉履行防治义务。禁止在沙化土地上砍挖灌木、药材及其他固沙植物；施工结束后对占地进行平整，清运现场遗留的污染物，按照正式征地文件的规定对占地进行经济补偿。</w:t>
            </w:r>
          </w:p>
          <w:p w14:paraId="21FF9BCF">
            <w:pPr>
              <w:pStyle w:val="113"/>
              <w:rPr>
                <w:rFonts w:hint="eastAsia"/>
              </w:rPr>
            </w:pPr>
            <w:r>
              <w:rPr>
                <w:rFonts w:hint="eastAsia"/>
              </w:rPr>
              <w:t>（</w:t>
            </w:r>
            <w:r>
              <w:t>5</w:t>
            </w:r>
            <w:r>
              <w:rPr>
                <w:rFonts w:hint="eastAsia"/>
              </w:rPr>
              <w:t>）对区域土地沙化的影响分析</w:t>
            </w:r>
          </w:p>
          <w:p w14:paraId="6609166F">
            <w:pPr>
              <w:pStyle w:val="113"/>
              <w:rPr>
                <w:rFonts w:hint="eastAsia"/>
              </w:rPr>
            </w:pPr>
            <w:r>
              <w:rPr>
                <w:rFonts w:hint="eastAsia" w:cs="Segoe UI"/>
                <w:shd w:val="clear" w:color="auto" w:fill="FCFCFC"/>
              </w:rPr>
              <w:t>①</w:t>
            </w:r>
            <w:r>
              <w:rPr>
                <w:rFonts w:ascii="Segoe UI" w:hAnsi="Segoe UI" w:cs="Segoe UI"/>
                <w:shd w:val="clear" w:color="auto" w:fill="FCFCFC"/>
              </w:rPr>
              <w:t>钻井平台搭建、道路修建、临时设施建设等会直接占用土地，破坏地表植被和土壤结构，导致原生植被覆盖率下降，裸露地表增加，风蚀和水蚀风险加剧。</w:t>
            </w:r>
          </w:p>
          <w:p w14:paraId="05AE900C">
            <w:pPr>
              <w:pStyle w:val="113"/>
              <w:rPr>
                <w:rFonts w:ascii="Segoe UI" w:hAnsi="Segoe UI" w:cs="Segoe UI"/>
                <w:shd w:val="clear" w:color="auto" w:fill="FCFCFC"/>
              </w:rPr>
            </w:pPr>
            <w:r>
              <w:rPr>
                <w:rFonts w:hint="eastAsia"/>
              </w:rPr>
              <w:t>②</w:t>
            </w:r>
            <w:r>
              <w:rPr>
                <w:rFonts w:ascii="Segoe UI" w:hAnsi="Segoe UI" w:cs="Segoe UI"/>
                <w:shd w:val="clear" w:color="auto" w:fill="FCFCFC"/>
              </w:rPr>
              <w:t>施工机械碾压等活动会破坏土壤层次，降低土壤渗透性和持水能力，加速土壤水分蒸发，形成松散沙源。</w:t>
            </w:r>
          </w:p>
          <w:p w14:paraId="14D8C92B">
            <w:pPr>
              <w:pStyle w:val="113"/>
              <w:rPr>
                <w:rFonts w:ascii="Segoe UI" w:hAnsi="Segoe UI" w:cs="Segoe UI"/>
                <w:shd w:val="clear" w:color="auto" w:fill="FCFCFC"/>
              </w:rPr>
            </w:pPr>
            <w:r>
              <w:rPr>
                <w:rFonts w:hint="eastAsia" w:cs="Segoe UI"/>
                <w:shd w:val="clear" w:color="auto" w:fill="FCFCFC"/>
              </w:rPr>
              <w:t>③</w:t>
            </w:r>
            <w:r>
              <w:rPr>
                <w:rFonts w:ascii="Segoe UI" w:hAnsi="Segoe UI" w:cs="Segoe UI"/>
                <w:shd w:val="clear" w:color="auto" w:fill="FCFCFC"/>
              </w:rPr>
              <w:t>钻井废水、油污若未妥善处理，可能渗入土壤，改变土壤理化性质，抑制植被生长，间接加剧沙化。</w:t>
            </w:r>
          </w:p>
          <w:p w14:paraId="5BAA41EC">
            <w:pPr>
              <w:pStyle w:val="113"/>
              <w:rPr>
                <w:rFonts w:ascii="Segoe UI" w:hAnsi="Segoe UI" w:cs="Segoe UI"/>
                <w:shd w:val="clear" w:color="auto" w:fill="FCFCFC"/>
              </w:rPr>
            </w:pPr>
            <w:r>
              <w:rPr>
                <w:rFonts w:hint="eastAsia" w:cs="Segoe UI"/>
                <w:shd w:val="clear" w:color="auto" w:fill="FCFCFC"/>
              </w:rPr>
              <w:t>④</w:t>
            </w:r>
            <w:r>
              <w:rPr>
                <w:rFonts w:ascii="Segoe UI" w:hAnsi="Segoe UI" w:cs="Segoe UI"/>
                <w:shd w:val="clear" w:color="auto" w:fill="FCFCFC"/>
              </w:rPr>
              <w:t>井场周边植被恢复滞后可能导致土地裸露时间延长，植被覆盖度难以恢复，区域固沙能力下降。</w:t>
            </w:r>
          </w:p>
          <w:p w14:paraId="2DAFE9A1">
            <w:pPr>
              <w:pStyle w:val="113"/>
              <w:rPr>
                <w:rFonts w:hint="eastAsia"/>
              </w:rPr>
            </w:pPr>
            <w:r>
              <w:rPr>
                <w:rFonts w:hint="eastAsia" w:cs="Segoe UI"/>
                <w:shd w:val="clear" w:color="auto" w:fill="FCFCFC"/>
              </w:rPr>
              <w:t>⑤</w:t>
            </w:r>
            <w:r>
              <w:rPr>
                <w:rFonts w:ascii="Segoe UI" w:hAnsi="Segoe UI" w:cs="Segoe UI"/>
                <w:shd w:val="clear" w:color="auto" w:fill="FCFCFC"/>
              </w:rPr>
              <w:t>若项目结束后未采取有效生态恢复措施（如植被补种、土壤改良），可能导致土地沙化问题长期存在。</w:t>
            </w:r>
          </w:p>
          <w:p w14:paraId="50A298BC">
            <w:pPr>
              <w:pStyle w:val="113"/>
              <w:rPr>
                <w:rFonts w:hint="eastAsia"/>
              </w:rPr>
            </w:pPr>
            <w:r>
              <w:rPr>
                <w:rFonts w:hint="eastAsia"/>
              </w:rPr>
              <w:t>⑥项目实施过程中将会破坏占地范围内的土壤表层稳定结皮和地表荒漠植被，项目所在区域具有多风、降水量偏低等气候特征，地表稳定结皮被破坏后，在大风天气条件下，施工会使占地范围内的土地就地起尘，造成局部水土流失，严重时可能导致沙化。</w:t>
            </w:r>
          </w:p>
          <w:p w14:paraId="08CA3692">
            <w:pPr>
              <w:pStyle w:val="113"/>
              <w:rPr>
                <w:rFonts w:hint="eastAsia"/>
              </w:rPr>
            </w:pPr>
            <w:r>
              <w:rPr>
                <w:rFonts w:hint="eastAsia"/>
              </w:rPr>
              <w:t>由于项目占地范围较小，施工时间短，施工结束后及时对临时占地范围内场地进行平整和清理，尽量利用施工时产生的表层土对临时占地进行覆盖，采用自然恢复的方式对区域植被进行恢复。综上所述，本项目对区域土地沙化影响不大。</w:t>
            </w:r>
          </w:p>
          <w:p w14:paraId="509C4373">
            <w:pPr>
              <w:pStyle w:val="113"/>
              <w:rPr>
                <w:rFonts w:hint="eastAsia"/>
                <w:szCs w:val="21"/>
              </w:rPr>
            </w:pPr>
            <w:r>
              <w:rPr>
                <w:rFonts w:ascii="Calibri" w:hAnsi="Calibri" w:cs="Calibri"/>
              </w:rPr>
              <w:t>（</w:t>
            </w:r>
            <w:r>
              <w:rPr>
                <w:rFonts w:hint="eastAsia"/>
              </w:rPr>
              <w:t>6</w:t>
            </w:r>
            <w:r>
              <w:rPr>
                <w:rFonts w:ascii="Calibri" w:hAnsi="Calibri" w:cs="Calibri"/>
              </w:rPr>
              <w:t>）土地影响分析</w:t>
            </w:r>
          </w:p>
          <w:p w14:paraId="15D46666">
            <w:pPr>
              <w:pStyle w:val="113"/>
              <w:rPr>
                <w:rFonts w:hint="eastAsia"/>
              </w:rPr>
            </w:pPr>
            <w:r>
              <w:rPr>
                <w:rFonts w:hint="eastAsia" w:cs="Calibri"/>
              </w:rPr>
              <w:t>①</w:t>
            </w:r>
            <w:r>
              <w:rPr>
                <w:rFonts w:ascii="Calibri" w:hAnsi="Calibri" w:cs="Calibri"/>
              </w:rPr>
              <w:t>土地理化性质影响</w:t>
            </w:r>
          </w:p>
          <w:p w14:paraId="106925CF">
            <w:pPr>
              <w:pStyle w:val="113"/>
              <w:rPr>
                <w:rFonts w:hint="eastAsia"/>
              </w:rPr>
            </w:pPr>
            <w:r>
              <w:rPr>
                <w:rFonts w:ascii="Calibri" w:hAnsi="Calibri" w:cs="Calibri"/>
              </w:rPr>
              <w:t>施工过程中，土方开挖、堆放、回填及材料堆放、人工踩踏、机械设备碾压等活动将对土壤理化性质产生影响。</w:t>
            </w:r>
          </w:p>
          <w:p w14:paraId="2CDC2601">
            <w:pPr>
              <w:pStyle w:val="113"/>
              <w:rPr>
                <w:rFonts w:hint="eastAsia"/>
              </w:rPr>
            </w:pPr>
            <w:r>
              <w:t>a</w:t>
            </w:r>
            <w:r>
              <w:rPr>
                <w:rFonts w:hint="eastAsia"/>
              </w:rPr>
              <w:t>.</w:t>
            </w:r>
            <w:r>
              <w:rPr>
                <w:rFonts w:ascii="Calibri" w:hAnsi="Calibri" w:cs="Calibri"/>
              </w:rPr>
              <w:t>混合土壤层次，改变土体构型</w:t>
            </w:r>
          </w:p>
          <w:p w14:paraId="14AAC9DC">
            <w:pPr>
              <w:pStyle w:val="113"/>
              <w:rPr>
                <w:rFonts w:hint="eastAsia"/>
              </w:rPr>
            </w:pPr>
            <w:r>
              <w:rPr>
                <w:rFonts w:ascii="Calibri" w:hAnsi="Calibri" w:cs="Calibri"/>
              </w:rPr>
              <w:t>无论是自然土壤还是农业土壤，在形成过程中由于物质和能量长期垂直分异的结果，形成质地、结构、性质和厚度差异明显的土壤剖面构型。项目土方的开挖与回填，使原土壤层次混合，原土体构型破坏。土体构型被破坏，将明显的改变土体中物质和能量的转移和传递规律，使表层通气透水性变差，亚表层保水、保肥性能降低，从而造成对植物的生长、发育及其产量影响。</w:t>
            </w:r>
          </w:p>
          <w:p w14:paraId="770EBA0F">
            <w:pPr>
              <w:pStyle w:val="113"/>
              <w:rPr>
                <w:rFonts w:hint="eastAsia"/>
              </w:rPr>
            </w:pPr>
            <w:r>
              <w:t>b</w:t>
            </w:r>
            <w:r>
              <w:rPr>
                <w:rFonts w:hint="eastAsia"/>
              </w:rPr>
              <w:t>.</w:t>
            </w:r>
            <w:r>
              <w:rPr>
                <w:rFonts w:ascii="Calibri" w:hAnsi="Calibri" w:cs="Calibri"/>
              </w:rPr>
              <w:t>影响土壤紧实度</w:t>
            </w:r>
          </w:p>
          <w:p w14:paraId="0B04DA0C">
            <w:pPr>
              <w:pStyle w:val="113"/>
              <w:rPr>
                <w:rFonts w:hint="eastAsia"/>
              </w:rPr>
            </w:pPr>
            <w:r>
              <w:rPr>
                <w:rFonts w:ascii="Calibri" w:hAnsi="Calibri" w:cs="Calibri"/>
              </w:rPr>
              <w:t>自然土壤在自重作用下，形成上松下紧的土壤紧实度垂直差异。施工过程中的机械碾压，尤其在坡度较大的地段，甚至进行掺灰固结，这种碾压或固结，将大大改变土壤的紧实程度，与原有的上松下紧结构相比，极不利于土壤的通气、透水作用，影响作物生长。</w:t>
            </w:r>
          </w:p>
          <w:p w14:paraId="542DB6EE">
            <w:pPr>
              <w:pStyle w:val="113"/>
              <w:rPr>
                <w:rFonts w:hint="eastAsia"/>
              </w:rPr>
            </w:pPr>
            <w:r>
              <w:rPr>
                <w:rFonts w:hint="eastAsia" w:cs="Calibri"/>
              </w:rPr>
              <w:t>②</w:t>
            </w:r>
            <w:r>
              <w:rPr>
                <w:rFonts w:ascii="Calibri" w:hAnsi="Calibri" w:cs="Calibri"/>
              </w:rPr>
              <w:t>土地肥力影响</w:t>
            </w:r>
          </w:p>
          <w:p w14:paraId="78CFA79E">
            <w:pPr>
              <w:pStyle w:val="113"/>
              <w:rPr>
                <w:rFonts w:hint="eastAsia"/>
              </w:rPr>
            </w:pPr>
            <w:r>
              <w:rPr>
                <w:rFonts w:ascii="Calibri" w:hAnsi="Calibri" w:cs="Calibri"/>
              </w:rPr>
              <w:t>自然土壤或农业土壤中的有机质、氮、磷、钾等养分含量，均表现为表土层远高于心土层；在土壤肥力的其他方面如紧实度、空隙性、适耕性、团粒结构含量等，也都表现为表土层优于心土层。施工期土方的开挖与回填，将扰动甚至打乱原土体构型，使土壤养分、水分含量及肥力状况受到较大的影响，影响植被正常生长。</w:t>
            </w:r>
          </w:p>
          <w:p w14:paraId="515E4C76">
            <w:pPr>
              <w:pStyle w:val="112"/>
              <w:ind w:firstLine="420"/>
              <w:rPr>
                <w:rFonts w:hint="eastAsia"/>
              </w:rPr>
            </w:pPr>
            <w:r>
              <w:rPr>
                <w:rFonts w:ascii="Calibri" w:hAnsi="Calibri" w:cs="Calibri"/>
              </w:rPr>
              <w:t>（</w:t>
            </w:r>
            <w:r>
              <w:t>7</w:t>
            </w:r>
            <w:r>
              <w:rPr>
                <w:rFonts w:ascii="Calibri" w:hAnsi="Calibri" w:cs="Calibri"/>
              </w:rPr>
              <w:t>）景观生态影响分析</w:t>
            </w:r>
          </w:p>
          <w:p w14:paraId="29A832A5">
            <w:pPr>
              <w:pStyle w:val="112"/>
              <w:ind w:firstLine="420"/>
              <w:rPr>
                <w:rFonts w:hint="eastAsia"/>
              </w:rPr>
            </w:pPr>
            <w:r>
              <w:rPr>
                <w:rFonts w:ascii="Calibri" w:hAnsi="Calibri" w:cs="Calibri"/>
              </w:rPr>
              <w:t>本项目仅涉及施工期和退役期，且施工时间较短，仅在施工期间改变原有的生态景观；施工期将进行填方施工，改变当地生态景观。施工结束后，各类污染物均妥善处置，并将现场设备等进行搬迁，恢复地表植被，避免对景观环境、土壤和水体造成影响；施工期结束后及时复垦，复垦后地形地貌与当地自然环境和景观相协调。</w:t>
            </w:r>
          </w:p>
          <w:p w14:paraId="34ABAD5F">
            <w:pPr>
              <w:pStyle w:val="113"/>
              <w:rPr>
                <w:rFonts w:hint="eastAsia"/>
              </w:rPr>
            </w:pPr>
            <w:r>
              <w:rPr>
                <w:rFonts w:hint="eastAsia"/>
              </w:rPr>
              <w:t>（</w:t>
            </w:r>
            <w:r>
              <w:t>8</w:t>
            </w:r>
            <w:r>
              <w:rPr>
                <w:rFonts w:hint="eastAsia"/>
              </w:rPr>
              <w:t>）生态避让措施</w:t>
            </w:r>
          </w:p>
          <w:p w14:paraId="3926EFA7">
            <w:pPr>
              <w:pStyle w:val="113"/>
              <w:rPr>
                <w:rFonts w:hint="eastAsia"/>
              </w:rPr>
            </w:pPr>
            <w:r>
              <w:rPr>
                <w:rFonts w:hint="eastAsia"/>
              </w:rPr>
              <w:t>①管理措施：尽量避让植被密集区域，并严格遵守油田环境保护规章制度，运输车辆及勘探车辆在划定的道路上通行，禁止乱辗乱轧，严禁捕猎野生动物、破坏野生动物巢穴。</w:t>
            </w:r>
          </w:p>
          <w:p w14:paraId="25C4A0DA">
            <w:pPr>
              <w:pStyle w:val="113"/>
              <w:rPr>
                <w:rFonts w:hint="eastAsia"/>
                <w:szCs w:val="21"/>
              </w:rPr>
            </w:pPr>
            <w:r>
              <w:rPr>
                <w:rFonts w:hint="eastAsia"/>
              </w:rPr>
              <w:t>②钻井废弃物采用不落地技术：钻井废弃物采用不落地技术，减少对周围土壤、植被的影响。</w:t>
            </w:r>
          </w:p>
          <w:p w14:paraId="035B941B">
            <w:pPr>
              <w:pStyle w:val="113"/>
              <w:rPr>
                <w:rFonts w:hint="eastAsia"/>
              </w:rPr>
            </w:pPr>
            <w:r>
              <w:rPr>
                <w:rFonts w:hint="eastAsia"/>
              </w:rPr>
              <w:t>③井场恢复措施：完井后施工现场禁止遗弃废物，固体废物全部妥善处置，井场应平整，施工结束后土地复垦。</w:t>
            </w:r>
          </w:p>
          <w:p w14:paraId="6B4D792B">
            <w:pPr>
              <w:pStyle w:val="112"/>
              <w:ind w:firstLine="420"/>
              <w:rPr>
                <w:rFonts w:hint="eastAsia"/>
                <w:bCs/>
              </w:rPr>
            </w:pPr>
            <w:r>
              <w:rPr>
                <w:rFonts w:hint="eastAsia"/>
                <w:bCs/>
              </w:rPr>
              <w:t>2、施工期大气环境影响分析</w:t>
            </w:r>
          </w:p>
          <w:p w14:paraId="162E4AA7">
            <w:pPr>
              <w:pStyle w:val="112"/>
              <w:ind w:firstLine="420"/>
              <w:rPr>
                <w:rFonts w:hint="eastAsia"/>
              </w:rPr>
            </w:pPr>
            <w:r>
              <w:rPr>
                <w:rFonts w:hint="eastAsia"/>
              </w:rPr>
              <w:t>本项目在施工期对环境空气的影响主要为：钻井期和试油期柴油机燃烧烟气、伴生气燃放废气、</w:t>
            </w:r>
            <w:r>
              <w:rPr>
                <w:rFonts w:ascii="Calibri" w:hAnsi="Calibri" w:cs="Calibri"/>
              </w:rPr>
              <w:t>施工机械尾气</w:t>
            </w:r>
            <w:r>
              <w:rPr>
                <w:rFonts w:hint="eastAsia"/>
              </w:rPr>
              <w:t>及施工扬尘。</w:t>
            </w:r>
          </w:p>
          <w:p w14:paraId="08F2AF08">
            <w:pPr>
              <w:pStyle w:val="112"/>
              <w:ind w:firstLine="420"/>
              <w:rPr>
                <w:rFonts w:hint="eastAsia"/>
              </w:rPr>
            </w:pPr>
            <w:r>
              <w:rPr>
                <w:rFonts w:hint="eastAsia"/>
              </w:rPr>
              <w:t>1）柴油机烟气和汽车尾气的影响分析</w:t>
            </w:r>
          </w:p>
          <w:p w14:paraId="61316885">
            <w:pPr>
              <w:pStyle w:val="103"/>
              <w:ind w:firstLine="420"/>
              <w:rPr>
                <w:rFonts w:hint="eastAsia"/>
                <w:sz w:val="21"/>
                <w:szCs w:val="21"/>
              </w:rPr>
            </w:pPr>
            <w:r>
              <w:rPr>
                <w:rFonts w:hint="eastAsia"/>
                <w:sz w:val="21"/>
                <w:szCs w:val="21"/>
              </w:rPr>
              <w:t>钻井柴油机（柴油发电机）等产生的尾气，其主要的污染物为总烃、NO</w:t>
            </w:r>
            <w:r>
              <w:rPr>
                <w:rFonts w:hint="eastAsia"/>
                <w:sz w:val="21"/>
                <w:szCs w:val="21"/>
                <w:vertAlign w:val="subscript"/>
              </w:rPr>
              <w:t>X</w:t>
            </w:r>
            <w:r>
              <w:rPr>
                <w:rFonts w:hint="eastAsia"/>
                <w:sz w:val="21"/>
                <w:szCs w:val="21"/>
              </w:rPr>
              <w:t>、SO</w:t>
            </w:r>
            <w:r>
              <w:rPr>
                <w:rFonts w:hint="eastAsia"/>
                <w:sz w:val="21"/>
                <w:szCs w:val="21"/>
                <w:vertAlign w:val="subscript"/>
              </w:rPr>
              <w:t>2</w:t>
            </w:r>
            <w:r>
              <w:rPr>
                <w:rFonts w:hint="eastAsia"/>
                <w:sz w:val="21"/>
                <w:szCs w:val="21"/>
              </w:rPr>
              <w:t>、烟尘等。</w:t>
            </w:r>
          </w:p>
          <w:p w14:paraId="3F83B35F">
            <w:pPr>
              <w:pStyle w:val="103"/>
              <w:ind w:firstLine="420"/>
              <w:rPr>
                <w:rFonts w:hint="eastAsia"/>
                <w:sz w:val="21"/>
                <w:szCs w:val="21"/>
              </w:rPr>
            </w:pPr>
            <w:r>
              <w:rPr>
                <w:rFonts w:hint="eastAsia"/>
                <w:sz w:val="21"/>
                <w:szCs w:val="21"/>
              </w:rPr>
              <w:t>本项目钻井期柴油消耗量3吨/天，钻井周期80d，钻井期消耗柴油约24</w:t>
            </w:r>
            <w:r>
              <w:rPr>
                <w:sz w:val="21"/>
                <w:szCs w:val="21"/>
              </w:rPr>
              <w:t>0t</w:t>
            </w:r>
            <w:r>
              <w:rPr>
                <w:rFonts w:hint="eastAsia"/>
                <w:sz w:val="21"/>
                <w:szCs w:val="21"/>
              </w:rPr>
              <w:t>；本项目试油期柴油消耗量</w:t>
            </w:r>
            <w:r>
              <w:rPr>
                <w:sz w:val="21"/>
                <w:szCs w:val="21"/>
              </w:rPr>
              <w:t>5</w:t>
            </w:r>
            <w:r>
              <w:rPr>
                <w:rFonts w:hint="eastAsia"/>
                <w:sz w:val="21"/>
                <w:szCs w:val="21"/>
              </w:rPr>
              <w:t>吨/天，试油周期80d，钻井期消耗柴油约4</w:t>
            </w:r>
            <w:r>
              <w:rPr>
                <w:sz w:val="21"/>
                <w:szCs w:val="21"/>
              </w:rPr>
              <w:t>00t</w:t>
            </w:r>
            <w:r>
              <w:rPr>
                <w:rFonts w:hint="eastAsia"/>
                <w:sz w:val="21"/>
                <w:szCs w:val="21"/>
              </w:rPr>
              <w:t>；柴油总消耗量约640t（考虑柴油密度为0.85t/m</w:t>
            </w:r>
            <w:r>
              <w:rPr>
                <w:rFonts w:hint="eastAsia"/>
                <w:sz w:val="21"/>
                <w:szCs w:val="21"/>
                <w:vertAlign w:val="superscript"/>
              </w:rPr>
              <w:t>3</w:t>
            </w:r>
            <w:r>
              <w:rPr>
                <w:rFonts w:hint="eastAsia"/>
                <w:sz w:val="21"/>
                <w:szCs w:val="21"/>
              </w:rPr>
              <w:t>，则共耗柴油体积为752.94m</w:t>
            </w:r>
            <w:r>
              <w:rPr>
                <w:rFonts w:hint="eastAsia"/>
                <w:sz w:val="21"/>
                <w:szCs w:val="21"/>
                <w:vertAlign w:val="superscript"/>
              </w:rPr>
              <w:t>3</w:t>
            </w:r>
            <w:r>
              <w:rPr>
                <w:rFonts w:hint="eastAsia"/>
                <w:sz w:val="21"/>
                <w:szCs w:val="21"/>
              </w:rPr>
              <w:t>）。根据相关教材给出的计算参数，柴油机污染物排放系数为：烟尘为0.714g/L，NO</w:t>
            </w:r>
            <w:r>
              <w:rPr>
                <w:rFonts w:hint="eastAsia"/>
                <w:sz w:val="21"/>
                <w:szCs w:val="21"/>
                <w:vertAlign w:val="subscript"/>
              </w:rPr>
              <w:t>X</w:t>
            </w:r>
            <w:r>
              <w:rPr>
                <w:rFonts w:hint="eastAsia"/>
                <w:sz w:val="21"/>
                <w:szCs w:val="21"/>
              </w:rPr>
              <w:t>为2.56g/L，总烃为1.489g/L。消耗1kg柴油按照产生20Nm</w:t>
            </w:r>
            <w:r>
              <w:rPr>
                <w:rFonts w:hint="eastAsia"/>
                <w:sz w:val="21"/>
                <w:szCs w:val="21"/>
                <w:vertAlign w:val="superscript"/>
              </w:rPr>
              <w:t>3</w:t>
            </w:r>
            <w:r>
              <w:rPr>
                <w:rFonts w:hint="eastAsia"/>
                <w:sz w:val="21"/>
                <w:szCs w:val="21"/>
              </w:rPr>
              <w:t>废气进行核算，则产生的废气量共</w:t>
            </w:r>
            <w:r>
              <w:rPr>
                <w:sz w:val="21"/>
                <w:szCs w:val="21"/>
              </w:rPr>
              <w:t>11.96</w:t>
            </w:r>
            <w:r>
              <w:rPr>
                <w:rFonts w:hint="eastAsia"/>
                <w:sz w:val="21"/>
                <w:szCs w:val="21"/>
              </w:rPr>
              <w:t>×10</w:t>
            </w:r>
            <w:r>
              <w:rPr>
                <w:sz w:val="21"/>
                <w:szCs w:val="21"/>
                <w:vertAlign w:val="superscript"/>
              </w:rPr>
              <w:t>7</w:t>
            </w:r>
            <w:r>
              <w:rPr>
                <w:rFonts w:hint="eastAsia"/>
                <w:sz w:val="21"/>
                <w:szCs w:val="21"/>
              </w:rPr>
              <w:t>Nm</w:t>
            </w:r>
            <w:r>
              <w:rPr>
                <w:rFonts w:hint="eastAsia"/>
                <w:sz w:val="21"/>
                <w:szCs w:val="21"/>
                <w:vertAlign w:val="superscript"/>
              </w:rPr>
              <w:t>3</w:t>
            </w:r>
            <w:r>
              <w:rPr>
                <w:rFonts w:hint="eastAsia"/>
                <w:sz w:val="21"/>
                <w:szCs w:val="21"/>
              </w:rPr>
              <w:t>。</w:t>
            </w:r>
          </w:p>
          <w:p w14:paraId="3A85236C">
            <w:pPr>
              <w:pStyle w:val="103"/>
              <w:ind w:firstLine="420"/>
              <w:rPr>
                <w:rFonts w:hint="eastAsia"/>
                <w:sz w:val="21"/>
                <w:szCs w:val="21"/>
              </w:rPr>
            </w:pPr>
            <w:r>
              <w:rPr>
                <w:rFonts w:hint="eastAsia"/>
                <w:sz w:val="21"/>
                <w:szCs w:val="21"/>
              </w:rPr>
              <w:t>根据《车用柴油》（GB 19147-2016/XG1-2018）中表3车用柴油（Ⅵ）技术要求和试验方法可知，车用柴油（Ⅵ）中硫含量不大于10mg/kg，即SO</w:t>
            </w:r>
            <w:r>
              <w:rPr>
                <w:rFonts w:hint="eastAsia"/>
                <w:sz w:val="21"/>
                <w:szCs w:val="21"/>
                <w:vertAlign w:val="subscript"/>
              </w:rPr>
              <w:t>2</w:t>
            </w:r>
            <w:r>
              <w:rPr>
                <w:rFonts w:hint="eastAsia"/>
                <w:sz w:val="21"/>
                <w:szCs w:val="21"/>
              </w:rPr>
              <w:t>排放系数为20g/t。</w:t>
            </w:r>
          </w:p>
          <w:p w14:paraId="20ACACE5">
            <w:pPr>
              <w:pStyle w:val="103"/>
              <w:ind w:firstLine="420"/>
              <w:rPr>
                <w:rFonts w:hint="eastAsia"/>
                <w:sz w:val="21"/>
                <w:szCs w:val="21"/>
              </w:rPr>
            </w:pPr>
            <w:r>
              <w:rPr>
                <w:rFonts w:hint="eastAsia"/>
                <w:sz w:val="21"/>
                <w:szCs w:val="21"/>
              </w:rPr>
              <w:t>柴油密度按照0.85t/m</w:t>
            </w:r>
            <w:r>
              <w:rPr>
                <w:rFonts w:hint="eastAsia"/>
                <w:sz w:val="21"/>
                <w:szCs w:val="21"/>
                <w:vertAlign w:val="superscript"/>
              </w:rPr>
              <w:t>3</w:t>
            </w:r>
            <w:r>
              <w:rPr>
                <w:rFonts w:hint="eastAsia"/>
                <w:sz w:val="21"/>
                <w:szCs w:val="21"/>
              </w:rPr>
              <w:t>计算，则排入大气中的污染物排放量见</w:t>
            </w:r>
            <w:r>
              <w:rPr>
                <w:sz w:val="21"/>
                <w:szCs w:val="21"/>
              </w:rPr>
              <w:fldChar w:fldCharType="begin"/>
            </w:r>
            <w:r>
              <w:rPr>
                <w:sz w:val="21"/>
                <w:szCs w:val="21"/>
              </w:rPr>
              <w:instrText xml:space="preserve"> </w:instrText>
            </w:r>
            <w:r>
              <w:rPr>
                <w:rFonts w:hint="eastAsia"/>
                <w:sz w:val="21"/>
                <w:szCs w:val="21"/>
              </w:rPr>
              <w:instrText xml:space="preserve">REF _Ref177024653 \h</w:instrText>
            </w:r>
            <w:r>
              <w:rPr>
                <w:sz w:val="21"/>
                <w:szCs w:val="21"/>
              </w:rPr>
              <w:instrText xml:space="preserve">  \* MERGEFORMAT </w:instrText>
            </w:r>
            <w:r>
              <w:rPr>
                <w:sz w:val="21"/>
                <w:szCs w:val="21"/>
              </w:rPr>
              <w:fldChar w:fldCharType="separate"/>
            </w:r>
            <w:r>
              <w:rPr>
                <w:rFonts w:hint="eastAsia"/>
                <w:sz w:val="21"/>
                <w:szCs w:val="21"/>
              </w:rPr>
              <w:t>表29</w:t>
            </w:r>
            <w:r>
              <w:rPr>
                <w:sz w:val="21"/>
                <w:szCs w:val="21"/>
              </w:rPr>
              <w:fldChar w:fldCharType="end"/>
            </w:r>
            <w:r>
              <w:rPr>
                <w:rFonts w:hint="eastAsia"/>
                <w:sz w:val="21"/>
                <w:szCs w:val="21"/>
              </w:rPr>
              <w:t>，施工期间排放的大气污染物将随施工的结束而消失。</w:t>
            </w:r>
          </w:p>
          <w:p w14:paraId="1B718BAF">
            <w:pPr>
              <w:adjustRightInd w:val="0"/>
              <w:snapToGrid w:val="0"/>
              <w:spacing w:before="120" w:beforeLines="50" w:line="360" w:lineRule="auto"/>
              <w:jc w:val="center"/>
              <w:rPr>
                <w:rFonts w:hint="eastAsia" w:ascii="宋体" w:hAnsi="宋体"/>
                <w:bCs/>
                <w:szCs w:val="21"/>
              </w:rPr>
            </w:pPr>
            <w:bookmarkStart w:id="51" w:name="_Ref177024653"/>
            <w:r>
              <w:rPr>
                <w:rFonts w:hint="eastAsia" w:ascii="宋体" w:hAnsi="宋体"/>
              </w:rPr>
              <w:t>表</w:t>
            </w:r>
            <w:r>
              <w:rPr>
                <w:rFonts w:ascii="宋体" w:hAnsi="宋体"/>
              </w:rPr>
              <w:fldChar w:fldCharType="begin"/>
            </w:r>
            <w:r>
              <w:rPr>
                <w:rFonts w:ascii="宋体" w:hAnsi="宋体"/>
              </w:rPr>
              <w:instrText xml:space="preserve"> </w:instrText>
            </w:r>
            <w:r>
              <w:rPr>
                <w:rFonts w:hint="eastAsia" w:ascii="宋体" w:hAnsi="宋体"/>
              </w:rPr>
              <w:instrText xml:space="preserve">SEQ 表 \* ARABIC</w:instrText>
            </w:r>
            <w:r>
              <w:rPr>
                <w:rFonts w:ascii="宋体" w:hAnsi="宋体"/>
              </w:rPr>
              <w:instrText xml:space="preserve"> </w:instrText>
            </w:r>
            <w:r>
              <w:rPr>
                <w:rFonts w:ascii="宋体" w:hAnsi="宋体"/>
              </w:rPr>
              <w:fldChar w:fldCharType="separate"/>
            </w:r>
            <w:r>
              <w:rPr>
                <w:rFonts w:hint="eastAsia" w:ascii="宋体" w:hAnsi="宋体"/>
              </w:rPr>
              <w:t>29</w:t>
            </w:r>
            <w:r>
              <w:rPr>
                <w:rFonts w:ascii="宋体" w:hAnsi="宋体"/>
              </w:rPr>
              <w:fldChar w:fldCharType="end"/>
            </w:r>
            <w:bookmarkEnd w:id="51"/>
            <w:r>
              <w:rPr>
                <w:rFonts w:ascii="宋体" w:hAnsi="宋体"/>
              </w:rPr>
              <w:t xml:space="preserve">  </w:t>
            </w:r>
            <w:r>
              <w:rPr>
                <w:rFonts w:hint="eastAsia" w:ascii="宋体" w:hAnsi="宋体"/>
                <w:bCs/>
              </w:rPr>
              <w:t>钻井期柴油机尾气排放情况一览表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1373"/>
              <w:gridCol w:w="1373"/>
              <w:gridCol w:w="1373"/>
              <w:gridCol w:w="1373"/>
            </w:tblGrid>
            <w:tr w14:paraId="5C34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5" w:type="pct"/>
                  <w:tcBorders>
                    <w:top w:val="single" w:color="auto" w:sz="4" w:space="0"/>
                    <w:left w:val="single" w:color="auto" w:sz="4" w:space="0"/>
                    <w:bottom w:val="single" w:color="auto" w:sz="4" w:space="0"/>
                    <w:right w:val="single" w:color="auto" w:sz="4" w:space="0"/>
                  </w:tcBorders>
                  <w:vAlign w:val="center"/>
                </w:tcPr>
                <w:p w14:paraId="6E087EC8">
                  <w:pPr>
                    <w:widowControl/>
                    <w:adjustRightInd w:val="0"/>
                    <w:snapToGrid w:val="0"/>
                    <w:jc w:val="center"/>
                    <w:rPr>
                      <w:rFonts w:hint="eastAsia" w:ascii="宋体" w:hAnsi="宋体"/>
                    </w:rPr>
                  </w:pPr>
                  <w:r>
                    <w:rPr>
                      <w:rFonts w:hint="eastAsia" w:ascii="宋体" w:hAnsi="宋体"/>
                    </w:rPr>
                    <w:t>污染物名称</w:t>
                  </w:r>
                </w:p>
              </w:tc>
              <w:tc>
                <w:tcPr>
                  <w:tcW w:w="881" w:type="pct"/>
                  <w:tcBorders>
                    <w:top w:val="single" w:color="auto" w:sz="4" w:space="0"/>
                    <w:left w:val="nil"/>
                    <w:bottom w:val="single" w:color="auto" w:sz="4" w:space="0"/>
                    <w:right w:val="single" w:color="auto" w:sz="4" w:space="0"/>
                  </w:tcBorders>
                  <w:vAlign w:val="center"/>
                </w:tcPr>
                <w:p w14:paraId="56F4A010">
                  <w:pPr>
                    <w:widowControl/>
                    <w:adjustRightInd w:val="0"/>
                    <w:snapToGrid w:val="0"/>
                    <w:jc w:val="center"/>
                    <w:rPr>
                      <w:rFonts w:hint="eastAsia" w:ascii="宋体" w:hAnsi="宋体"/>
                    </w:rPr>
                  </w:pPr>
                  <w:r>
                    <w:rPr>
                      <w:rFonts w:hint="eastAsia" w:ascii="宋体" w:hAnsi="宋体"/>
                    </w:rPr>
                    <w:t>总烃</w:t>
                  </w:r>
                </w:p>
              </w:tc>
              <w:tc>
                <w:tcPr>
                  <w:tcW w:w="881" w:type="pct"/>
                  <w:tcBorders>
                    <w:top w:val="single" w:color="auto" w:sz="4" w:space="0"/>
                    <w:left w:val="nil"/>
                    <w:bottom w:val="single" w:color="auto" w:sz="4" w:space="0"/>
                    <w:right w:val="single" w:color="auto" w:sz="4" w:space="0"/>
                  </w:tcBorders>
                  <w:vAlign w:val="center"/>
                </w:tcPr>
                <w:p w14:paraId="01AD64C0">
                  <w:pPr>
                    <w:widowControl/>
                    <w:adjustRightInd w:val="0"/>
                    <w:snapToGrid w:val="0"/>
                    <w:jc w:val="center"/>
                    <w:rPr>
                      <w:rFonts w:hint="eastAsia" w:ascii="宋体" w:hAnsi="宋体"/>
                    </w:rPr>
                  </w:pPr>
                  <w:r>
                    <w:rPr>
                      <w:rFonts w:hint="eastAsia" w:ascii="宋体" w:hAnsi="宋体"/>
                    </w:rPr>
                    <w:t>NO</w:t>
                  </w:r>
                  <w:r>
                    <w:rPr>
                      <w:rFonts w:hint="eastAsia" w:ascii="宋体" w:hAnsi="宋体"/>
                      <w:vertAlign w:val="subscript"/>
                    </w:rPr>
                    <w:t>X</w:t>
                  </w:r>
                </w:p>
              </w:tc>
              <w:tc>
                <w:tcPr>
                  <w:tcW w:w="881" w:type="pct"/>
                  <w:tcBorders>
                    <w:top w:val="single" w:color="auto" w:sz="4" w:space="0"/>
                    <w:left w:val="nil"/>
                    <w:bottom w:val="single" w:color="auto" w:sz="4" w:space="0"/>
                    <w:right w:val="single" w:color="auto" w:sz="4" w:space="0"/>
                  </w:tcBorders>
                  <w:vAlign w:val="center"/>
                </w:tcPr>
                <w:p w14:paraId="73FED28B">
                  <w:pPr>
                    <w:widowControl/>
                    <w:adjustRightInd w:val="0"/>
                    <w:snapToGrid w:val="0"/>
                    <w:jc w:val="center"/>
                    <w:rPr>
                      <w:rFonts w:hint="eastAsia" w:ascii="宋体" w:hAnsi="宋体"/>
                    </w:rPr>
                  </w:pPr>
                  <w:r>
                    <w:rPr>
                      <w:rFonts w:hint="eastAsia" w:ascii="宋体" w:hAnsi="宋体"/>
                    </w:rPr>
                    <w:t>SO</w:t>
                  </w:r>
                  <w:r>
                    <w:rPr>
                      <w:rFonts w:hint="eastAsia" w:ascii="宋体" w:hAnsi="宋体"/>
                      <w:vertAlign w:val="subscript"/>
                    </w:rPr>
                    <w:t>2</w:t>
                  </w:r>
                </w:p>
              </w:tc>
              <w:tc>
                <w:tcPr>
                  <w:tcW w:w="881" w:type="pct"/>
                  <w:tcBorders>
                    <w:top w:val="single" w:color="auto" w:sz="4" w:space="0"/>
                    <w:left w:val="nil"/>
                    <w:bottom w:val="single" w:color="auto" w:sz="4" w:space="0"/>
                    <w:right w:val="single" w:color="auto" w:sz="4" w:space="0"/>
                  </w:tcBorders>
                  <w:vAlign w:val="center"/>
                </w:tcPr>
                <w:p w14:paraId="11E01291">
                  <w:pPr>
                    <w:widowControl/>
                    <w:adjustRightInd w:val="0"/>
                    <w:snapToGrid w:val="0"/>
                    <w:jc w:val="center"/>
                    <w:rPr>
                      <w:rFonts w:hint="eastAsia" w:ascii="宋体" w:hAnsi="宋体"/>
                    </w:rPr>
                  </w:pPr>
                  <w:r>
                    <w:rPr>
                      <w:rFonts w:hint="eastAsia" w:ascii="宋体" w:hAnsi="宋体"/>
                    </w:rPr>
                    <w:t>烟尘</w:t>
                  </w:r>
                </w:p>
              </w:tc>
            </w:tr>
            <w:tr w14:paraId="1C8F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5" w:type="pct"/>
                  <w:tcBorders>
                    <w:top w:val="single" w:color="auto" w:sz="4" w:space="0"/>
                    <w:left w:val="single" w:color="auto" w:sz="4" w:space="0"/>
                    <w:bottom w:val="single" w:color="auto" w:sz="4" w:space="0"/>
                    <w:right w:val="single" w:color="auto" w:sz="4" w:space="0"/>
                  </w:tcBorders>
                  <w:vAlign w:val="center"/>
                </w:tcPr>
                <w:p w14:paraId="76E7446C">
                  <w:pPr>
                    <w:widowControl/>
                    <w:adjustRightInd w:val="0"/>
                    <w:snapToGrid w:val="0"/>
                    <w:jc w:val="center"/>
                    <w:rPr>
                      <w:rFonts w:hint="eastAsia" w:ascii="宋体" w:hAnsi="宋体"/>
                    </w:rPr>
                  </w:pPr>
                  <w:r>
                    <w:rPr>
                      <w:rFonts w:hint="eastAsia" w:ascii="宋体" w:hAnsi="宋体"/>
                    </w:rPr>
                    <w:t>大气污染物排放量（t）</w:t>
                  </w:r>
                </w:p>
              </w:tc>
              <w:tc>
                <w:tcPr>
                  <w:tcW w:w="881" w:type="pct"/>
                  <w:tcBorders>
                    <w:top w:val="single" w:color="auto" w:sz="4" w:space="0"/>
                    <w:left w:val="nil"/>
                    <w:bottom w:val="single" w:color="auto" w:sz="4" w:space="0"/>
                    <w:right w:val="single" w:color="auto" w:sz="4" w:space="0"/>
                  </w:tcBorders>
                  <w:vAlign w:val="center"/>
                </w:tcPr>
                <w:p w14:paraId="2138E8AF">
                  <w:pPr>
                    <w:pStyle w:val="87"/>
                    <w:rPr>
                      <w:rFonts w:hint="eastAsia" w:hAnsi="宋体"/>
                    </w:rPr>
                  </w:pPr>
                  <w:r>
                    <w:t>1.</w:t>
                  </w:r>
                  <w:r>
                    <w:rPr>
                      <w:rFonts w:hint="eastAsia"/>
                    </w:rPr>
                    <w:t>121</w:t>
                  </w:r>
                </w:p>
              </w:tc>
              <w:tc>
                <w:tcPr>
                  <w:tcW w:w="881" w:type="pct"/>
                  <w:tcBorders>
                    <w:top w:val="single" w:color="auto" w:sz="4" w:space="0"/>
                    <w:left w:val="nil"/>
                    <w:bottom w:val="single" w:color="auto" w:sz="4" w:space="0"/>
                    <w:right w:val="single" w:color="auto" w:sz="4" w:space="0"/>
                  </w:tcBorders>
                  <w:vAlign w:val="center"/>
                </w:tcPr>
                <w:p w14:paraId="1F434862">
                  <w:pPr>
                    <w:pStyle w:val="87"/>
                  </w:pPr>
                  <w:r>
                    <w:t>1.</w:t>
                  </w:r>
                  <w:r>
                    <w:rPr>
                      <w:rFonts w:hint="eastAsia"/>
                    </w:rPr>
                    <w:t>928</w:t>
                  </w:r>
                </w:p>
              </w:tc>
              <w:tc>
                <w:tcPr>
                  <w:tcW w:w="881" w:type="pct"/>
                  <w:tcBorders>
                    <w:top w:val="single" w:color="auto" w:sz="4" w:space="0"/>
                    <w:left w:val="nil"/>
                    <w:bottom w:val="single" w:color="auto" w:sz="4" w:space="0"/>
                    <w:right w:val="single" w:color="auto" w:sz="4" w:space="0"/>
                  </w:tcBorders>
                  <w:vAlign w:val="center"/>
                </w:tcPr>
                <w:p w14:paraId="733CA407">
                  <w:pPr>
                    <w:pStyle w:val="87"/>
                  </w:pPr>
                  <w:r>
                    <w:t>0.01</w:t>
                  </w:r>
                  <w:r>
                    <w:rPr>
                      <w:rFonts w:hint="eastAsia"/>
                    </w:rPr>
                    <w:t>3</w:t>
                  </w:r>
                </w:p>
              </w:tc>
              <w:tc>
                <w:tcPr>
                  <w:tcW w:w="881" w:type="pct"/>
                  <w:tcBorders>
                    <w:top w:val="single" w:color="auto" w:sz="4" w:space="0"/>
                    <w:left w:val="nil"/>
                    <w:bottom w:val="single" w:color="auto" w:sz="4" w:space="0"/>
                    <w:right w:val="single" w:color="auto" w:sz="4" w:space="0"/>
                  </w:tcBorders>
                  <w:vAlign w:val="center"/>
                </w:tcPr>
                <w:p w14:paraId="786D84DE">
                  <w:pPr>
                    <w:pStyle w:val="87"/>
                  </w:pPr>
                  <w:r>
                    <w:t>0.5</w:t>
                  </w:r>
                  <w:r>
                    <w:rPr>
                      <w:rFonts w:hint="eastAsia"/>
                    </w:rPr>
                    <w:t>38</w:t>
                  </w:r>
                </w:p>
              </w:tc>
            </w:tr>
            <w:tr w14:paraId="36BD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5" w:type="pct"/>
                  <w:tcBorders>
                    <w:top w:val="single" w:color="auto" w:sz="4" w:space="0"/>
                    <w:left w:val="single" w:color="auto" w:sz="4" w:space="0"/>
                    <w:bottom w:val="single" w:color="auto" w:sz="4" w:space="0"/>
                    <w:right w:val="single" w:color="auto" w:sz="4" w:space="0"/>
                  </w:tcBorders>
                  <w:vAlign w:val="center"/>
                </w:tcPr>
                <w:p w14:paraId="3EC6C675">
                  <w:pPr>
                    <w:widowControl/>
                    <w:adjustRightInd w:val="0"/>
                    <w:snapToGrid w:val="0"/>
                    <w:jc w:val="center"/>
                    <w:rPr>
                      <w:rFonts w:hint="eastAsia" w:ascii="宋体" w:hAnsi="宋体"/>
                    </w:rPr>
                  </w:pPr>
                  <w:r>
                    <w:rPr>
                      <w:rFonts w:hint="eastAsia" w:ascii="宋体" w:hAnsi="宋体"/>
                    </w:rPr>
                    <w:t>排放浓度（mg/m</w:t>
                  </w:r>
                  <w:r>
                    <w:rPr>
                      <w:rFonts w:hint="eastAsia" w:ascii="宋体" w:hAnsi="宋体"/>
                      <w:vertAlign w:val="superscript"/>
                    </w:rPr>
                    <w:t>3</w:t>
                  </w:r>
                  <w:r>
                    <w:rPr>
                      <w:rFonts w:hint="eastAsia" w:ascii="宋体" w:hAnsi="宋体"/>
                    </w:rPr>
                    <w:t>）</w:t>
                  </w:r>
                </w:p>
              </w:tc>
              <w:tc>
                <w:tcPr>
                  <w:tcW w:w="881" w:type="pct"/>
                  <w:tcBorders>
                    <w:top w:val="single" w:color="auto" w:sz="4" w:space="0"/>
                    <w:left w:val="nil"/>
                    <w:bottom w:val="single" w:color="auto" w:sz="4" w:space="0"/>
                    <w:right w:val="single" w:color="auto" w:sz="4" w:space="0"/>
                  </w:tcBorders>
                  <w:vAlign w:val="center"/>
                </w:tcPr>
                <w:p w14:paraId="6AB855A9">
                  <w:pPr>
                    <w:pStyle w:val="87"/>
                    <w:rPr>
                      <w:rFonts w:hint="eastAsia" w:hAnsi="宋体"/>
                    </w:rPr>
                  </w:pPr>
                  <w:r>
                    <w:rPr>
                      <w:rFonts w:hint="eastAsia"/>
                    </w:rPr>
                    <w:t>87.59</w:t>
                  </w:r>
                </w:p>
              </w:tc>
              <w:tc>
                <w:tcPr>
                  <w:tcW w:w="881" w:type="pct"/>
                  <w:tcBorders>
                    <w:top w:val="single" w:color="auto" w:sz="4" w:space="0"/>
                    <w:left w:val="nil"/>
                    <w:bottom w:val="single" w:color="auto" w:sz="4" w:space="0"/>
                    <w:right w:val="single" w:color="auto" w:sz="4" w:space="0"/>
                  </w:tcBorders>
                  <w:vAlign w:val="center"/>
                </w:tcPr>
                <w:p w14:paraId="3CBB2875">
                  <w:pPr>
                    <w:pStyle w:val="87"/>
                  </w:pPr>
                  <w:r>
                    <w:rPr>
                      <w:rFonts w:hint="eastAsia"/>
                    </w:rPr>
                    <w:t>150.59</w:t>
                  </w:r>
                </w:p>
              </w:tc>
              <w:tc>
                <w:tcPr>
                  <w:tcW w:w="881" w:type="pct"/>
                  <w:tcBorders>
                    <w:top w:val="single" w:color="auto" w:sz="4" w:space="0"/>
                    <w:left w:val="nil"/>
                    <w:bottom w:val="single" w:color="auto" w:sz="4" w:space="0"/>
                    <w:right w:val="single" w:color="auto" w:sz="4" w:space="0"/>
                  </w:tcBorders>
                  <w:vAlign w:val="center"/>
                </w:tcPr>
                <w:p w14:paraId="730BF834">
                  <w:pPr>
                    <w:pStyle w:val="87"/>
                  </w:pPr>
                  <w:r>
                    <w:rPr>
                      <w:rFonts w:hint="eastAsia"/>
                    </w:rPr>
                    <w:t>1.00</w:t>
                  </w:r>
                </w:p>
              </w:tc>
              <w:tc>
                <w:tcPr>
                  <w:tcW w:w="881" w:type="pct"/>
                  <w:tcBorders>
                    <w:top w:val="single" w:color="auto" w:sz="4" w:space="0"/>
                    <w:left w:val="nil"/>
                    <w:bottom w:val="single" w:color="auto" w:sz="4" w:space="0"/>
                    <w:right w:val="single" w:color="auto" w:sz="4" w:space="0"/>
                  </w:tcBorders>
                  <w:vAlign w:val="center"/>
                </w:tcPr>
                <w:p w14:paraId="2D3DCBB7">
                  <w:pPr>
                    <w:pStyle w:val="87"/>
                  </w:pPr>
                  <w:r>
                    <w:rPr>
                      <w:rFonts w:hint="eastAsia"/>
                    </w:rPr>
                    <w:t>42.00</w:t>
                  </w:r>
                </w:p>
              </w:tc>
            </w:tr>
          </w:tbl>
          <w:p w14:paraId="0D2E64B4">
            <w:pPr>
              <w:pStyle w:val="103"/>
              <w:ind w:firstLine="420"/>
              <w:rPr>
                <w:rFonts w:hint="eastAsia" w:cs="宋体"/>
                <w:sz w:val="21"/>
                <w:szCs w:val="21"/>
              </w:rPr>
            </w:pPr>
            <w:r>
              <w:rPr>
                <w:rFonts w:hint="eastAsia"/>
                <w:sz w:val="21"/>
                <w:szCs w:val="21"/>
              </w:rPr>
              <w:t xml:space="preserve"> </w:t>
            </w:r>
          </w:p>
          <w:p w14:paraId="47DA15B2">
            <w:pPr>
              <w:pStyle w:val="112"/>
              <w:ind w:firstLine="420"/>
              <w:rPr>
                <w:rFonts w:hint="eastAsia"/>
              </w:rPr>
            </w:pPr>
            <w:r>
              <w:rPr>
                <w:rFonts w:hint="eastAsia"/>
              </w:rPr>
              <w:t>根据《关于柴油发电机排气执行标准的复函》（环函</w:t>
            </w:r>
            <w:r>
              <w:t>[2005]350</w:t>
            </w:r>
            <w:r>
              <w:rPr>
                <w:rFonts w:hint="eastAsia"/>
              </w:rPr>
              <w:t>号），柴油发电机参照《大气污染物综合排放标准》（</w:t>
            </w:r>
            <w:r>
              <w:t>GB 16297-1996</w:t>
            </w:r>
            <w:r>
              <w:rPr>
                <w:rFonts w:hint="eastAsia"/>
              </w:rPr>
              <w:t>）中表</w:t>
            </w:r>
            <w:r>
              <w:t>2</w:t>
            </w:r>
            <w:r>
              <w:rPr>
                <w:rFonts w:hint="eastAsia"/>
              </w:rPr>
              <w:t>标准。本项目钻井机械为柴油机，工作原理与柴油发电机相同，排放标准参照《大气污染物综合排放标准》（</w:t>
            </w:r>
            <w:r>
              <w:t>GB 16297-1996</w:t>
            </w:r>
            <w:r>
              <w:rPr>
                <w:rFonts w:hint="eastAsia"/>
              </w:rPr>
              <w:t>）表</w:t>
            </w:r>
            <w:r>
              <w:t>2</w:t>
            </w:r>
            <w:r>
              <w:rPr>
                <w:rFonts w:hint="eastAsia"/>
              </w:rPr>
              <w:t>中标准，对其排放的</w:t>
            </w:r>
            <w:r>
              <w:t>SO</w:t>
            </w:r>
            <w:r>
              <w:rPr>
                <w:vertAlign w:val="subscript"/>
              </w:rPr>
              <w:t>2</w:t>
            </w:r>
            <w:r>
              <w:rPr>
                <w:rFonts w:hint="eastAsia"/>
              </w:rPr>
              <w:t>、</w:t>
            </w:r>
            <w:r>
              <w:t>NO</w:t>
            </w:r>
            <w:r>
              <w:rPr>
                <w:vertAlign w:val="subscript"/>
              </w:rPr>
              <w:t>X</w:t>
            </w:r>
            <w:r>
              <w:rPr>
                <w:rFonts w:hint="eastAsia"/>
              </w:rPr>
              <w:t>、烟尘等污染物进行控制（即</w:t>
            </w:r>
            <w:r>
              <w:t>SO</w:t>
            </w:r>
            <w:r>
              <w:rPr>
                <w:vertAlign w:val="subscript"/>
              </w:rPr>
              <w:t>2</w:t>
            </w:r>
            <w:r>
              <w:rPr>
                <w:rFonts w:hint="eastAsia"/>
              </w:rPr>
              <w:t>≤</w:t>
            </w:r>
            <w:r>
              <w:t>550mg/m</w:t>
            </w:r>
            <w:r>
              <w:rPr>
                <w:vertAlign w:val="superscript"/>
              </w:rPr>
              <w:t>3</w:t>
            </w:r>
            <w:r>
              <w:rPr>
                <w:rFonts w:hint="eastAsia"/>
              </w:rPr>
              <w:t>、</w:t>
            </w:r>
            <w:r>
              <w:t>NO</w:t>
            </w:r>
            <w:r>
              <w:rPr>
                <w:vertAlign w:val="subscript"/>
              </w:rPr>
              <w:t>x</w:t>
            </w:r>
            <w:r>
              <w:rPr>
                <w:rFonts w:hint="eastAsia"/>
              </w:rPr>
              <w:t>≤</w:t>
            </w:r>
            <w:r>
              <w:t>240mg/m</w:t>
            </w:r>
            <w:r>
              <w:rPr>
                <w:vertAlign w:val="superscript"/>
              </w:rPr>
              <w:t>3</w:t>
            </w:r>
            <w:r>
              <w:rPr>
                <w:rFonts w:hint="eastAsia"/>
              </w:rPr>
              <w:t>、烟尘≤</w:t>
            </w:r>
            <w:r>
              <w:t>120mg/m</w:t>
            </w:r>
            <w:r>
              <w:rPr>
                <w:vertAlign w:val="superscript"/>
              </w:rPr>
              <w:t>3</w:t>
            </w:r>
            <w:r>
              <w:rPr>
                <w:rFonts w:hint="eastAsia"/>
              </w:rPr>
              <w:t>）。</w:t>
            </w:r>
            <w:r>
              <w:t>NO</w:t>
            </w:r>
            <w:r>
              <w:rPr>
                <w:vertAlign w:val="subscript"/>
              </w:rPr>
              <w:t>X</w:t>
            </w:r>
            <w:r>
              <w:rPr>
                <w:rFonts w:hint="eastAsia"/>
              </w:rPr>
              <w:t>同时满足《非道路移动机械用柴油机排气污染物排放限值及测量方法（中国第三、四阶段）》（</w:t>
            </w:r>
            <w:r>
              <w:t>GB 20891-2014</w:t>
            </w:r>
            <w:r>
              <w:rPr>
                <w:rFonts w:hint="eastAsia"/>
              </w:rPr>
              <w:t>）表</w:t>
            </w:r>
            <w:r>
              <w:t>2</w:t>
            </w:r>
            <w:r>
              <w:rPr>
                <w:rFonts w:hint="eastAsia"/>
              </w:rPr>
              <w:t>中排放限值的要求。因此，本项目柴油机废气可以达标排放。</w:t>
            </w:r>
          </w:p>
          <w:p w14:paraId="147F325F">
            <w:pPr>
              <w:pStyle w:val="112"/>
              <w:ind w:firstLine="420"/>
              <w:rPr>
                <w:rFonts w:hint="eastAsia"/>
              </w:rPr>
            </w:pPr>
            <w:r>
              <w:rPr>
                <w:rFonts w:hint="eastAsia"/>
              </w:rPr>
              <w:t>2）伴生气燃放废气的影响分析</w:t>
            </w:r>
          </w:p>
          <w:p w14:paraId="6EBC1EC8">
            <w:pPr>
              <w:pStyle w:val="112"/>
              <w:ind w:firstLine="420"/>
              <w:rPr>
                <w:rFonts w:hint="eastAsia"/>
                <w:kern w:val="0"/>
              </w:rPr>
            </w:pPr>
            <w:bookmarkStart w:id="52" w:name="_Ref73585805"/>
            <w:bookmarkEnd w:id="52"/>
            <w:bookmarkStart w:id="53" w:name="_Ref56777850"/>
            <w:bookmarkEnd w:id="53"/>
            <w:r>
              <w:rPr>
                <w:rFonts w:hint="eastAsia"/>
                <w:kern w:val="0"/>
              </w:rPr>
              <w:t>本项目施工过程中可能会出现油层伴生气排出地面的情况，伴生气经过液气分离后通过放喷池点火排放。由于勘探前油藏情况未明，伴生气产生量无法确定，根据周边探井试油情况推断，本项目伴生气产生量较少且不具备收集条件，因此配置2座放喷池确保伴生气充分燃烧，符合《陆上石油天然气开采工业大气污染物排放标准》（GB 39728—2020）中规定的其他排放控制要求。由于伴生气放空燃烧属短期排放且产生量较少，因此伴生气燃放废气对环境的影响可以接受。</w:t>
            </w:r>
          </w:p>
          <w:p w14:paraId="41F5C84E">
            <w:pPr>
              <w:pStyle w:val="112"/>
              <w:ind w:firstLine="420"/>
              <w:rPr>
                <w:rFonts w:hint="eastAsia"/>
              </w:rPr>
            </w:pPr>
            <w:r>
              <w:t>3</w:t>
            </w:r>
            <w:r>
              <w:rPr>
                <w:rFonts w:ascii="Calibri" w:hAnsi="Calibri" w:cs="Calibri"/>
              </w:rPr>
              <w:t>）</w:t>
            </w:r>
            <w:bookmarkStart w:id="54" w:name="OLE_LINK18"/>
            <w:r>
              <w:rPr>
                <w:rFonts w:ascii="Calibri" w:hAnsi="Calibri" w:cs="Calibri"/>
              </w:rPr>
              <w:t>施工机械尾气影响分析</w:t>
            </w:r>
            <w:bookmarkEnd w:id="54"/>
          </w:p>
          <w:p w14:paraId="0D1236AD">
            <w:pPr>
              <w:adjustRightInd w:val="0"/>
              <w:snapToGrid w:val="0"/>
              <w:spacing w:line="328" w:lineRule="auto"/>
              <w:ind w:firstLine="420" w:firstLineChars="200"/>
              <w:rPr>
                <w:rFonts w:hint="eastAsia" w:ascii="宋体" w:hAnsi="宋体"/>
                <w:kern w:val="0"/>
              </w:rPr>
            </w:pPr>
            <w:r>
              <w:rPr>
                <w:kern w:val="0"/>
              </w:rPr>
              <w:t>施工期，运输汽车等大型机械施工中，由于使用柴油机等设备，将产生燃烧烟气，主要污染物为</w:t>
            </w:r>
            <w:r>
              <w:rPr>
                <w:rFonts w:ascii="宋体" w:hAnsi="宋体"/>
                <w:kern w:val="0"/>
              </w:rPr>
              <w:t>SO</w:t>
            </w:r>
            <w:r>
              <w:rPr>
                <w:rFonts w:ascii="宋体" w:hAnsi="宋体"/>
                <w:kern w:val="0"/>
                <w:vertAlign w:val="subscript"/>
              </w:rPr>
              <w:t>2</w:t>
            </w:r>
            <w:r>
              <w:rPr>
                <w:kern w:val="0"/>
              </w:rPr>
              <w:t>、</w:t>
            </w:r>
            <w:r>
              <w:rPr>
                <w:rFonts w:ascii="宋体" w:hAnsi="宋体"/>
                <w:kern w:val="0"/>
              </w:rPr>
              <w:t>NO</w:t>
            </w:r>
            <w:r>
              <w:rPr>
                <w:rFonts w:ascii="宋体" w:hAnsi="宋体"/>
                <w:kern w:val="0"/>
                <w:vertAlign w:val="subscript"/>
              </w:rPr>
              <w:t>2</w:t>
            </w:r>
            <w:r>
              <w:rPr>
                <w:kern w:val="0"/>
              </w:rPr>
              <w:t>、</w:t>
            </w:r>
            <w:r>
              <w:rPr>
                <w:rFonts w:ascii="宋体" w:hAnsi="宋体"/>
                <w:kern w:val="0"/>
              </w:rPr>
              <w:t>C</w:t>
            </w:r>
            <w:r>
              <w:rPr>
                <w:rFonts w:ascii="宋体" w:hAnsi="宋体"/>
                <w:kern w:val="0"/>
                <w:vertAlign w:val="subscript"/>
              </w:rPr>
              <w:t>m</w:t>
            </w:r>
            <w:r>
              <w:rPr>
                <w:rFonts w:ascii="宋体" w:hAnsi="宋体"/>
                <w:kern w:val="0"/>
              </w:rPr>
              <w:t>H</w:t>
            </w:r>
            <w:r>
              <w:rPr>
                <w:rFonts w:ascii="宋体" w:hAnsi="宋体"/>
                <w:kern w:val="0"/>
                <w:vertAlign w:val="subscript"/>
              </w:rPr>
              <w:t>n</w:t>
            </w:r>
            <w:r>
              <w:rPr>
                <w:kern w:val="0"/>
              </w:rPr>
              <w:t>等。但由于废气量较小，同时废气污染源具有间歇性和流动性，因此对周围大气环境影响较轻。</w:t>
            </w:r>
          </w:p>
          <w:p w14:paraId="0EC83243">
            <w:pPr>
              <w:adjustRightInd w:val="0"/>
              <w:snapToGrid w:val="0"/>
              <w:spacing w:line="328" w:lineRule="auto"/>
              <w:ind w:firstLine="420" w:firstLineChars="200"/>
              <w:rPr>
                <w:rFonts w:hint="eastAsia" w:ascii="宋体" w:hAnsi="宋体"/>
                <w:kern w:val="0"/>
              </w:rPr>
            </w:pPr>
            <w:r>
              <w:rPr>
                <w:kern w:val="0"/>
              </w:rPr>
              <w:t>另外，建设单位应按照《非道路移动机械污染防治技术政策》（环境部公告〔</w:t>
            </w:r>
            <w:r>
              <w:rPr>
                <w:rFonts w:ascii="宋体" w:hAnsi="宋体"/>
                <w:kern w:val="0"/>
              </w:rPr>
              <w:t>2018</w:t>
            </w:r>
            <w:r>
              <w:rPr>
                <w:kern w:val="0"/>
              </w:rPr>
              <w:t>〕</w:t>
            </w:r>
            <w:r>
              <w:rPr>
                <w:rFonts w:ascii="宋体" w:hAnsi="宋体"/>
                <w:kern w:val="0"/>
              </w:rPr>
              <w:t>34</w:t>
            </w:r>
            <w:r>
              <w:rPr>
                <w:kern w:val="0"/>
              </w:rPr>
              <w:t>号）</w:t>
            </w:r>
            <w:r>
              <w:rPr>
                <w:rFonts w:hint="eastAsia"/>
                <w:kern w:val="0"/>
              </w:rPr>
              <w:t>、《非道路柴油移动机械污染物排放控制技术要求》（</w:t>
            </w:r>
            <w:r>
              <w:rPr>
                <w:rFonts w:hint="eastAsia" w:ascii="宋体" w:hAnsi="宋体"/>
                <w:kern w:val="0"/>
              </w:rPr>
              <w:t>HJ 1014-2020</w:t>
            </w:r>
            <w:r>
              <w:rPr>
                <w:rFonts w:hint="eastAsia"/>
                <w:kern w:val="0"/>
              </w:rPr>
              <w:t>）等文件要求，采取如下废气防治措施：</w:t>
            </w:r>
          </w:p>
          <w:p w14:paraId="313CFCA6">
            <w:pPr>
              <w:adjustRightInd w:val="0"/>
              <w:snapToGrid w:val="0"/>
              <w:spacing w:line="328" w:lineRule="auto"/>
              <w:ind w:firstLine="420" w:firstLineChars="200"/>
              <w:rPr>
                <w:rFonts w:hint="eastAsia" w:ascii="宋体" w:hAnsi="宋体"/>
                <w:kern w:val="0"/>
              </w:rPr>
            </w:pPr>
            <w:r>
              <w:rPr>
                <w:kern w:val="0"/>
              </w:rPr>
              <w:t>（</w:t>
            </w:r>
            <w:r>
              <w:rPr>
                <w:rFonts w:ascii="宋体" w:hAnsi="宋体"/>
                <w:kern w:val="0"/>
              </w:rPr>
              <w:t>1</w:t>
            </w:r>
            <w:r>
              <w:rPr>
                <w:kern w:val="0"/>
              </w:rPr>
              <w:t>）</w:t>
            </w:r>
            <w:r>
              <w:rPr>
                <w:rFonts w:hint="eastAsia"/>
                <w:kern w:val="0"/>
              </w:rPr>
              <w:t>尽量采用低排放的非道路移动机械；</w:t>
            </w:r>
          </w:p>
          <w:p w14:paraId="0BB52AA6">
            <w:pPr>
              <w:adjustRightInd w:val="0"/>
              <w:snapToGrid w:val="0"/>
              <w:spacing w:line="328" w:lineRule="auto"/>
              <w:ind w:firstLine="420" w:firstLineChars="200"/>
              <w:rPr>
                <w:rFonts w:hint="eastAsia" w:ascii="宋体" w:hAnsi="宋体"/>
                <w:kern w:val="0"/>
              </w:rPr>
            </w:pPr>
            <w:r>
              <w:rPr>
                <w:kern w:val="0"/>
              </w:rPr>
              <w:t>（</w:t>
            </w:r>
            <w:r>
              <w:rPr>
                <w:rFonts w:ascii="宋体" w:hAnsi="宋体" w:cs="宋体"/>
                <w:kern w:val="0"/>
              </w:rPr>
              <w:t>2</w:t>
            </w:r>
            <w:r>
              <w:rPr>
                <w:kern w:val="0"/>
              </w:rPr>
              <w:t>）加强非道路移动机械的排放检测和维修；</w:t>
            </w:r>
          </w:p>
          <w:p w14:paraId="4031DA93">
            <w:pPr>
              <w:adjustRightInd w:val="0"/>
              <w:snapToGrid w:val="0"/>
              <w:spacing w:line="328" w:lineRule="auto"/>
              <w:ind w:firstLine="420" w:firstLineChars="200"/>
              <w:rPr>
                <w:rFonts w:hint="eastAsia" w:ascii="宋体" w:hAnsi="宋体"/>
                <w:kern w:val="0"/>
              </w:rPr>
            </w:pPr>
            <w:r>
              <w:rPr>
                <w:kern w:val="0"/>
              </w:rPr>
              <w:t>（</w:t>
            </w:r>
            <w:r>
              <w:rPr>
                <w:rFonts w:ascii="宋体" w:hAnsi="宋体" w:cs="宋体"/>
                <w:kern w:val="0"/>
              </w:rPr>
              <w:t>3</w:t>
            </w:r>
            <w:r>
              <w:rPr>
                <w:kern w:val="0"/>
              </w:rPr>
              <w:t>）加强非道路移动机械的维修、保养，使其保持良好的技术状态；</w:t>
            </w:r>
          </w:p>
          <w:p w14:paraId="539B230D">
            <w:pPr>
              <w:adjustRightInd w:val="0"/>
              <w:snapToGrid w:val="0"/>
              <w:spacing w:line="328" w:lineRule="auto"/>
              <w:ind w:firstLine="420" w:firstLineChars="200"/>
              <w:rPr>
                <w:rFonts w:hint="eastAsia" w:ascii="宋体" w:hAnsi="宋体"/>
                <w:kern w:val="0"/>
              </w:rPr>
            </w:pPr>
            <w:r>
              <w:rPr>
                <w:kern w:val="0"/>
              </w:rPr>
              <w:t>（</w:t>
            </w:r>
            <w:r>
              <w:rPr>
                <w:rFonts w:ascii="宋体" w:hAnsi="宋体" w:cs="宋体"/>
                <w:kern w:val="0"/>
              </w:rPr>
              <w:t>4</w:t>
            </w:r>
            <w:r>
              <w:rPr>
                <w:kern w:val="0"/>
              </w:rPr>
              <w:t>）经检测排放不达标的非道路移动机械，应强制进行维修、保养，保证非道路移动机械及其污染控制装置处于正常技术状态。</w:t>
            </w:r>
          </w:p>
          <w:p w14:paraId="019C87E9">
            <w:pPr>
              <w:adjustRightInd w:val="0"/>
              <w:snapToGrid w:val="0"/>
              <w:spacing w:line="328" w:lineRule="auto"/>
              <w:ind w:firstLine="420" w:firstLineChars="200"/>
              <w:rPr>
                <w:rFonts w:hint="eastAsia" w:ascii="宋体" w:hAnsi="宋体"/>
                <w:kern w:val="0"/>
              </w:rPr>
            </w:pPr>
            <w:r>
              <w:rPr>
                <w:kern w:val="0"/>
              </w:rPr>
              <w:t>经采取防治措施后，机械尾气环境影响比较小，可以接受。</w:t>
            </w:r>
          </w:p>
          <w:p w14:paraId="6D16B57B">
            <w:pPr>
              <w:pStyle w:val="112"/>
              <w:ind w:firstLine="420"/>
              <w:rPr>
                <w:rFonts w:hint="eastAsia"/>
              </w:rPr>
            </w:pPr>
            <w:r>
              <w:t>4</w:t>
            </w:r>
            <w:r>
              <w:rPr>
                <w:rFonts w:hint="eastAsia"/>
              </w:rPr>
              <w:t>）扬尘的影响分析</w:t>
            </w:r>
          </w:p>
          <w:p w14:paraId="1B3D2699">
            <w:pPr>
              <w:pStyle w:val="112"/>
              <w:ind w:firstLine="420"/>
              <w:rPr>
                <w:rFonts w:hint="eastAsia"/>
              </w:rPr>
            </w:pPr>
            <w:r>
              <w:rPr>
                <w:rFonts w:hint="eastAsia"/>
              </w:rPr>
              <w:t>井场平整、进井道路、生活营地等建设及施工运输车辆会产生扬尘，对周围大气环境产生一定的影响；施工期加强管理、对易起尘物料进行遮盖、车辆低速慢行等措施，且扬尘随着施工期的结束而消失，不会对周围大气环境产生不利影响。</w:t>
            </w:r>
          </w:p>
          <w:p w14:paraId="13FE84CA">
            <w:pPr>
              <w:pStyle w:val="112"/>
              <w:ind w:firstLine="420"/>
              <w:rPr>
                <w:rFonts w:hint="eastAsia"/>
                <w:bCs/>
              </w:rPr>
            </w:pPr>
            <w:r>
              <w:rPr>
                <w:rFonts w:hint="eastAsia"/>
                <w:bCs/>
              </w:rPr>
              <w:t>5）锅炉废气影响分析</w:t>
            </w:r>
          </w:p>
          <w:p w14:paraId="2638FE9E">
            <w:pPr>
              <w:pStyle w:val="112"/>
              <w:ind w:firstLine="420"/>
              <w:rPr>
                <w:rFonts w:hint="eastAsia"/>
                <w:bCs/>
              </w:rPr>
            </w:pPr>
            <w:r>
              <w:rPr>
                <w:rFonts w:hint="eastAsia"/>
                <w:bCs/>
              </w:rPr>
              <w:t>（1）施工期冬防锅炉工艺流程及产排污环节</w:t>
            </w:r>
          </w:p>
          <w:p w14:paraId="738CC6F1">
            <w:pPr>
              <w:pStyle w:val="112"/>
              <w:ind w:firstLine="420"/>
              <w:rPr>
                <w:rFonts w:hint="eastAsia"/>
                <w:bCs/>
              </w:rPr>
            </w:pPr>
            <w:r>
              <w:rPr>
                <w:rFonts w:hint="eastAsia"/>
                <w:bCs/>
              </w:rPr>
              <w:t>拟建项目施工期锅炉工艺流程及产排污环节见图6。</w:t>
            </w:r>
          </w:p>
          <w:p w14:paraId="7AB8F9B1">
            <w:pPr>
              <w:pStyle w:val="112"/>
              <w:ind w:firstLine="0" w:firstLineChars="0"/>
              <w:jc w:val="center"/>
              <w:rPr>
                <w:rFonts w:hint="eastAsia"/>
                <w:bCs/>
              </w:rPr>
            </w:pPr>
            <w:r>
              <w:drawing>
                <wp:inline distT="0" distB="0" distL="0" distR="0">
                  <wp:extent cx="4859020" cy="2416175"/>
                  <wp:effectExtent l="19050" t="19050" r="17780" b="22225"/>
                  <wp:docPr id="12548276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27641"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59020" cy="2416175"/>
                          </a:xfrm>
                          <a:prstGeom prst="rect">
                            <a:avLst/>
                          </a:prstGeom>
                          <a:noFill/>
                          <a:ln w="6350">
                            <a:solidFill>
                              <a:schemeClr val="tx1"/>
                            </a:solidFill>
                          </a:ln>
                        </pic:spPr>
                      </pic:pic>
                    </a:graphicData>
                  </a:graphic>
                </wp:inline>
              </w:drawing>
            </w:r>
          </w:p>
          <w:p w14:paraId="254FFC1B">
            <w:pPr>
              <w:adjustRightInd w:val="0"/>
              <w:snapToGrid w:val="0"/>
              <w:spacing w:before="120" w:beforeLines="50" w:line="360" w:lineRule="auto"/>
              <w:jc w:val="center"/>
              <w:rPr>
                <w:rFonts w:hint="eastAsia" w:ascii="宋体" w:hAnsi="宋体"/>
                <w:kern w:val="0"/>
                <w:szCs w:val="20"/>
              </w:rPr>
            </w:pPr>
            <w:r>
              <w:rPr>
                <w:rFonts w:hint="eastAsia" w:ascii="宋体" w:hAnsi="宋体"/>
              </w:rPr>
              <w:t>图</w:t>
            </w:r>
            <w:r>
              <w:rPr>
                <w:rFonts w:ascii="宋体" w:hAnsi="宋体"/>
              </w:rPr>
              <w:fldChar w:fldCharType="begin"/>
            </w:r>
            <w:r>
              <w:rPr>
                <w:rFonts w:ascii="宋体" w:hAnsi="宋体"/>
              </w:rPr>
              <w:instrText xml:space="preserve"> </w:instrText>
            </w:r>
            <w:r>
              <w:rPr>
                <w:rFonts w:hint="eastAsia" w:ascii="宋体" w:hAnsi="宋体"/>
              </w:rPr>
              <w:instrText xml:space="preserve">SEQ 图 \* ARABIC</w:instrText>
            </w:r>
            <w:r>
              <w:rPr>
                <w:rFonts w:ascii="宋体" w:hAnsi="宋体"/>
              </w:rPr>
              <w:instrText xml:space="preserve"> </w:instrText>
            </w:r>
            <w:r>
              <w:rPr>
                <w:rFonts w:ascii="宋体" w:hAnsi="宋体"/>
              </w:rPr>
              <w:fldChar w:fldCharType="separate"/>
            </w:r>
            <w:r>
              <w:rPr>
                <w:rFonts w:hint="eastAsia" w:ascii="宋体" w:hAnsi="宋体"/>
              </w:rPr>
              <w:t>6</w:t>
            </w:r>
            <w:r>
              <w:rPr>
                <w:rFonts w:ascii="宋体" w:hAnsi="宋体"/>
              </w:rPr>
              <w:fldChar w:fldCharType="end"/>
            </w:r>
            <w:r>
              <w:rPr>
                <w:rFonts w:ascii="宋体" w:hAnsi="宋体"/>
              </w:rPr>
              <w:t xml:space="preserve">  </w:t>
            </w:r>
            <w:r>
              <w:rPr>
                <w:rFonts w:hint="eastAsia" w:ascii="宋体" w:hAnsi="宋体"/>
              </w:rPr>
              <w:t>施工期生物质锅炉工艺流程及产污环节图</w:t>
            </w:r>
          </w:p>
          <w:p w14:paraId="08875494">
            <w:pPr>
              <w:pStyle w:val="112"/>
              <w:ind w:firstLine="0" w:firstLineChars="0"/>
              <w:rPr>
                <w:rFonts w:hint="eastAsia"/>
                <w:bCs/>
              </w:rPr>
            </w:pPr>
          </w:p>
          <w:p w14:paraId="4AC47128">
            <w:pPr>
              <w:pStyle w:val="112"/>
              <w:ind w:firstLine="420"/>
              <w:rPr>
                <w:rFonts w:hint="eastAsia"/>
                <w:bCs/>
              </w:rPr>
            </w:pPr>
            <w:r>
              <w:rPr>
                <w:rFonts w:hint="eastAsia"/>
                <w:bCs/>
              </w:rPr>
              <w:t>（2）锅炉废气治理措施简介</w:t>
            </w:r>
          </w:p>
          <w:p w14:paraId="6D35D8A1">
            <w:pPr>
              <w:pStyle w:val="112"/>
              <w:ind w:firstLine="420"/>
              <w:rPr>
                <w:rFonts w:hint="eastAsia"/>
                <w:bCs/>
              </w:rPr>
            </w:pPr>
            <w:r>
              <w:rPr>
                <w:rFonts w:hint="eastAsia"/>
                <w:bCs/>
              </w:rPr>
              <w:t>本项目锅炉废气经低氮燃烧+SNCR炉内脱硝+袋式除尘+脱硫塔脱硫工艺处理后由1根15m高内径0.27m排气筒排放，各废气处理措施具体介绍如下：</w:t>
            </w:r>
          </w:p>
          <w:p w14:paraId="45C4952B">
            <w:pPr>
              <w:pStyle w:val="112"/>
              <w:ind w:firstLine="420"/>
              <w:rPr>
                <w:rFonts w:hint="eastAsia"/>
                <w:bCs/>
              </w:rPr>
            </w:pPr>
            <w:r>
              <w:rPr>
                <w:rFonts w:hint="eastAsia"/>
                <w:bCs/>
              </w:rPr>
              <w:t>①低氮燃烧+SNCR炉内脱硝</w:t>
            </w:r>
          </w:p>
          <w:p w14:paraId="219B760E">
            <w:pPr>
              <w:pStyle w:val="112"/>
              <w:ind w:firstLine="420"/>
              <w:rPr>
                <w:rFonts w:hint="eastAsia"/>
                <w:bCs/>
              </w:rPr>
            </w:pPr>
            <w:r>
              <w:rPr>
                <w:rFonts w:hint="eastAsia"/>
                <w:bCs/>
              </w:rPr>
              <w:t>低氮燃烧器指燃料燃烧过程中NO</w:t>
            </w:r>
            <w:r>
              <w:rPr>
                <w:rFonts w:hint="eastAsia"/>
                <w:bCs/>
                <w:vertAlign w:val="subscript"/>
              </w:rPr>
              <w:t>X</w:t>
            </w:r>
            <w:r>
              <w:rPr>
                <w:rFonts w:hint="eastAsia"/>
                <w:bCs/>
              </w:rPr>
              <w:t>排放量低的燃烧器，采用低氮燃烧器能够降低燃烧过程中氮氧化物的排放。NO</w:t>
            </w:r>
            <w:r>
              <w:rPr>
                <w:rFonts w:hint="eastAsia"/>
                <w:bCs/>
                <w:vertAlign w:val="subscript"/>
              </w:rPr>
              <w:t>X</w:t>
            </w:r>
            <w:r>
              <w:rPr>
                <w:rFonts w:hint="eastAsia"/>
                <w:bCs/>
              </w:rPr>
              <w:t>是由燃烧产生的，而燃烧方法和燃烧条件对NO</w:t>
            </w:r>
            <w:r>
              <w:rPr>
                <w:rFonts w:hint="eastAsia"/>
                <w:bCs/>
                <w:vertAlign w:val="subscript"/>
              </w:rPr>
              <w:t>X</w:t>
            </w:r>
            <w:r>
              <w:rPr>
                <w:rFonts w:hint="eastAsia"/>
                <w:bCs/>
              </w:rPr>
              <w:t>的生成有较大影响，因此可以通过改进燃烧技术来降低NO</w:t>
            </w:r>
            <w:r>
              <w:rPr>
                <w:rFonts w:hint="eastAsia"/>
                <w:bCs/>
                <w:vertAlign w:val="subscript"/>
              </w:rPr>
              <w:t>X</w:t>
            </w:r>
            <w:r>
              <w:rPr>
                <w:rFonts w:hint="eastAsia"/>
                <w:bCs/>
              </w:rPr>
              <w:t>，其主要途径包括：选用N含量较低的燃料，包括燃料脱氮和转变成低氮燃料；降低空气过剩系数，组织过浓燃烧，来降低燃料周围氧的浓度；在过剩空气少的情况下，降低温度峰值以减少“热反应 NO”；在氧浓度较低情况下，增加可燃物在火焰前峰和反应区中停留的时间。</w:t>
            </w:r>
          </w:p>
          <w:p w14:paraId="640CABFC">
            <w:pPr>
              <w:pStyle w:val="112"/>
              <w:ind w:firstLine="420"/>
              <w:rPr>
                <w:rFonts w:hint="eastAsia"/>
                <w:bCs/>
              </w:rPr>
            </w:pPr>
            <w:r>
              <w:rPr>
                <w:rFonts w:hint="eastAsia"/>
                <w:bCs/>
              </w:rPr>
              <w:t>选择性非催化还原（SNCR）脱除NO</w:t>
            </w:r>
            <w:r>
              <w:rPr>
                <w:rFonts w:hint="eastAsia"/>
                <w:bCs/>
                <w:vertAlign w:val="subscript"/>
              </w:rPr>
              <w:t>X</w:t>
            </w:r>
            <w:r>
              <w:rPr>
                <w:rFonts w:hint="eastAsia"/>
                <w:bCs/>
              </w:rPr>
              <w:t>技术是把含有NO</w:t>
            </w:r>
            <w:r>
              <w:rPr>
                <w:rFonts w:hint="eastAsia"/>
                <w:bCs/>
                <w:vertAlign w:val="subscript"/>
              </w:rPr>
              <w:t>X</w:t>
            </w:r>
            <w:r>
              <w:rPr>
                <w:rFonts w:hint="eastAsia"/>
                <w:bCs/>
              </w:rPr>
              <w:t>基的还原剂尿素，喷入炉膛，该还原剂迅速热分解成NH</w:t>
            </w:r>
            <w:r>
              <w:rPr>
                <w:rFonts w:hint="eastAsia"/>
                <w:bCs/>
                <w:vertAlign w:val="subscript"/>
              </w:rPr>
              <w:t>3</w:t>
            </w:r>
            <w:r>
              <w:rPr>
                <w:rFonts w:hint="eastAsia"/>
                <w:bCs/>
              </w:rPr>
              <w:t>选择性地与烟气中的NO</w:t>
            </w:r>
            <w:r>
              <w:rPr>
                <w:rFonts w:hint="eastAsia"/>
                <w:bCs/>
                <w:vertAlign w:val="subscript"/>
              </w:rPr>
              <w:t>X</w:t>
            </w:r>
            <w:r>
              <w:rPr>
                <w:rFonts w:hint="eastAsia"/>
                <w:bCs/>
              </w:rPr>
              <w:t>反应生成N</w:t>
            </w:r>
            <w:r>
              <w:rPr>
                <w:rFonts w:hint="eastAsia"/>
                <w:bCs/>
                <w:vertAlign w:val="subscript"/>
              </w:rPr>
              <w:t>2</w:t>
            </w:r>
            <w:r>
              <w:rPr>
                <w:rFonts w:hint="eastAsia"/>
                <w:bCs/>
              </w:rPr>
              <w:t>、CO</w:t>
            </w:r>
            <w:r>
              <w:rPr>
                <w:rFonts w:hint="eastAsia"/>
                <w:bCs/>
                <w:vertAlign w:val="subscript"/>
              </w:rPr>
              <w:t>2</w:t>
            </w:r>
            <w:r>
              <w:rPr>
                <w:rFonts w:hint="eastAsia"/>
                <w:bCs/>
              </w:rPr>
              <w:t>、H</w:t>
            </w:r>
            <w:r>
              <w:rPr>
                <w:rFonts w:hint="eastAsia"/>
                <w:bCs/>
                <w:vertAlign w:val="subscript"/>
              </w:rPr>
              <w:t>2</w:t>
            </w:r>
            <w:r>
              <w:rPr>
                <w:rFonts w:hint="eastAsia"/>
                <w:bCs/>
              </w:rPr>
              <w:t>O等无害气体。SNCR脱硝工艺流程：将满足要求的尿素固体颗粒卸至尿素储料仓，由计量给料装置进入配液池，在加热的条件下，用新鲜水将尿素固体颗粒配制成尿素溶液，经配料输送泵送至溶液储罐，储罐中的尿素溶液通过加压泵和输送管道送到炉前喷射系统，经布置在锅炉四周的雾化喷嘴喷入炉膛900～1100℃的温度区域。储罐输出的尿素溶液，可和工艺水混合配制成不同浓度的尿素溶液以满足锅炉不同负荷的要求；喷嘴可布置多层以满足不同温度区域的要求。脱硝效率中等，一般为30%～50%，与低氮燃烧技术组合效果更好。</w:t>
            </w:r>
          </w:p>
          <w:p w14:paraId="552EC587">
            <w:pPr>
              <w:pStyle w:val="112"/>
              <w:ind w:firstLine="420"/>
              <w:rPr>
                <w:rFonts w:hint="eastAsia"/>
                <w:bCs/>
              </w:rPr>
            </w:pPr>
            <w:r>
              <w:rPr>
                <w:rFonts w:hint="eastAsia"/>
                <w:bCs/>
              </w:rPr>
              <w:t>本项目锅炉配备低氮燃烧器（型号：BM-150F），通过优化燃料与空气的混合配比，分级送入炉膛，从源头抑制氮氧化物的生成。同时，采用选择性非催化还原（SNCR）脱硝工艺作为终端保障，其设计以浓度8%～10%的尿素溶液为还原剂，通过精密控制的喷射系统将其雾化并喷入炉膛适宜温度区域（850℃～1050℃），与烟气中的氮氧化物发生还原反应，生成无害的氮气和水。SNCR系统设计尿素溶液消耗量约为0.006t/h。通过“低氮燃烧+SNCR”的联合脱硝技术，根据厂家提供数据，该措施在企业实际应用中氮氧化物去除效率可在45.4%以上。</w:t>
            </w:r>
          </w:p>
          <w:p w14:paraId="7E5CA3DB">
            <w:pPr>
              <w:pStyle w:val="112"/>
              <w:ind w:firstLine="420"/>
              <w:rPr>
                <w:rFonts w:hint="eastAsia"/>
                <w:bCs/>
              </w:rPr>
            </w:pPr>
            <w:r>
              <w:rPr>
                <w:rFonts w:hint="eastAsia"/>
                <w:bCs/>
              </w:rPr>
              <w:t>②袋式除尘器</w:t>
            </w:r>
          </w:p>
          <w:p w14:paraId="43070444">
            <w:pPr>
              <w:pStyle w:val="112"/>
              <w:ind w:firstLine="420"/>
              <w:rPr>
                <w:rFonts w:hint="eastAsia"/>
                <w:bCs/>
              </w:rPr>
            </w:pPr>
            <w:r>
              <w:rPr>
                <w:rFonts w:hint="eastAsia"/>
                <w:bCs/>
              </w:rPr>
              <w:t>袋式除尘器是指通过喷吹压缩空气的方法除掉过滤介质（布袋或滤筒）上附着的粉尘；根据除尘器的大小可能有几组脉冲阀，由脉冲控制仪或PLC控制，每次开一组脉冲阀来除去它所控制的那部分布袋或滤筒的灰尘，而其他的布袋或滤筒正常工作，隔一段时间后下一组脉冲阀打开，清理下一部分。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出。</w:t>
            </w:r>
          </w:p>
          <w:p w14:paraId="7F3B7A58">
            <w:pPr>
              <w:pStyle w:val="112"/>
              <w:ind w:firstLine="420"/>
              <w:rPr>
                <w:rFonts w:hint="eastAsia"/>
                <w:bCs/>
              </w:rPr>
            </w:pPr>
            <w:r>
              <w:rPr>
                <w:rFonts w:hint="eastAsia"/>
                <w:bCs/>
              </w:rPr>
              <w:t>本项目采取袋式除尘器去除锅炉废气中的颗粒物，根据厂家提供数据，该措施在企业实际应用中颗粒物去除效率可在99.7%以上。</w:t>
            </w:r>
          </w:p>
          <w:p w14:paraId="27D17369">
            <w:pPr>
              <w:pStyle w:val="112"/>
              <w:ind w:firstLine="420"/>
              <w:rPr>
                <w:rFonts w:hint="eastAsia"/>
                <w:bCs/>
              </w:rPr>
            </w:pPr>
            <w:r>
              <w:rPr>
                <w:rFonts w:hint="eastAsia"/>
                <w:bCs/>
              </w:rPr>
              <w:t>③脱硫塔</w:t>
            </w:r>
          </w:p>
          <w:p w14:paraId="29455D49">
            <w:pPr>
              <w:pStyle w:val="112"/>
              <w:ind w:firstLine="420"/>
              <w:rPr>
                <w:rFonts w:hint="eastAsia"/>
                <w:bCs/>
              </w:rPr>
            </w:pPr>
            <w:r>
              <w:rPr>
                <w:rFonts w:hint="eastAsia"/>
                <w:bCs/>
              </w:rPr>
              <w:t>本项目锅炉烟气采用“氢氧化钙湿法脱硫”工艺，配置高效喷淋塔作为核心处理装置。脱硫系统设计制浆用水量为0.12m</w:t>
            </w:r>
            <w:r>
              <w:rPr>
                <w:rFonts w:hint="eastAsia"/>
                <w:bCs/>
                <w:vertAlign w:val="superscript"/>
              </w:rPr>
              <w:t>3</w:t>
            </w:r>
            <w:r>
              <w:rPr>
                <w:rFonts w:hint="eastAsia"/>
                <w:bCs/>
              </w:rPr>
              <w:t>/h，用于将氢氧化钙粉末配制为一定浓度的吸收浆液。该浆液在塔内与烟气逆流接触，充分中和二氧化硫等酸性污染物。根据厂家提供数据，该措施在企业实际应用中SO</w:t>
            </w:r>
            <w:r>
              <w:rPr>
                <w:rFonts w:hint="eastAsia"/>
                <w:bCs/>
                <w:vertAlign w:val="subscript"/>
              </w:rPr>
              <w:t>2</w:t>
            </w:r>
            <w:r>
              <w:rPr>
                <w:rFonts w:hint="eastAsia"/>
                <w:bCs/>
              </w:rPr>
              <w:t>去除效率可在90%以上。</w:t>
            </w:r>
          </w:p>
          <w:p w14:paraId="651880B3">
            <w:pPr>
              <w:pStyle w:val="112"/>
              <w:ind w:firstLine="420"/>
              <w:rPr>
                <w:rFonts w:hint="eastAsia"/>
                <w:bCs/>
              </w:rPr>
            </w:pPr>
            <w:r>
              <w:rPr>
                <w:rFonts w:hint="eastAsia"/>
                <w:bCs/>
              </w:rPr>
              <w:t>（3）锅炉废气产排情况及影响分析</w:t>
            </w:r>
          </w:p>
          <w:p w14:paraId="780E424B">
            <w:pPr>
              <w:pStyle w:val="112"/>
              <w:ind w:firstLine="420"/>
              <w:rPr>
                <w:rFonts w:hint="eastAsia"/>
                <w:bCs/>
              </w:rPr>
            </w:pPr>
            <w:r>
              <w:rPr>
                <w:rFonts w:hint="eastAsia"/>
                <w:bCs/>
              </w:rPr>
              <w:t>本项目在冬季施工期间临时设置1台2.5t/h的生物质蒸汽锅炉。废气经低氮燃烧+SNCR炉内脱硝+袋式除尘+脱硫塔脱硫工艺处理后由1根15m高内径0.27m排气筒排放。锅炉工作时间为24h/d，本项目冬季施工期约为90d；根据锅炉厂家提供数据，本项目冬季生物质冬防锅炉生物质消耗量为6t/d，则本项目施工期生物质用量为540t。</w:t>
            </w:r>
          </w:p>
          <w:p w14:paraId="56122D55">
            <w:pPr>
              <w:pStyle w:val="112"/>
              <w:ind w:firstLine="420"/>
              <w:rPr>
                <w:rFonts w:hint="eastAsia"/>
                <w:bCs/>
              </w:rPr>
            </w:pPr>
            <w:r>
              <w:rPr>
                <w:rFonts w:hint="eastAsia"/>
                <w:bCs/>
              </w:rPr>
              <w:t>根据《排放源统计调查产排污核算方法和系数手册》4430工业锅炉(热力生产和供应行业）行业系数手册产排污系数表，生物质锅炉工业废气量产污系数为6240标立方米/吨-原料；SO</w:t>
            </w:r>
            <w:r>
              <w:rPr>
                <w:rFonts w:hint="eastAsia"/>
                <w:bCs/>
                <w:vertAlign w:val="subscript"/>
              </w:rPr>
              <w:t>2</w:t>
            </w:r>
            <w:r>
              <w:rPr>
                <w:rFonts w:hint="eastAsia"/>
                <w:bCs/>
              </w:rPr>
              <w:t>产污系数为17S千克/吨-原料（本项目所用生物质收到基S=0.058)﹔氮氧化物产污系数为1.02千克/吨-原料，低氮燃烧+选择性非催化还原法（SNCR）NO</w:t>
            </w:r>
            <w:r>
              <w:rPr>
                <w:rFonts w:hint="eastAsia"/>
                <w:bCs/>
                <w:vertAlign w:val="subscript"/>
              </w:rPr>
              <w:t>X</w:t>
            </w:r>
            <w:r>
              <w:rPr>
                <w:rFonts w:hint="eastAsia"/>
                <w:bCs/>
              </w:rPr>
              <w:t>去除效率为45.4%﹔颗粒物产污系数为0.5千克/吨-原料，袋式除尘颗粒物去除效率为99.7%。本次评价脱硫塔脱硫效率按90%计。</w:t>
            </w:r>
          </w:p>
          <w:p w14:paraId="1261F9E9">
            <w:pPr>
              <w:pStyle w:val="112"/>
              <w:ind w:firstLine="420"/>
              <w:rPr>
                <w:rFonts w:hint="eastAsia"/>
                <w:bCs/>
              </w:rPr>
            </w:pPr>
            <w:r>
              <w:rPr>
                <w:rFonts w:hint="eastAsia"/>
                <w:bCs/>
              </w:rPr>
              <w:t>综上，本项目冬防锅炉燃气废气排放情况见</w:t>
            </w:r>
            <w:r>
              <w:rPr>
                <w:rFonts w:hint="eastAsia"/>
                <w:bCs/>
              </w:rPr>
              <w:fldChar w:fldCharType="begin"/>
            </w:r>
            <w:r>
              <w:rPr>
                <w:rFonts w:hint="eastAsia"/>
                <w:bCs/>
              </w:rPr>
              <w:instrText xml:space="preserve"> REF _Ref216087498 \h </w:instrText>
            </w:r>
            <w:r>
              <w:rPr>
                <w:rFonts w:hint="eastAsia"/>
                <w:bCs/>
              </w:rPr>
              <w:fldChar w:fldCharType="separate"/>
            </w:r>
            <w:r>
              <w:rPr>
                <w:rFonts w:hint="eastAsia"/>
              </w:rPr>
              <w:t>表30</w:t>
            </w:r>
            <w:r>
              <w:rPr>
                <w:rFonts w:hint="eastAsia"/>
                <w:bCs/>
              </w:rPr>
              <w:fldChar w:fldCharType="end"/>
            </w:r>
            <w:r>
              <w:rPr>
                <w:rFonts w:hint="eastAsia"/>
                <w:bCs/>
              </w:rPr>
              <w:t>。</w:t>
            </w:r>
          </w:p>
          <w:p w14:paraId="53BD25ED">
            <w:pPr>
              <w:adjustRightInd w:val="0"/>
              <w:snapToGrid w:val="0"/>
              <w:spacing w:before="120" w:beforeLines="50" w:line="360" w:lineRule="auto"/>
              <w:jc w:val="center"/>
              <w:rPr>
                <w:rFonts w:hint="eastAsia" w:ascii="宋体" w:hAnsi="宋体"/>
                <w:bCs/>
                <w:szCs w:val="21"/>
              </w:rPr>
            </w:pPr>
            <w:bookmarkStart w:id="55" w:name="_Ref216087498"/>
            <w:r>
              <w:rPr>
                <w:rFonts w:hint="eastAsia" w:ascii="宋体" w:hAnsi="宋体"/>
              </w:rPr>
              <w:t>表</w:t>
            </w:r>
            <w:r>
              <w:rPr>
                <w:rFonts w:ascii="宋体" w:hAnsi="宋体"/>
              </w:rPr>
              <w:fldChar w:fldCharType="begin"/>
            </w:r>
            <w:r>
              <w:rPr>
                <w:rFonts w:ascii="宋体" w:hAnsi="宋体"/>
              </w:rPr>
              <w:instrText xml:space="preserve"> </w:instrText>
            </w:r>
            <w:r>
              <w:rPr>
                <w:rFonts w:hint="eastAsia" w:ascii="宋体" w:hAnsi="宋体"/>
              </w:rPr>
              <w:instrText xml:space="preserve">SEQ 表 \* ARABIC</w:instrText>
            </w:r>
            <w:r>
              <w:rPr>
                <w:rFonts w:ascii="宋体" w:hAnsi="宋体"/>
              </w:rPr>
              <w:instrText xml:space="preserve"> </w:instrText>
            </w:r>
            <w:r>
              <w:rPr>
                <w:rFonts w:ascii="宋体" w:hAnsi="宋体"/>
              </w:rPr>
              <w:fldChar w:fldCharType="separate"/>
            </w:r>
            <w:r>
              <w:rPr>
                <w:rFonts w:hint="eastAsia" w:ascii="宋体" w:hAnsi="宋体"/>
              </w:rPr>
              <w:t>30</w:t>
            </w:r>
            <w:r>
              <w:rPr>
                <w:rFonts w:ascii="宋体" w:hAnsi="宋体"/>
              </w:rPr>
              <w:fldChar w:fldCharType="end"/>
            </w:r>
            <w:bookmarkEnd w:id="55"/>
            <w:r>
              <w:rPr>
                <w:rFonts w:ascii="宋体" w:hAnsi="宋体"/>
              </w:rPr>
              <w:t xml:space="preserve">  </w:t>
            </w:r>
            <w:r>
              <w:rPr>
                <w:rFonts w:hint="eastAsia" w:ascii="宋体" w:hAnsi="宋体"/>
              </w:rPr>
              <w:t>锅炉废气</w:t>
            </w:r>
            <w:r>
              <w:rPr>
                <w:rFonts w:hint="eastAsia" w:ascii="宋体" w:hAnsi="宋体"/>
                <w:bCs/>
              </w:rPr>
              <w:t>排放情况一览表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33"/>
              <w:gridCol w:w="1172"/>
              <w:gridCol w:w="552"/>
              <w:gridCol w:w="1096"/>
              <w:gridCol w:w="733"/>
              <w:gridCol w:w="1148"/>
              <w:gridCol w:w="1095"/>
              <w:gridCol w:w="838"/>
            </w:tblGrid>
            <w:tr w14:paraId="5838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71" w:type="pct"/>
                  <w:vMerge w:val="restart"/>
                  <w:tcBorders>
                    <w:top w:val="single" w:color="auto" w:sz="4" w:space="0"/>
                    <w:left w:val="single" w:color="auto" w:sz="4" w:space="0"/>
                    <w:bottom w:val="single" w:color="auto" w:sz="4" w:space="0"/>
                    <w:right w:val="single" w:color="auto" w:sz="4" w:space="0"/>
                  </w:tcBorders>
                  <w:vAlign w:val="center"/>
                </w:tcPr>
                <w:p w14:paraId="1A64DD7A">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污染源</w:t>
                  </w:r>
                </w:p>
              </w:tc>
              <w:tc>
                <w:tcPr>
                  <w:tcW w:w="470" w:type="pct"/>
                  <w:vMerge w:val="restart"/>
                  <w:tcBorders>
                    <w:top w:val="single" w:color="auto" w:sz="4" w:space="0"/>
                    <w:left w:val="single" w:color="auto" w:sz="4" w:space="0"/>
                    <w:bottom w:val="single" w:color="auto" w:sz="4" w:space="0"/>
                    <w:right w:val="single" w:color="auto" w:sz="4" w:space="0"/>
                  </w:tcBorders>
                  <w:vAlign w:val="center"/>
                </w:tcPr>
                <w:p w14:paraId="2A9145C6">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生物质用量（t）</w:t>
                  </w:r>
                </w:p>
              </w:tc>
              <w:tc>
                <w:tcPr>
                  <w:tcW w:w="752" w:type="pct"/>
                  <w:vMerge w:val="restart"/>
                  <w:tcBorders>
                    <w:top w:val="single" w:color="auto" w:sz="4" w:space="0"/>
                    <w:left w:val="single" w:color="auto" w:sz="4" w:space="0"/>
                    <w:bottom w:val="single" w:color="auto" w:sz="4" w:space="0"/>
                    <w:right w:val="single" w:color="auto" w:sz="4" w:space="0"/>
                  </w:tcBorders>
                  <w:vAlign w:val="center"/>
                </w:tcPr>
                <w:p w14:paraId="222E761A">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烟气量（10</w:t>
                  </w:r>
                  <w:r>
                    <w:rPr>
                      <w:rFonts w:hint="eastAsia" w:ascii="宋体" w:hAnsi="宋体"/>
                      <w:snapToGrid w:val="0"/>
                      <w:kern w:val="0"/>
                      <w:szCs w:val="21"/>
                      <w:vertAlign w:val="superscript"/>
                      <w:lang w:val="zh-CN"/>
                    </w:rPr>
                    <w:t>4</w:t>
                  </w:r>
                  <w:r>
                    <w:rPr>
                      <w:rFonts w:hint="eastAsia" w:ascii="宋体" w:hAnsi="宋体"/>
                      <w:snapToGrid w:val="0"/>
                      <w:kern w:val="0"/>
                      <w:szCs w:val="21"/>
                      <w:lang w:val="zh-CN"/>
                    </w:rPr>
                    <w:t>m</w:t>
                  </w:r>
                  <w:r>
                    <w:rPr>
                      <w:rFonts w:hint="eastAsia" w:ascii="宋体" w:hAnsi="宋体"/>
                      <w:snapToGrid w:val="0"/>
                      <w:kern w:val="0"/>
                      <w:szCs w:val="21"/>
                      <w:vertAlign w:val="superscript"/>
                      <w:lang w:val="zh-CN"/>
                    </w:rPr>
                    <w:t>3</w:t>
                  </w:r>
                  <w:r>
                    <w:rPr>
                      <w:rFonts w:hint="eastAsia" w:ascii="宋体" w:hAnsi="宋体"/>
                      <w:snapToGrid w:val="0"/>
                      <w:kern w:val="0"/>
                      <w:szCs w:val="21"/>
                      <w:lang w:val="zh-CN"/>
                    </w:rPr>
                    <w:t>/a）</w:t>
                  </w:r>
                </w:p>
              </w:tc>
              <w:tc>
                <w:tcPr>
                  <w:tcW w:w="354" w:type="pct"/>
                  <w:vMerge w:val="restart"/>
                  <w:tcBorders>
                    <w:top w:val="single" w:color="auto" w:sz="4" w:space="0"/>
                    <w:left w:val="single" w:color="auto" w:sz="4" w:space="0"/>
                    <w:bottom w:val="single" w:color="auto" w:sz="4" w:space="0"/>
                    <w:right w:val="single" w:color="auto" w:sz="4" w:space="0"/>
                  </w:tcBorders>
                  <w:vAlign w:val="center"/>
                </w:tcPr>
                <w:p w14:paraId="6B758D9F">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污染物</w:t>
                  </w:r>
                </w:p>
              </w:tc>
              <w:tc>
                <w:tcPr>
                  <w:tcW w:w="1173" w:type="pct"/>
                  <w:gridSpan w:val="2"/>
                  <w:tcBorders>
                    <w:top w:val="single" w:color="auto" w:sz="4" w:space="0"/>
                    <w:left w:val="single" w:color="auto" w:sz="4" w:space="0"/>
                    <w:bottom w:val="single" w:color="auto" w:sz="4" w:space="0"/>
                    <w:right w:val="single" w:color="auto" w:sz="4" w:space="0"/>
                  </w:tcBorders>
                  <w:vAlign w:val="center"/>
                </w:tcPr>
                <w:p w14:paraId="17C70639">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产生情况</w:t>
                  </w:r>
                </w:p>
              </w:tc>
              <w:tc>
                <w:tcPr>
                  <w:tcW w:w="736" w:type="pct"/>
                  <w:vMerge w:val="restart"/>
                  <w:tcBorders>
                    <w:top w:val="single" w:color="auto" w:sz="4" w:space="0"/>
                    <w:left w:val="single" w:color="auto" w:sz="4" w:space="0"/>
                    <w:bottom w:val="single" w:color="auto" w:sz="4" w:space="0"/>
                    <w:right w:val="single" w:color="auto" w:sz="4" w:space="0"/>
                  </w:tcBorders>
                  <w:vAlign w:val="center"/>
                </w:tcPr>
                <w:p w14:paraId="49467D1E">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处理措施（效率）</w:t>
                  </w:r>
                </w:p>
              </w:tc>
              <w:tc>
                <w:tcPr>
                  <w:tcW w:w="1241" w:type="pct"/>
                  <w:gridSpan w:val="2"/>
                  <w:tcBorders>
                    <w:top w:val="single" w:color="auto" w:sz="4" w:space="0"/>
                    <w:left w:val="single" w:color="auto" w:sz="4" w:space="0"/>
                    <w:bottom w:val="single" w:color="auto" w:sz="4" w:space="0"/>
                    <w:right w:val="single" w:color="auto" w:sz="4" w:space="0"/>
                  </w:tcBorders>
                  <w:vAlign w:val="center"/>
                </w:tcPr>
                <w:p w14:paraId="303ABB85">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排放情况</w:t>
                  </w:r>
                </w:p>
              </w:tc>
            </w:tr>
            <w:tr w14:paraId="131E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71" w:type="pct"/>
                  <w:vMerge w:val="continue"/>
                  <w:tcBorders>
                    <w:top w:val="single" w:color="auto" w:sz="4" w:space="0"/>
                    <w:left w:val="single" w:color="auto" w:sz="4" w:space="0"/>
                    <w:bottom w:val="single" w:color="auto" w:sz="4" w:space="0"/>
                    <w:right w:val="single" w:color="auto" w:sz="4" w:space="0"/>
                  </w:tcBorders>
                  <w:vAlign w:val="center"/>
                </w:tcPr>
                <w:p w14:paraId="112DDE59">
                  <w:pPr>
                    <w:widowControl/>
                    <w:jc w:val="left"/>
                    <w:rPr>
                      <w:rFonts w:hint="eastAsia" w:ascii="宋体" w:hAnsi="宋体"/>
                      <w:snapToGrid w:val="0"/>
                      <w:kern w:val="0"/>
                      <w:szCs w:val="21"/>
                      <w:lang w:val="zh-CN"/>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14:paraId="27B7AB77">
                  <w:pPr>
                    <w:widowControl/>
                    <w:jc w:val="left"/>
                    <w:rPr>
                      <w:rFonts w:hint="eastAsia" w:ascii="宋体" w:hAnsi="宋体"/>
                      <w:snapToGrid w:val="0"/>
                      <w:kern w:val="0"/>
                      <w:szCs w:val="21"/>
                      <w:lang w:val="zh-CN"/>
                    </w:rPr>
                  </w:pPr>
                </w:p>
              </w:tc>
              <w:tc>
                <w:tcPr>
                  <w:tcW w:w="752" w:type="pct"/>
                  <w:vMerge w:val="continue"/>
                  <w:tcBorders>
                    <w:top w:val="single" w:color="auto" w:sz="4" w:space="0"/>
                    <w:left w:val="single" w:color="auto" w:sz="4" w:space="0"/>
                    <w:bottom w:val="single" w:color="auto" w:sz="4" w:space="0"/>
                    <w:right w:val="single" w:color="auto" w:sz="4" w:space="0"/>
                  </w:tcBorders>
                  <w:vAlign w:val="center"/>
                </w:tcPr>
                <w:p w14:paraId="4C39B15F">
                  <w:pPr>
                    <w:widowControl/>
                    <w:jc w:val="left"/>
                    <w:rPr>
                      <w:rFonts w:hint="eastAsia" w:ascii="宋体" w:hAnsi="宋体"/>
                      <w:snapToGrid w:val="0"/>
                      <w:kern w:val="0"/>
                      <w:szCs w:val="21"/>
                      <w:lang w:val="zh-CN"/>
                    </w:rPr>
                  </w:pPr>
                </w:p>
              </w:tc>
              <w:tc>
                <w:tcPr>
                  <w:tcW w:w="354" w:type="pct"/>
                  <w:vMerge w:val="continue"/>
                  <w:tcBorders>
                    <w:top w:val="single" w:color="auto" w:sz="4" w:space="0"/>
                    <w:left w:val="single" w:color="auto" w:sz="4" w:space="0"/>
                    <w:bottom w:val="single" w:color="auto" w:sz="4" w:space="0"/>
                    <w:right w:val="single" w:color="auto" w:sz="4" w:space="0"/>
                  </w:tcBorders>
                  <w:vAlign w:val="center"/>
                </w:tcPr>
                <w:p w14:paraId="5C566BBE">
                  <w:pPr>
                    <w:widowControl/>
                    <w:jc w:val="left"/>
                    <w:rPr>
                      <w:rFonts w:hint="eastAsia" w:ascii="宋体" w:hAnsi="宋体"/>
                      <w:snapToGrid w:val="0"/>
                      <w:kern w:val="0"/>
                      <w:szCs w:val="21"/>
                      <w:lang w:val="zh-CN"/>
                    </w:rPr>
                  </w:pPr>
                </w:p>
              </w:tc>
              <w:tc>
                <w:tcPr>
                  <w:tcW w:w="703" w:type="pct"/>
                  <w:tcBorders>
                    <w:top w:val="single" w:color="auto" w:sz="4" w:space="0"/>
                    <w:left w:val="single" w:color="auto" w:sz="4" w:space="0"/>
                    <w:bottom w:val="single" w:color="auto" w:sz="4" w:space="0"/>
                    <w:right w:val="single" w:color="auto" w:sz="4" w:space="0"/>
                  </w:tcBorders>
                  <w:vAlign w:val="center"/>
                </w:tcPr>
                <w:p w14:paraId="7A7036E1">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浓度（mg/m</w:t>
                  </w:r>
                  <w:r>
                    <w:rPr>
                      <w:rFonts w:hint="eastAsia" w:ascii="宋体" w:hAnsi="宋体"/>
                      <w:snapToGrid w:val="0"/>
                      <w:kern w:val="0"/>
                      <w:szCs w:val="21"/>
                      <w:vertAlign w:val="superscript"/>
                      <w:lang w:val="zh-CN"/>
                    </w:rPr>
                    <w:t>3</w:t>
                  </w:r>
                  <w:r>
                    <w:rPr>
                      <w:rFonts w:hint="eastAsia" w:ascii="宋体" w:hAnsi="宋体"/>
                      <w:snapToGrid w:val="0"/>
                      <w:kern w:val="0"/>
                      <w:szCs w:val="21"/>
                      <w:lang w:val="zh-CN"/>
                    </w:rPr>
                    <w:t>）</w:t>
                  </w:r>
                </w:p>
              </w:tc>
              <w:tc>
                <w:tcPr>
                  <w:tcW w:w="470" w:type="pct"/>
                  <w:tcBorders>
                    <w:top w:val="single" w:color="auto" w:sz="4" w:space="0"/>
                    <w:left w:val="single" w:color="auto" w:sz="4" w:space="0"/>
                    <w:bottom w:val="single" w:color="auto" w:sz="4" w:space="0"/>
                    <w:right w:val="single" w:color="auto" w:sz="4" w:space="0"/>
                  </w:tcBorders>
                  <w:vAlign w:val="center"/>
                </w:tcPr>
                <w:p w14:paraId="3DF6544B">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产生量（t）</w:t>
                  </w:r>
                </w:p>
              </w:tc>
              <w:tc>
                <w:tcPr>
                  <w:tcW w:w="736" w:type="pct"/>
                  <w:vMerge w:val="continue"/>
                  <w:tcBorders>
                    <w:top w:val="single" w:color="auto" w:sz="4" w:space="0"/>
                    <w:left w:val="single" w:color="auto" w:sz="4" w:space="0"/>
                    <w:bottom w:val="single" w:color="auto" w:sz="4" w:space="0"/>
                    <w:right w:val="single" w:color="auto" w:sz="4" w:space="0"/>
                  </w:tcBorders>
                  <w:vAlign w:val="center"/>
                </w:tcPr>
                <w:p w14:paraId="2E0C9325">
                  <w:pPr>
                    <w:widowControl/>
                    <w:jc w:val="left"/>
                    <w:rPr>
                      <w:rFonts w:hint="eastAsia" w:ascii="宋体" w:hAnsi="宋体"/>
                      <w:snapToGrid w:val="0"/>
                      <w:kern w:val="0"/>
                      <w:szCs w:val="21"/>
                      <w:lang w:val="zh-CN"/>
                    </w:rPr>
                  </w:pPr>
                </w:p>
              </w:tc>
              <w:tc>
                <w:tcPr>
                  <w:tcW w:w="703" w:type="pct"/>
                  <w:tcBorders>
                    <w:top w:val="single" w:color="auto" w:sz="4" w:space="0"/>
                    <w:left w:val="single" w:color="auto" w:sz="4" w:space="0"/>
                    <w:bottom w:val="single" w:color="auto" w:sz="4" w:space="0"/>
                    <w:right w:val="single" w:color="auto" w:sz="4" w:space="0"/>
                  </w:tcBorders>
                  <w:vAlign w:val="center"/>
                </w:tcPr>
                <w:p w14:paraId="3375BA60">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浓度（mg/m</w:t>
                  </w:r>
                  <w:r>
                    <w:rPr>
                      <w:rFonts w:hint="eastAsia" w:ascii="宋体" w:hAnsi="宋体"/>
                      <w:snapToGrid w:val="0"/>
                      <w:kern w:val="0"/>
                      <w:szCs w:val="21"/>
                      <w:vertAlign w:val="superscript"/>
                      <w:lang w:val="zh-CN"/>
                    </w:rPr>
                    <w:t>3</w:t>
                  </w:r>
                  <w:r>
                    <w:rPr>
                      <w:rFonts w:hint="eastAsia" w:ascii="宋体" w:hAnsi="宋体"/>
                      <w:snapToGrid w:val="0"/>
                      <w:kern w:val="0"/>
                      <w:szCs w:val="21"/>
                      <w:lang w:val="zh-CN"/>
                    </w:rPr>
                    <w:t>）</w:t>
                  </w:r>
                </w:p>
              </w:tc>
              <w:tc>
                <w:tcPr>
                  <w:tcW w:w="537" w:type="pct"/>
                  <w:tcBorders>
                    <w:top w:val="single" w:color="auto" w:sz="4" w:space="0"/>
                    <w:left w:val="single" w:color="auto" w:sz="4" w:space="0"/>
                    <w:bottom w:val="single" w:color="auto" w:sz="4" w:space="0"/>
                    <w:right w:val="single" w:color="auto" w:sz="4" w:space="0"/>
                  </w:tcBorders>
                  <w:vAlign w:val="center"/>
                </w:tcPr>
                <w:p w14:paraId="467BB6BD">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排放量（t）</w:t>
                  </w:r>
                </w:p>
              </w:tc>
            </w:tr>
            <w:tr w14:paraId="7072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restart"/>
                  <w:tcBorders>
                    <w:top w:val="single" w:color="auto" w:sz="4" w:space="0"/>
                    <w:left w:val="single" w:color="auto" w:sz="4" w:space="0"/>
                    <w:bottom w:val="single" w:color="auto" w:sz="4" w:space="0"/>
                    <w:right w:val="single" w:color="auto" w:sz="4" w:space="0"/>
                  </w:tcBorders>
                  <w:vAlign w:val="center"/>
                </w:tcPr>
                <w:p w14:paraId="0A2B988C">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冬防生物质锅炉</w:t>
                  </w:r>
                </w:p>
              </w:tc>
              <w:tc>
                <w:tcPr>
                  <w:tcW w:w="470" w:type="pct"/>
                  <w:vMerge w:val="restart"/>
                  <w:tcBorders>
                    <w:top w:val="single" w:color="auto" w:sz="4" w:space="0"/>
                    <w:left w:val="single" w:color="auto" w:sz="4" w:space="0"/>
                    <w:bottom w:val="single" w:color="auto" w:sz="4" w:space="0"/>
                    <w:right w:val="single" w:color="auto" w:sz="4" w:space="0"/>
                  </w:tcBorders>
                  <w:vAlign w:val="center"/>
                </w:tcPr>
                <w:p w14:paraId="4587FC4A">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540</w:t>
                  </w:r>
                </w:p>
              </w:tc>
              <w:tc>
                <w:tcPr>
                  <w:tcW w:w="752" w:type="pct"/>
                  <w:vMerge w:val="restart"/>
                  <w:tcBorders>
                    <w:top w:val="single" w:color="auto" w:sz="4" w:space="0"/>
                    <w:left w:val="single" w:color="auto" w:sz="4" w:space="0"/>
                    <w:bottom w:val="single" w:color="auto" w:sz="4" w:space="0"/>
                    <w:right w:val="single" w:color="auto" w:sz="4" w:space="0"/>
                  </w:tcBorders>
                  <w:vAlign w:val="center"/>
                </w:tcPr>
                <w:p w14:paraId="0CE67D06">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336.96</w:t>
                  </w:r>
                </w:p>
              </w:tc>
              <w:tc>
                <w:tcPr>
                  <w:tcW w:w="354" w:type="pct"/>
                  <w:tcBorders>
                    <w:top w:val="single" w:color="auto" w:sz="4" w:space="0"/>
                    <w:left w:val="single" w:color="auto" w:sz="4" w:space="0"/>
                    <w:bottom w:val="single" w:color="auto" w:sz="4" w:space="0"/>
                    <w:right w:val="single" w:color="auto" w:sz="4" w:space="0"/>
                  </w:tcBorders>
                  <w:vAlign w:val="center"/>
                </w:tcPr>
                <w:p w14:paraId="0157165E">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SO</w:t>
                  </w:r>
                  <w:r>
                    <w:rPr>
                      <w:rFonts w:hint="eastAsia" w:ascii="宋体" w:hAnsi="宋体"/>
                      <w:snapToGrid w:val="0"/>
                      <w:kern w:val="0"/>
                      <w:szCs w:val="21"/>
                      <w:vertAlign w:val="subscript"/>
                      <w:lang w:val="zh-CN"/>
                    </w:rPr>
                    <w:t>2</w:t>
                  </w:r>
                </w:p>
              </w:tc>
              <w:tc>
                <w:tcPr>
                  <w:tcW w:w="703" w:type="pct"/>
                  <w:tcBorders>
                    <w:top w:val="single" w:color="auto" w:sz="4" w:space="0"/>
                    <w:left w:val="single" w:color="auto" w:sz="4" w:space="0"/>
                    <w:bottom w:val="single" w:color="auto" w:sz="4" w:space="0"/>
                    <w:right w:val="single" w:color="auto" w:sz="4" w:space="0"/>
                  </w:tcBorders>
                  <w:vAlign w:val="center"/>
                </w:tcPr>
                <w:p w14:paraId="0501B6B2">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158</w:t>
                  </w:r>
                </w:p>
              </w:tc>
              <w:tc>
                <w:tcPr>
                  <w:tcW w:w="470" w:type="pct"/>
                  <w:tcBorders>
                    <w:top w:val="single" w:color="auto" w:sz="4" w:space="0"/>
                    <w:left w:val="single" w:color="auto" w:sz="4" w:space="0"/>
                    <w:bottom w:val="single" w:color="auto" w:sz="4" w:space="0"/>
                    <w:right w:val="single" w:color="auto" w:sz="4" w:space="0"/>
                  </w:tcBorders>
                  <w:vAlign w:val="center"/>
                </w:tcPr>
                <w:p w14:paraId="2DCA7407">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0.532</w:t>
                  </w:r>
                </w:p>
              </w:tc>
              <w:tc>
                <w:tcPr>
                  <w:tcW w:w="736" w:type="pct"/>
                  <w:tcBorders>
                    <w:top w:val="single" w:color="auto" w:sz="4" w:space="0"/>
                    <w:left w:val="single" w:color="auto" w:sz="4" w:space="0"/>
                    <w:bottom w:val="single" w:color="auto" w:sz="4" w:space="0"/>
                    <w:right w:val="single" w:color="auto" w:sz="4" w:space="0"/>
                  </w:tcBorders>
                  <w:vAlign w:val="center"/>
                </w:tcPr>
                <w:p w14:paraId="4AD1F9B5">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脱硫塔脱硫（90%）</w:t>
                  </w:r>
                </w:p>
              </w:tc>
              <w:tc>
                <w:tcPr>
                  <w:tcW w:w="703" w:type="pct"/>
                  <w:tcBorders>
                    <w:top w:val="single" w:color="auto" w:sz="4" w:space="0"/>
                    <w:left w:val="single" w:color="auto" w:sz="4" w:space="0"/>
                    <w:bottom w:val="single" w:color="auto" w:sz="4" w:space="0"/>
                    <w:right w:val="single" w:color="auto" w:sz="4" w:space="0"/>
                  </w:tcBorders>
                  <w:vAlign w:val="center"/>
                </w:tcPr>
                <w:p w14:paraId="7465620A">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15.8</w:t>
                  </w:r>
                </w:p>
              </w:tc>
              <w:tc>
                <w:tcPr>
                  <w:tcW w:w="537" w:type="pct"/>
                  <w:tcBorders>
                    <w:top w:val="single" w:color="auto" w:sz="4" w:space="0"/>
                    <w:left w:val="single" w:color="auto" w:sz="4" w:space="0"/>
                    <w:bottom w:val="single" w:color="auto" w:sz="4" w:space="0"/>
                    <w:right w:val="single" w:color="auto" w:sz="4" w:space="0"/>
                  </w:tcBorders>
                  <w:vAlign w:val="center"/>
                </w:tcPr>
                <w:p w14:paraId="706F1483">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0.053</w:t>
                  </w:r>
                </w:p>
              </w:tc>
            </w:tr>
            <w:tr w14:paraId="5C4A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op w:val="single" w:color="auto" w:sz="4" w:space="0"/>
                    <w:left w:val="single" w:color="auto" w:sz="4" w:space="0"/>
                    <w:bottom w:val="single" w:color="auto" w:sz="4" w:space="0"/>
                    <w:right w:val="single" w:color="auto" w:sz="4" w:space="0"/>
                  </w:tcBorders>
                  <w:vAlign w:val="center"/>
                </w:tcPr>
                <w:p w14:paraId="024575BD">
                  <w:pPr>
                    <w:widowControl/>
                    <w:jc w:val="left"/>
                    <w:rPr>
                      <w:rFonts w:hint="eastAsia" w:ascii="宋体" w:hAnsi="宋体"/>
                      <w:snapToGrid w:val="0"/>
                      <w:kern w:val="0"/>
                      <w:szCs w:val="21"/>
                      <w:lang w:val="zh-CN"/>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14:paraId="3DC28E54">
                  <w:pPr>
                    <w:widowControl/>
                    <w:jc w:val="left"/>
                    <w:rPr>
                      <w:rFonts w:hint="eastAsia" w:ascii="宋体" w:hAnsi="宋体"/>
                      <w:snapToGrid w:val="0"/>
                      <w:kern w:val="0"/>
                      <w:szCs w:val="21"/>
                      <w:lang w:val="zh-CN"/>
                    </w:rPr>
                  </w:pPr>
                </w:p>
              </w:tc>
              <w:tc>
                <w:tcPr>
                  <w:tcW w:w="752" w:type="pct"/>
                  <w:vMerge w:val="continue"/>
                  <w:tcBorders>
                    <w:top w:val="single" w:color="auto" w:sz="4" w:space="0"/>
                    <w:left w:val="single" w:color="auto" w:sz="4" w:space="0"/>
                    <w:bottom w:val="single" w:color="auto" w:sz="4" w:space="0"/>
                    <w:right w:val="single" w:color="auto" w:sz="4" w:space="0"/>
                  </w:tcBorders>
                  <w:vAlign w:val="center"/>
                </w:tcPr>
                <w:p w14:paraId="6BDB0EF9">
                  <w:pPr>
                    <w:widowControl/>
                    <w:jc w:val="left"/>
                    <w:rPr>
                      <w:rFonts w:hint="eastAsia" w:ascii="宋体" w:hAnsi="宋体"/>
                      <w:snapToGrid w:val="0"/>
                      <w:kern w:val="0"/>
                      <w:szCs w:val="21"/>
                      <w:lang w:val="zh-CN"/>
                    </w:rPr>
                  </w:pPr>
                </w:p>
              </w:tc>
              <w:tc>
                <w:tcPr>
                  <w:tcW w:w="354" w:type="pct"/>
                  <w:tcBorders>
                    <w:top w:val="single" w:color="auto" w:sz="4" w:space="0"/>
                    <w:left w:val="single" w:color="auto" w:sz="4" w:space="0"/>
                    <w:bottom w:val="single" w:color="auto" w:sz="4" w:space="0"/>
                    <w:right w:val="single" w:color="auto" w:sz="4" w:space="0"/>
                  </w:tcBorders>
                  <w:vAlign w:val="center"/>
                </w:tcPr>
                <w:p w14:paraId="4DDA4ADC">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NO</w:t>
                  </w:r>
                  <w:r>
                    <w:rPr>
                      <w:rFonts w:hint="eastAsia" w:ascii="宋体" w:hAnsi="宋体"/>
                      <w:snapToGrid w:val="0"/>
                      <w:kern w:val="0"/>
                      <w:szCs w:val="21"/>
                      <w:vertAlign w:val="subscript"/>
                      <w:lang w:val="zh-CN"/>
                    </w:rPr>
                    <w:t>X</w:t>
                  </w:r>
                </w:p>
              </w:tc>
              <w:tc>
                <w:tcPr>
                  <w:tcW w:w="703" w:type="pct"/>
                  <w:tcBorders>
                    <w:top w:val="single" w:color="auto" w:sz="4" w:space="0"/>
                    <w:left w:val="single" w:color="auto" w:sz="4" w:space="0"/>
                    <w:bottom w:val="single" w:color="auto" w:sz="4" w:space="0"/>
                    <w:right w:val="single" w:color="auto" w:sz="4" w:space="0"/>
                  </w:tcBorders>
                  <w:vAlign w:val="center"/>
                </w:tcPr>
                <w:p w14:paraId="4A76C30C">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163.5</w:t>
                  </w:r>
                </w:p>
              </w:tc>
              <w:tc>
                <w:tcPr>
                  <w:tcW w:w="470" w:type="pct"/>
                  <w:tcBorders>
                    <w:top w:val="single" w:color="auto" w:sz="4" w:space="0"/>
                    <w:left w:val="single" w:color="auto" w:sz="4" w:space="0"/>
                    <w:bottom w:val="single" w:color="auto" w:sz="4" w:space="0"/>
                    <w:right w:val="single" w:color="auto" w:sz="4" w:space="0"/>
                  </w:tcBorders>
                  <w:vAlign w:val="center"/>
                </w:tcPr>
                <w:p w14:paraId="49257721">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0.551</w:t>
                  </w:r>
                </w:p>
              </w:tc>
              <w:tc>
                <w:tcPr>
                  <w:tcW w:w="736" w:type="pct"/>
                  <w:tcBorders>
                    <w:top w:val="single" w:color="auto" w:sz="4" w:space="0"/>
                    <w:left w:val="single" w:color="auto" w:sz="4" w:space="0"/>
                    <w:bottom w:val="single" w:color="auto" w:sz="4" w:space="0"/>
                    <w:right w:val="single" w:color="auto" w:sz="4" w:space="0"/>
                  </w:tcBorders>
                  <w:vAlign w:val="center"/>
                </w:tcPr>
                <w:p w14:paraId="3D5809AD">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低氮燃烧+SNCR (45.4%)</w:t>
                  </w:r>
                </w:p>
              </w:tc>
              <w:tc>
                <w:tcPr>
                  <w:tcW w:w="703" w:type="pct"/>
                  <w:tcBorders>
                    <w:top w:val="single" w:color="auto" w:sz="4" w:space="0"/>
                    <w:left w:val="single" w:color="auto" w:sz="4" w:space="0"/>
                    <w:bottom w:val="single" w:color="auto" w:sz="4" w:space="0"/>
                    <w:right w:val="single" w:color="auto" w:sz="4" w:space="0"/>
                  </w:tcBorders>
                  <w:vAlign w:val="center"/>
                </w:tcPr>
                <w:p w14:paraId="7577FFC5">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89.3</w:t>
                  </w:r>
                </w:p>
              </w:tc>
              <w:tc>
                <w:tcPr>
                  <w:tcW w:w="537" w:type="pct"/>
                  <w:tcBorders>
                    <w:top w:val="single" w:color="auto" w:sz="4" w:space="0"/>
                    <w:left w:val="single" w:color="auto" w:sz="4" w:space="0"/>
                    <w:bottom w:val="single" w:color="auto" w:sz="4" w:space="0"/>
                    <w:right w:val="single" w:color="auto" w:sz="4" w:space="0"/>
                  </w:tcBorders>
                  <w:vAlign w:val="center"/>
                </w:tcPr>
                <w:p w14:paraId="179C252D">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0.300</w:t>
                  </w:r>
                </w:p>
              </w:tc>
            </w:tr>
            <w:tr w14:paraId="1A8F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op w:val="single" w:color="auto" w:sz="4" w:space="0"/>
                    <w:left w:val="single" w:color="auto" w:sz="4" w:space="0"/>
                    <w:bottom w:val="single" w:color="auto" w:sz="4" w:space="0"/>
                    <w:right w:val="single" w:color="auto" w:sz="4" w:space="0"/>
                  </w:tcBorders>
                  <w:vAlign w:val="center"/>
                </w:tcPr>
                <w:p w14:paraId="405405AB">
                  <w:pPr>
                    <w:widowControl/>
                    <w:jc w:val="left"/>
                    <w:rPr>
                      <w:rFonts w:hint="eastAsia" w:ascii="宋体" w:hAnsi="宋体"/>
                      <w:snapToGrid w:val="0"/>
                      <w:kern w:val="0"/>
                      <w:szCs w:val="21"/>
                      <w:lang w:val="zh-CN"/>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14:paraId="726A4F9A">
                  <w:pPr>
                    <w:widowControl/>
                    <w:jc w:val="left"/>
                    <w:rPr>
                      <w:rFonts w:hint="eastAsia" w:ascii="宋体" w:hAnsi="宋体"/>
                      <w:snapToGrid w:val="0"/>
                      <w:kern w:val="0"/>
                      <w:szCs w:val="21"/>
                      <w:lang w:val="zh-CN"/>
                    </w:rPr>
                  </w:pPr>
                </w:p>
              </w:tc>
              <w:tc>
                <w:tcPr>
                  <w:tcW w:w="752" w:type="pct"/>
                  <w:vMerge w:val="continue"/>
                  <w:tcBorders>
                    <w:top w:val="single" w:color="auto" w:sz="4" w:space="0"/>
                    <w:left w:val="single" w:color="auto" w:sz="4" w:space="0"/>
                    <w:bottom w:val="single" w:color="auto" w:sz="4" w:space="0"/>
                    <w:right w:val="single" w:color="auto" w:sz="4" w:space="0"/>
                  </w:tcBorders>
                  <w:vAlign w:val="center"/>
                </w:tcPr>
                <w:p w14:paraId="737CC905">
                  <w:pPr>
                    <w:widowControl/>
                    <w:jc w:val="left"/>
                    <w:rPr>
                      <w:rFonts w:hint="eastAsia" w:ascii="宋体" w:hAnsi="宋体"/>
                      <w:snapToGrid w:val="0"/>
                      <w:kern w:val="0"/>
                      <w:szCs w:val="21"/>
                      <w:lang w:val="zh-CN"/>
                    </w:rPr>
                  </w:pPr>
                </w:p>
              </w:tc>
              <w:tc>
                <w:tcPr>
                  <w:tcW w:w="354" w:type="pct"/>
                  <w:tcBorders>
                    <w:top w:val="single" w:color="auto" w:sz="4" w:space="0"/>
                    <w:left w:val="single" w:color="auto" w:sz="4" w:space="0"/>
                    <w:bottom w:val="single" w:color="auto" w:sz="4" w:space="0"/>
                    <w:right w:val="single" w:color="auto" w:sz="4" w:space="0"/>
                  </w:tcBorders>
                  <w:vAlign w:val="center"/>
                </w:tcPr>
                <w:p w14:paraId="1538AB3F">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颗粒物</w:t>
                  </w:r>
                </w:p>
              </w:tc>
              <w:tc>
                <w:tcPr>
                  <w:tcW w:w="703" w:type="pct"/>
                  <w:tcBorders>
                    <w:top w:val="single" w:color="auto" w:sz="4" w:space="0"/>
                    <w:left w:val="single" w:color="auto" w:sz="4" w:space="0"/>
                    <w:bottom w:val="single" w:color="auto" w:sz="4" w:space="0"/>
                    <w:right w:val="single" w:color="auto" w:sz="4" w:space="0"/>
                  </w:tcBorders>
                  <w:vAlign w:val="center"/>
                </w:tcPr>
                <w:p w14:paraId="3A0E4F0D">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80.2</w:t>
                  </w:r>
                </w:p>
              </w:tc>
              <w:tc>
                <w:tcPr>
                  <w:tcW w:w="470" w:type="pct"/>
                  <w:tcBorders>
                    <w:top w:val="single" w:color="auto" w:sz="4" w:space="0"/>
                    <w:left w:val="single" w:color="auto" w:sz="4" w:space="0"/>
                    <w:bottom w:val="single" w:color="auto" w:sz="4" w:space="0"/>
                    <w:right w:val="single" w:color="auto" w:sz="4" w:space="0"/>
                  </w:tcBorders>
                  <w:vAlign w:val="center"/>
                </w:tcPr>
                <w:p w14:paraId="51FB8448">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0.270</w:t>
                  </w:r>
                </w:p>
              </w:tc>
              <w:tc>
                <w:tcPr>
                  <w:tcW w:w="736" w:type="pct"/>
                  <w:tcBorders>
                    <w:top w:val="single" w:color="auto" w:sz="4" w:space="0"/>
                    <w:left w:val="single" w:color="auto" w:sz="4" w:space="0"/>
                    <w:bottom w:val="single" w:color="auto" w:sz="4" w:space="0"/>
                    <w:right w:val="single" w:color="auto" w:sz="4" w:space="0"/>
                  </w:tcBorders>
                  <w:vAlign w:val="center"/>
                </w:tcPr>
                <w:p w14:paraId="390EA0D6">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袋式除尘（99.7%）</w:t>
                  </w:r>
                </w:p>
              </w:tc>
              <w:tc>
                <w:tcPr>
                  <w:tcW w:w="703" w:type="pct"/>
                  <w:tcBorders>
                    <w:top w:val="single" w:color="auto" w:sz="4" w:space="0"/>
                    <w:left w:val="single" w:color="auto" w:sz="4" w:space="0"/>
                    <w:bottom w:val="single" w:color="auto" w:sz="4" w:space="0"/>
                    <w:right w:val="single" w:color="auto" w:sz="4" w:space="0"/>
                  </w:tcBorders>
                  <w:vAlign w:val="center"/>
                </w:tcPr>
                <w:p w14:paraId="013D140D">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0.24</w:t>
                  </w:r>
                </w:p>
              </w:tc>
              <w:tc>
                <w:tcPr>
                  <w:tcW w:w="537" w:type="pct"/>
                  <w:tcBorders>
                    <w:top w:val="single" w:color="auto" w:sz="4" w:space="0"/>
                    <w:left w:val="single" w:color="auto" w:sz="4" w:space="0"/>
                    <w:bottom w:val="single" w:color="auto" w:sz="4" w:space="0"/>
                    <w:right w:val="single" w:color="auto" w:sz="4" w:space="0"/>
                  </w:tcBorders>
                  <w:vAlign w:val="center"/>
                </w:tcPr>
                <w:p w14:paraId="1F36F630">
                  <w:pPr>
                    <w:autoSpaceDE w:val="0"/>
                    <w:autoSpaceDN w:val="0"/>
                    <w:adjustRightInd w:val="0"/>
                    <w:snapToGrid w:val="0"/>
                    <w:jc w:val="center"/>
                    <w:rPr>
                      <w:rFonts w:hint="eastAsia" w:ascii="宋体" w:hAnsi="宋体"/>
                      <w:snapToGrid w:val="0"/>
                      <w:kern w:val="0"/>
                      <w:szCs w:val="21"/>
                      <w:lang w:val="zh-CN"/>
                    </w:rPr>
                  </w:pPr>
                  <w:r>
                    <w:rPr>
                      <w:rFonts w:hint="eastAsia" w:ascii="宋体" w:hAnsi="宋体"/>
                      <w:snapToGrid w:val="0"/>
                      <w:kern w:val="0"/>
                      <w:szCs w:val="21"/>
                      <w:lang w:val="zh-CN"/>
                    </w:rPr>
                    <w:t>0.0008</w:t>
                  </w:r>
                </w:p>
              </w:tc>
            </w:tr>
          </w:tbl>
          <w:p w14:paraId="09E94FEE">
            <w:pPr>
              <w:pStyle w:val="112"/>
              <w:ind w:firstLine="0" w:firstLineChars="0"/>
              <w:rPr>
                <w:rFonts w:hint="eastAsia"/>
                <w:bCs/>
              </w:rPr>
            </w:pPr>
          </w:p>
          <w:p w14:paraId="56AC0330">
            <w:pPr>
              <w:pStyle w:val="112"/>
              <w:ind w:firstLine="420"/>
              <w:rPr>
                <w:rFonts w:hint="eastAsia"/>
              </w:rPr>
            </w:pPr>
            <w:r>
              <w:rPr>
                <w:rFonts w:hint="eastAsia"/>
                <w:bCs/>
              </w:rPr>
              <w:t>由上表可知，本项目施工期冬防锅炉废气中SO</w:t>
            </w:r>
            <w:r>
              <w:rPr>
                <w:rFonts w:hint="eastAsia"/>
                <w:bCs/>
                <w:vertAlign w:val="subscript"/>
              </w:rPr>
              <w:t>2</w:t>
            </w:r>
            <w:r>
              <w:rPr>
                <w:rFonts w:hint="eastAsia"/>
                <w:bCs/>
              </w:rPr>
              <w:t>的排放量为0.053t，NO</w:t>
            </w:r>
            <w:r>
              <w:rPr>
                <w:rFonts w:hint="eastAsia"/>
                <w:bCs/>
                <w:vertAlign w:val="subscript"/>
              </w:rPr>
              <w:t>X</w:t>
            </w:r>
            <w:r>
              <w:rPr>
                <w:rFonts w:hint="eastAsia"/>
                <w:bCs/>
              </w:rPr>
              <w:t>的排放量为0.3t,颗粒物的排放量为0.0008t；SO</w:t>
            </w:r>
            <w:r>
              <w:rPr>
                <w:rFonts w:hint="eastAsia"/>
                <w:bCs/>
                <w:vertAlign w:val="subscript"/>
              </w:rPr>
              <w:t>2</w:t>
            </w:r>
            <w:r>
              <w:rPr>
                <w:rFonts w:hint="eastAsia"/>
                <w:bCs/>
              </w:rPr>
              <w:t>的排放浓度为15.8mg/m</w:t>
            </w:r>
            <w:r>
              <w:rPr>
                <w:rFonts w:hint="eastAsia"/>
                <w:bCs/>
                <w:vertAlign w:val="superscript"/>
              </w:rPr>
              <w:t>3</w:t>
            </w:r>
            <w:r>
              <w:rPr>
                <w:rFonts w:hint="eastAsia"/>
                <w:bCs/>
              </w:rPr>
              <w:t>，NO</w:t>
            </w:r>
            <w:r>
              <w:rPr>
                <w:rFonts w:hint="eastAsia"/>
                <w:bCs/>
                <w:vertAlign w:val="subscript"/>
              </w:rPr>
              <w:t>X</w:t>
            </w:r>
            <w:r>
              <w:rPr>
                <w:rFonts w:hint="eastAsia"/>
                <w:bCs/>
              </w:rPr>
              <w:t>的排放浓度为89.3mg/m</w:t>
            </w:r>
            <w:r>
              <w:rPr>
                <w:rFonts w:hint="eastAsia"/>
                <w:bCs/>
                <w:vertAlign w:val="superscript"/>
              </w:rPr>
              <w:t>3</w:t>
            </w:r>
            <w:r>
              <w:rPr>
                <w:rFonts w:hint="eastAsia"/>
                <w:bCs/>
              </w:rPr>
              <w:t>,颗粒物的排放浓度为0.24mg/m</w:t>
            </w:r>
            <w:r>
              <w:rPr>
                <w:rFonts w:hint="eastAsia"/>
                <w:bCs/>
                <w:vertAlign w:val="superscript"/>
              </w:rPr>
              <w:t>3</w:t>
            </w:r>
            <w:r>
              <w:rPr>
                <w:rFonts w:hint="eastAsia"/>
                <w:bCs/>
              </w:rPr>
              <w:t>，</w:t>
            </w:r>
            <w:r>
              <w:rPr>
                <w:rFonts w:hint="eastAsia"/>
              </w:rPr>
              <w:t>颗粒物、SO</w:t>
            </w:r>
            <w:r>
              <w:rPr>
                <w:rFonts w:hint="eastAsia"/>
                <w:vertAlign w:val="subscript"/>
              </w:rPr>
              <w:t>2</w:t>
            </w:r>
            <w:r>
              <w:rPr>
                <w:rFonts w:hint="eastAsia"/>
              </w:rPr>
              <w:t>、NO</w:t>
            </w:r>
            <w:r>
              <w:rPr>
                <w:rFonts w:hint="eastAsia"/>
                <w:vertAlign w:val="subscript"/>
              </w:rPr>
              <w:t>X</w:t>
            </w:r>
            <w:r>
              <w:rPr>
                <w:rFonts w:hint="eastAsia"/>
              </w:rPr>
              <w:t>有组织排放满足《锅炉大气污染物排放标准》（GB 13271-2014）表2中燃气锅炉大气污染物排放限值要求（颗粒物：20mg/m</w:t>
            </w:r>
            <w:r>
              <w:rPr>
                <w:rFonts w:hint="eastAsia"/>
                <w:vertAlign w:val="superscript"/>
              </w:rPr>
              <w:t>3</w:t>
            </w:r>
            <w:r>
              <w:rPr>
                <w:rFonts w:hint="eastAsia"/>
              </w:rPr>
              <w:t>，SO</w:t>
            </w:r>
            <w:r>
              <w:rPr>
                <w:rFonts w:hint="eastAsia"/>
                <w:vertAlign w:val="subscript"/>
              </w:rPr>
              <w:t>2</w:t>
            </w:r>
            <w:r>
              <w:rPr>
                <w:rFonts w:hint="eastAsia"/>
              </w:rPr>
              <w:t>：50mg/m</w:t>
            </w:r>
            <w:r>
              <w:rPr>
                <w:rFonts w:hint="eastAsia"/>
                <w:vertAlign w:val="superscript"/>
              </w:rPr>
              <w:t>3</w:t>
            </w:r>
            <w:r>
              <w:rPr>
                <w:rFonts w:hint="eastAsia"/>
              </w:rPr>
              <w:t>，NO</w:t>
            </w:r>
            <w:r>
              <w:rPr>
                <w:rFonts w:hint="eastAsia"/>
                <w:vertAlign w:val="subscript"/>
              </w:rPr>
              <w:t>X</w:t>
            </w:r>
            <w:r>
              <w:rPr>
                <w:rFonts w:hint="eastAsia"/>
              </w:rPr>
              <w:t>：150mg/m</w:t>
            </w:r>
            <w:r>
              <w:rPr>
                <w:rFonts w:hint="eastAsia"/>
                <w:vertAlign w:val="superscript"/>
              </w:rPr>
              <w:t>3</w:t>
            </w:r>
            <w:r>
              <w:rPr>
                <w:rFonts w:hint="eastAsia"/>
              </w:rPr>
              <w:t>，林格曼黑度1级），锅炉废气达标排放，对周边环境影响不大。</w:t>
            </w:r>
          </w:p>
          <w:p w14:paraId="20032098">
            <w:pPr>
              <w:pStyle w:val="112"/>
              <w:ind w:firstLine="420"/>
              <w:rPr>
                <w:rFonts w:hint="eastAsia"/>
                <w:bCs/>
              </w:rPr>
            </w:pPr>
            <w:r>
              <w:rPr>
                <w:rFonts w:hint="eastAsia"/>
                <w:bCs/>
              </w:rPr>
              <w:t>3、施工期水环境影响分析</w:t>
            </w:r>
          </w:p>
          <w:p w14:paraId="3306226A">
            <w:pPr>
              <w:pStyle w:val="112"/>
              <w:ind w:firstLine="420"/>
              <w:rPr>
                <w:rFonts w:hint="eastAsia"/>
              </w:rPr>
            </w:pPr>
            <w:r>
              <w:rPr>
                <w:rFonts w:hint="eastAsia"/>
              </w:rPr>
              <w:t>1）生活污水</w:t>
            </w:r>
          </w:p>
          <w:p w14:paraId="0D630305">
            <w:pPr>
              <w:pStyle w:val="112"/>
              <w:ind w:firstLine="420"/>
              <w:rPr>
                <w:rFonts w:hint="eastAsia"/>
              </w:rPr>
            </w:pPr>
            <w:r>
              <w:rPr>
                <w:rFonts w:hint="eastAsia"/>
                <w:snapToGrid w:val="0"/>
              </w:rPr>
              <w:t>钻井期内生活污水总产生量76.8m</w:t>
            </w:r>
            <w:r>
              <w:rPr>
                <w:rFonts w:hint="eastAsia"/>
                <w:snapToGrid w:val="0"/>
                <w:vertAlign w:val="superscript"/>
              </w:rPr>
              <w:t>3</w:t>
            </w:r>
            <w:r>
              <w:rPr>
                <w:rFonts w:hint="eastAsia"/>
                <w:snapToGrid w:val="0"/>
              </w:rPr>
              <w:t>，试油期内生活污水产生量为64.0m</w:t>
            </w:r>
            <w:r>
              <w:rPr>
                <w:rFonts w:hint="eastAsia"/>
                <w:snapToGrid w:val="0"/>
                <w:vertAlign w:val="superscript"/>
              </w:rPr>
              <w:t>3</w:t>
            </w:r>
            <w:r>
              <w:rPr>
                <w:rFonts w:hint="eastAsia"/>
                <w:snapToGrid w:val="0"/>
              </w:rPr>
              <w:t>，</w:t>
            </w:r>
            <w:r>
              <w:rPr>
                <w:rFonts w:hint="eastAsia"/>
              </w:rPr>
              <w:t>生活区设置环保厕所，生活污水全部排至环保厕所，定期拉运至中石化新疆新春石油开发有限责任公司管理一区生活基地合理化处置，不会对环境造成明显影响。</w:t>
            </w:r>
          </w:p>
          <w:p w14:paraId="2A77875F">
            <w:pPr>
              <w:pStyle w:val="112"/>
              <w:ind w:firstLine="420"/>
              <w:rPr>
                <w:rFonts w:hint="eastAsia"/>
              </w:rPr>
            </w:pPr>
            <w:r>
              <w:rPr>
                <w:rFonts w:hint="eastAsia"/>
              </w:rPr>
              <w:t>依托可行性分析：根据《中石化新疆新春石油开发有限责任公司春风油田环境影响后评价报告书》（新环环评函[2022]221号），现状生活基地的生活污水经管理一区生活基地内排水系统排到生活污水一体化处理装置处理，达到《污水综合排放标准》（GB 8978-1996）二级标准后用于绿化。污水处理工艺为：预处理+厌氧池+三级氧化+消毒+过滤工艺。污水处理设施能力：300m³/d。根据现场调查，绿化效果显著，改善了区域小环境，采取的生活污水处理措施有效。</w:t>
            </w:r>
          </w:p>
          <w:p w14:paraId="469115F6">
            <w:pPr>
              <w:pStyle w:val="112"/>
              <w:ind w:firstLine="420"/>
              <w:rPr>
                <w:rFonts w:hint="eastAsia"/>
              </w:rPr>
            </w:pPr>
            <w:r>
              <w:rPr>
                <w:rFonts w:hint="eastAsia"/>
              </w:rPr>
              <w:t>2）</w:t>
            </w:r>
            <w:r>
              <w:rPr>
                <w:rFonts w:ascii="Calibri" w:hAnsi="Calibri" w:cs="Calibri"/>
              </w:rPr>
              <w:t>井下作业废液、压裂返排液</w:t>
            </w:r>
          </w:p>
          <w:p w14:paraId="47045F06">
            <w:pPr>
              <w:pStyle w:val="113"/>
              <w:rPr>
                <w:rFonts w:hint="eastAsia"/>
                <w:szCs w:val="21"/>
              </w:rPr>
            </w:pPr>
            <w:r>
              <w:rPr>
                <w:rFonts w:ascii="Calibri" w:hAnsi="Calibri" w:cs="Calibri"/>
              </w:rPr>
              <w:t>根据类比调查，试油期每百米井深产生废水约</w:t>
            </w:r>
            <w:r>
              <w:t>12.23m</w:t>
            </w:r>
            <w:r>
              <w:rPr>
                <w:vertAlign w:val="superscript"/>
              </w:rPr>
              <w:t>3</w:t>
            </w:r>
            <w:r>
              <w:rPr>
                <w:rFonts w:ascii="Calibri" w:hAnsi="Calibri" w:cs="Calibri"/>
              </w:rPr>
              <w:t>，整个试油周期产生废水</w:t>
            </w:r>
            <w:r>
              <w:rPr>
                <w:rFonts w:hint="eastAsia"/>
                <w:snapToGrid w:val="0"/>
              </w:rPr>
              <w:t>577.3</w:t>
            </w:r>
            <w:r>
              <w:t>m</w:t>
            </w:r>
            <w:r>
              <w:rPr>
                <w:vertAlign w:val="superscript"/>
              </w:rPr>
              <w:t>3</w:t>
            </w:r>
            <w:r>
              <w:rPr>
                <w:rFonts w:ascii="Calibri" w:hAnsi="Calibri" w:cs="Calibri"/>
              </w:rPr>
              <w:t>，井下作业废液先在井场方罐（总容量约</w:t>
            </w:r>
            <w:r>
              <w:t>120m</w:t>
            </w:r>
            <w:r>
              <w:rPr>
                <w:rFonts w:ascii="Calibri" w:hAnsi="Calibri" w:cs="Calibri"/>
              </w:rPr>
              <w:t>³，</w:t>
            </w:r>
            <w:r>
              <w:t>3</w:t>
            </w:r>
            <w:r>
              <w:rPr>
                <w:rFonts w:ascii="Calibri" w:hAnsi="Calibri" w:cs="Calibri"/>
              </w:rPr>
              <w:t>用</w:t>
            </w:r>
            <w:r>
              <w:t>1</w:t>
            </w:r>
            <w:r>
              <w:rPr>
                <w:rFonts w:ascii="Calibri" w:hAnsi="Calibri" w:cs="Calibri"/>
              </w:rPr>
              <w:t>备）内暂存；井下作业废液定期通过罐车拉运至中石化新疆新春石油开发有限责任公司春风油田春风一号联合站采出水处理系统处理，经处理达到</w:t>
            </w:r>
            <w:r>
              <w:rPr>
                <w:rFonts w:ascii="Calibri" w:hAnsi="Calibri" w:cs="Calibri"/>
                <w:kern w:val="0"/>
              </w:rPr>
              <w:t>《碎屑岩油藏注水水质指标技术要求及分析方法》（</w:t>
            </w:r>
            <w:r>
              <w:rPr>
                <w:rFonts w:hint="eastAsia"/>
                <w:kern w:val="0"/>
              </w:rPr>
              <w:t>SY/T 5329-2022</w:t>
            </w:r>
            <w:r>
              <w:rPr>
                <w:rFonts w:ascii="Calibri" w:hAnsi="Calibri" w:cs="Calibri"/>
                <w:kern w:val="0"/>
              </w:rPr>
              <w:t>）中水质主要控制指标限值要求</w:t>
            </w:r>
            <w:r>
              <w:rPr>
                <w:rFonts w:ascii="Calibri" w:hAnsi="Calibri" w:cs="Calibri"/>
              </w:rPr>
              <w:t>后回注地层用于产能开发，不外排。</w:t>
            </w:r>
          </w:p>
          <w:p w14:paraId="0DBE4F29">
            <w:pPr>
              <w:pStyle w:val="113"/>
              <w:rPr>
                <w:rFonts w:hint="eastAsia"/>
              </w:rPr>
            </w:pPr>
            <w:r>
              <w:rPr>
                <w:rFonts w:ascii="Calibri" w:hAnsi="Calibri" w:cs="Calibri"/>
              </w:rPr>
              <w:t>根据钻井施工单位经验数据，本项目压裂返排液产生量为</w:t>
            </w:r>
            <w:r>
              <w:t>3</w:t>
            </w:r>
            <w:r>
              <w:rPr>
                <w:rFonts w:hint="eastAsia"/>
              </w:rPr>
              <w:t>00m</w:t>
            </w:r>
            <w:r>
              <w:rPr>
                <w:rFonts w:hint="eastAsia"/>
                <w:vertAlign w:val="superscript"/>
              </w:rPr>
              <w:t>3</w:t>
            </w:r>
            <w:r>
              <w:rPr>
                <w:rFonts w:ascii="Calibri" w:hAnsi="Calibri" w:cs="Calibri"/>
              </w:rPr>
              <w:t>。压裂施工后返排的废液成分较为简单，压裂阶段结束后拉运至春风一号联合站采出水处理系统处理，经处理达到《碎屑岩油藏注水水质指标技术要求及分析方法》（</w:t>
            </w:r>
            <w:r>
              <w:t>SY/T 5329-20</w:t>
            </w:r>
            <w:r>
              <w:rPr>
                <w:rFonts w:hint="eastAsia"/>
              </w:rPr>
              <w:t>2</w:t>
            </w:r>
            <w:r>
              <w:t>2</w:t>
            </w:r>
            <w:r>
              <w:rPr>
                <w:rFonts w:ascii="Calibri" w:hAnsi="Calibri" w:cs="Calibri"/>
              </w:rPr>
              <w:t>）对应储层空气渗透率下的水质主要控制指标后回注含油层用于产能开发，不外排。</w:t>
            </w:r>
          </w:p>
          <w:p w14:paraId="58EF9389">
            <w:pPr>
              <w:pStyle w:val="113"/>
              <w:rPr>
                <w:rFonts w:hint="eastAsia"/>
              </w:rPr>
            </w:pPr>
            <w:r>
              <w:rPr>
                <w:rFonts w:hint="eastAsia"/>
              </w:rPr>
              <w:t>依托可行性分析：中石化新疆新春石油开发有限责任公司春风油田春风一号联合站位于克拉玛依市，该站</w:t>
            </w:r>
            <w:r>
              <w:rPr>
                <w:rFonts w:hint="eastAsia"/>
                <w:bCs/>
              </w:rPr>
              <w:t>于2010年取得环评批复，批复文号为新环评价函[2010]863号；</w:t>
            </w:r>
            <w:r>
              <w:rPr>
                <w:rFonts w:hint="eastAsia"/>
              </w:rPr>
              <w:t>2011年建成投产，</w:t>
            </w:r>
            <w:r>
              <w:rPr>
                <w:rFonts w:hint="eastAsia"/>
                <w:bCs/>
              </w:rPr>
              <w:t>于2012年取得竣工验收批复，批复文号为[2012]939号。</w:t>
            </w:r>
            <w:r>
              <w:rPr>
                <w:rFonts w:hint="eastAsia"/>
              </w:rPr>
              <w:t>中石化新疆新春石油开发有限责任公司</w:t>
            </w:r>
            <w:r>
              <w:rPr>
                <w:rFonts w:hint="eastAsia"/>
                <w:bCs/>
              </w:rPr>
              <w:t>春风联合站</w:t>
            </w:r>
            <w:r>
              <w:rPr>
                <w:rFonts w:hint="eastAsia"/>
              </w:rPr>
              <w:t>是胜利油田按照智能化油田标准设计一座大型联合站，站内配套原油处理系统、污水处理系统、消防系统、自控通信系统。春风联合站污水处理工艺为：油系统来水→一次除油罐→二次沉降罐→缓冲罐→污水提升泵→核桃壳过滤器→回注水系统。设计处理规模为5400m</w:t>
            </w:r>
            <w:r>
              <w:rPr>
                <w:rFonts w:hint="eastAsia"/>
                <w:vertAlign w:val="superscript"/>
              </w:rPr>
              <w:t>3</w:t>
            </w:r>
            <w:r>
              <w:rPr>
                <w:rFonts w:hint="eastAsia"/>
              </w:rPr>
              <w:t>/d，目前实际处理量为3800m</w:t>
            </w:r>
            <w:r>
              <w:rPr>
                <w:rFonts w:hint="eastAsia"/>
                <w:vertAlign w:val="superscript"/>
              </w:rPr>
              <w:t>3</w:t>
            </w:r>
            <w:r>
              <w:rPr>
                <w:rFonts w:hint="eastAsia"/>
              </w:rPr>
              <w:t>/d，能够满足本项目需求</w:t>
            </w:r>
            <w:r>
              <w:t>。</w:t>
            </w:r>
            <w:r>
              <w:rPr>
                <w:rFonts w:hint="eastAsia"/>
                <w:kern w:val="0"/>
              </w:rPr>
              <w:t>从以上情况可以看出，本项目</w:t>
            </w:r>
            <w:r>
              <w:rPr>
                <w:rFonts w:hint="eastAsia"/>
                <w:spacing w:val="4"/>
              </w:rPr>
              <w:t>若抽汲出的地层水中含油，定期拉运至</w:t>
            </w:r>
            <w:r>
              <w:rPr>
                <w:rFonts w:hint="eastAsia"/>
              </w:rPr>
              <w:t>中石化新疆新春石油开发有限责任公司春风油田春风一号联合站</w:t>
            </w:r>
            <w:r>
              <w:rPr>
                <w:rFonts w:hint="eastAsia"/>
                <w:spacing w:val="4"/>
              </w:rPr>
              <w:t>处理是可行的</w:t>
            </w:r>
            <w:r>
              <w:t>。</w:t>
            </w:r>
          </w:p>
          <w:p w14:paraId="79FBDF15">
            <w:pPr>
              <w:pStyle w:val="113"/>
              <w:rPr>
                <w:rFonts w:hint="eastAsia"/>
              </w:rPr>
            </w:pPr>
            <w:r>
              <w:rPr>
                <w:rFonts w:hint="eastAsia"/>
              </w:rPr>
              <w:t>经现场调研，春风一号联合站采出水处理系统中各设施正常运行，实际生产中加强人员值守、完善台账记录、采出水规范处理、落实环保制度，通过有效监管，确保春风一号联合站采出水处理系统长期稳定运行和达标，说明春风一号联合站采出水处理系统采取的采出水处理措施在技术上具有可行性。综合以上可知，油田回注用水的采出水处理系统处置措施基本有效，本项目若抽汲出的地层水中含油，定期拉运至春风一号联合站处理是可行的。</w:t>
            </w:r>
          </w:p>
          <w:p w14:paraId="4EAA338C">
            <w:pPr>
              <w:pStyle w:val="113"/>
              <w:rPr>
                <w:rFonts w:hint="eastAsia"/>
              </w:rPr>
            </w:pPr>
            <w:r>
              <w:rPr>
                <w:rFonts w:hint="eastAsia"/>
              </w:rPr>
              <w:t>3）软水系统排水、锅炉排污水</w:t>
            </w:r>
          </w:p>
          <w:p w14:paraId="728852B4">
            <w:pPr>
              <w:pStyle w:val="113"/>
              <w:rPr>
                <w:rFonts w:hint="eastAsia"/>
                <w:snapToGrid w:val="0"/>
              </w:rPr>
            </w:pPr>
            <w:r>
              <w:rPr>
                <w:rFonts w:hint="eastAsia"/>
              </w:rPr>
              <w:t>根据核算，本项目冬防锅炉运行过程中</w:t>
            </w:r>
            <w:r>
              <w:rPr>
                <w:rFonts w:hint="eastAsia"/>
                <w:snapToGrid w:val="0"/>
              </w:rPr>
              <w:t>软水系统排水产生量约为37.0</w:t>
            </w:r>
            <w:r>
              <w:rPr>
                <w:rFonts w:hint="eastAsia"/>
                <w:szCs w:val="21"/>
              </w:rPr>
              <w:t>m</w:t>
            </w:r>
            <w:r>
              <w:rPr>
                <w:rFonts w:hint="eastAsia"/>
                <w:szCs w:val="21"/>
                <w:vertAlign w:val="superscript"/>
              </w:rPr>
              <w:t>3</w:t>
            </w:r>
            <w:r>
              <w:rPr>
                <w:rFonts w:hint="eastAsia"/>
                <w:szCs w:val="21"/>
              </w:rPr>
              <w:t>，锅炉排污水产生量为</w:t>
            </w:r>
            <w:r>
              <w:rPr>
                <w:rFonts w:hint="eastAsia"/>
                <w:snapToGrid w:val="0"/>
              </w:rPr>
              <w:t>167.0</w:t>
            </w:r>
            <w:r>
              <w:rPr>
                <w:rFonts w:hint="eastAsia"/>
                <w:szCs w:val="21"/>
              </w:rPr>
              <w:t>m</w:t>
            </w:r>
            <w:r>
              <w:rPr>
                <w:rFonts w:hint="eastAsia"/>
                <w:szCs w:val="21"/>
                <w:vertAlign w:val="superscript"/>
              </w:rPr>
              <w:t>3</w:t>
            </w:r>
            <w:r>
              <w:rPr>
                <w:rFonts w:hint="eastAsia"/>
                <w:szCs w:val="21"/>
              </w:rPr>
              <w:t>。二者成分较为简单，属于</w:t>
            </w:r>
            <w:r>
              <w:rPr>
                <w:rFonts w:hint="eastAsia"/>
                <w:snapToGrid w:val="0"/>
              </w:rPr>
              <w:t>含盐清净下水，经收集后直接作为脱硫塔补水使用，不外排。</w:t>
            </w:r>
          </w:p>
          <w:p w14:paraId="72D9C337">
            <w:pPr>
              <w:pStyle w:val="113"/>
              <w:rPr>
                <w:rFonts w:hint="eastAsia"/>
              </w:rPr>
            </w:pPr>
            <w:r>
              <w:rPr>
                <w:rFonts w:hint="eastAsia"/>
              </w:rPr>
              <w:t>4）地下水影响分析</w:t>
            </w:r>
          </w:p>
          <w:p w14:paraId="272310B0">
            <w:pPr>
              <w:pStyle w:val="113"/>
              <w:rPr>
                <w:rFonts w:hint="eastAsia"/>
              </w:rPr>
            </w:pPr>
            <w:r>
              <w:rPr>
                <w:rFonts w:hint="eastAsia"/>
              </w:rPr>
              <w:t>（1）地下水评价级别</w:t>
            </w:r>
          </w:p>
          <w:p w14:paraId="07440596">
            <w:pPr>
              <w:pStyle w:val="113"/>
              <w:rPr>
                <w:rFonts w:hint="eastAsia"/>
              </w:rPr>
            </w:pPr>
            <w:r>
              <w:rPr>
                <w:rFonts w:hint="eastAsia"/>
              </w:rPr>
              <w:t>根据《</w:t>
            </w:r>
            <w:r>
              <w:t>环境影响评价技术导则 地下水环境</w:t>
            </w:r>
            <w:r>
              <w:rPr>
                <w:rFonts w:hint="eastAsia"/>
              </w:rPr>
              <w:t>》（</w:t>
            </w:r>
            <w:r>
              <w:t>HJ 610-2016</w:t>
            </w:r>
            <w:r>
              <w:rPr>
                <w:rFonts w:hint="eastAsia"/>
              </w:rPr>
              <w:t>）附录A 地下水环境影响评价行业分类表，本项目行业类别为：C 地质勘查，24、矿产资源地质勘查（包括勘探活动），地下水环境影响评价项目类别为Ⅳ类。根据《</w:t>
            </w:r>
            <w:r>
              <w:t>环境影响评价技术导则 地下水环境</w:t>
            </w:r>
            <w:r>
              <w:rPr>
                <w:rFonts w:hint="eastAsia"/>
              </w:rPr>
              <w:t>》（</w:t>
            </w:r>
            <w:r>
              <w:t>HJ 610-2016</w:t>
            </w:r>
            <w:r>
              <w:rPr>
                <w:rFonts w:hint="eastAsia"/>
              </w:rPr>
              <w:t>），Ⅳ类建设项目不开展地下水环境影响评价。</w:t>
            </w:r>
          </w:p>
          <w:p w14:paraId="5796F035">
            <w:pPr>
              <w:pStyle w:val="113"/>
              <w:rPr>
                <w:rFonts w:hint="eastAsia"/>
              </w:rPr>
            </w:pPr>
            <w:r>
              <w:rPr>
                <w:rFonts w:hint="eastAsia"/>
              </w:rPr>
              <w:t>本项目无废水排入外环境，同时本次钻井过程中采用套管与地层隔离开，并在套管与地层之间注入水泥进行固井，水泥浆返至地面，封隔疏松地层和水层。表层套管的深度远远超出本区域地下水含水层深度，有效隔断了油井与含水层之间的联系，可保护地下水环境不受污染。试油目的层与地下水处于不同层系，在施工过程中确保套管下入指定深度，保证固井质量合格，可以有效控制钻井液在地层中的漏失，减轻对地下水环境的影响。</w:t>
            </w:r>
          </w:p>
          <w:p w14:paraId="5489FB3E">
            <w:pPr>
              <w:pStyle w:val="113"/>
              <w:rPr>
                <w:rFonts w:hint="eastAsia"/>
              </w:rPr>
            </w:pPr>
            <w:r>
              <w:rPr>
                <w:rFonts w:hint="eastAsia"/>
              </w:rPr>
              <w:t>（2）地下水环境保护措施</w:t>
            </w:r>
          </w:p>
          <w:p w14:paraId="4C785922">
            <w:pPr>
              <w:pStyle w:val="113"/>
              <w:rPr>
                <w:rFonts w:hint="eastAsia"/>
              </w:rPr>
            </w:pPr>
            <w:r>
              <w:rPr>
                <w:rFonts w:hint="eastAsia"/>
              </w:rPr>
              <w:t>本项目表层套管的下土深度可满足地下水保护需要，可有效的保护地下水环境不受污染。本项目推广使用清洁无害的泥浆，同时严格要求套管下入深度等措施，可以有效控制钻井液在地层中的漏失，减轻对地下水环境的影响。由于本项目采油目的层与地下水处于不同层系，远超出本区域地下水含水层深度。本项目在施工过程中采用下套管注水泥固井完井方式进行了水泥固井，对含水层进行了固封处理，有效保护地下水层。项目在钻井过程中产生的废水不与当地水体发生水力联系，同时对产生的废水排放进行严格管理，因此基本不会对所在区域地下水产生影响。</w:t>
            </w:r>
          </w:p>
          <w:p w14:paraId="40003E80">
            <w:pPr>
              <w:pStyle w:val="113"/>
              <w:rPr>
                <w:rFonts w:hint="eastAsia"/>
                <w:bCs/>
              </w:rPr>
            </w:pPr>
            <w:r>
              <w:rPr>
                <w:bCs/>
              </w:rPr>
              <w:t>4</w:t>
            </w:r>
            <w:r>
              <w:rPr>
                <w:rFonts w:hint="eastAsia"/>
                <w:bCs/>
              </w:rPr>
              <w:t>、固体废物影响分析</w:t>
            </w:r>
          </w:p>
          <w:p w14:paraId="646A8379">
            <w:pPr>
              <w:pStyle w:val="113"/>
              <w:rPr>
                <w:rFonts w:hint="eastAsia"/>
              </w:rPr>
            </w:pPr>
            <w:r>
              <w:rPr>
                <w:rFonts w:hint="eastAsia"/>
              </w:rPr>
              <w:t>废弃泥浆、钻井岩屑、废沾油防渗材料、废润滑油、废润滑油桶、废弃包装物、锅炉炉渣、袋式除尘器截获的粉尘、脱硫石膏及生活垃圾是施工过程中产生的主要固体废物。</w:t>
            </w:r>
          </w:p>
          <w:p w14:paraId="6542A407">
            <w:pPr>
              <w:pStyle w:val="113"/>
              <w:rPr>
                <w:rFonts w:hint="eastAsia"/>
              </w:rPr>
            </w:pPr>
            <w:r>
              <w:rPr>
                <w:rFonts w:hint="eastAsia"/>
              </w:rPr>
              <w:t>1）钻井废弃泥浆与岩屑</w:t>
            </w:r>
          </w:p>
          <w:p w14:paraId="489B9009">
            <w:pPr>
              <w:pStyle w:val="3"/>
              <w:ind w:firstLine="420"/>
              <w:rPr>
                <w:rFonts w:hint="eastAsia"/>
                <w:sz w:val="21"/>
                <w:szCs w:val="21"/>
              </w:rPr>
            </w:pPr>
            <w:r>
              <w:rPr>
                <w:rFonts w:hint="eastAsia"/>
                <w:sz w:val="21"/>
                <w:szCs w:val="21"/>
              </w:rPr>
              <w:t>钻井固废主要包括钻井中废弃泥浆和钻进产生的岩屑，本项目施工期钻井采用“泥浆不落地”工艺，从源头杜绝泥浆对土壤的污染。</w:t>
            </w:r>
          </w:p>
          <w:p w14:paraId="12F18DE7">
            <w:pPr>
              <w:pStyle w:val="3"/>
              <w:ind w:firstLine="420"/>
              <w:rPr>
                <w:rFonts w:hint="eastAsia"/>
                <w:sz w:val="21"/>
                <w:szCs w:val="21"/>
              </w:rPr>
            </w:pPr>
            <w:r>
              <w:rPr>
                <w:rFonts w:hint="eastAsia"/>
                <w:sz w:val="21"/>
                <w:szCs w:val="21"/>
              </w:rPr>
              <w:t>本项目一开、二开采用水基钻井液，期间产生的废弃泥浆和岩屑属于一般工业固废，集中拉运至克拉玛依前山石油工程服务有限公司处理。</w:t>
            </w:r>
          </w:p>
          <w:p w14:paraId="57DD8838">
            <w:pPr>
              <w:pStyle w:val="113"/>
              <w:rPr>
                <w:rFonts w:hint="eastAsia"/>
              </w:rPr>
            </w:pPr>
            <w:r>
              <w:rPr>
                <w:rFonts w:hint="eastAsia"/>
                <w:szCs w:val="21"/>
              </w:rPr>
              <w:t>根据中石化新疆新春石油开发有限公司近4年对项目所在区域的统计数据，每百米进尺产生一般固废约110t/100m。本项目钻井岩屑及泥浆产生情况详</w:t>
            </w:r>
            <w:r>
              <w:rPr>
                <w:rFonts w:hint="eastAsia"/>
              </w:rPr>
              <w:t>见</w:t>
            </w:r>
            <w:r>
              <w:fldChar w:fldCharType="begin"/>
            </w:r>
            <w:r>
              <w:instrText xml:space="preserve"> REF _Ref138688953 \h  \* MERGEFORMAT </w:instrText>
            </w:r>
            <w:r>
              <w:fldChar w:fldCharType="separate"/>
            </w:r>
            <w:r>
              <w:rPr>
                <w:rFonts w:hint="eastAsia"/>
              </w:rPr>
              <w:t>表31</w:t>
            </w:r>
            <w:r>
              <w:fldChar w:fldCharType="end"/>
            </w:r>
            <w:r>
              <w:rPr>
                <w:rFonts w:hint="eastAsia"/>
              </w:rPr>
              <w:t>。</w:t>
            </w:r>
          </w:p>
          <w:p w14:paraId="68BFBA1D">
            <w:pPr>
              <w:pStyle w:val="12"/>
              <w:spacing w:before="120"/>
              <w:rPr>
                <w:rFonts w:hint="eastAsia" w:hAnsi="宋体"/>
                <w:kern w:val="0"/>
              </w:rPr>
            </w:pPr>
            <w:bookmarkStart w:id="56" w:name="_Ref138688953"/>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31</w:t>
            </w:r>
            <w:r>
              <w:rPr>
                <w:rFonts w:hAnsi="宋体"/>
              </w:rPr>
              <w:fldChar w:fldCharType="end"/>
            </w:r>
            <w:bookmarkEnd w:id="56"/>
            <w:r>
              <w:rPr>
                <w:rFonts w:hAnsi="宋体"/>
              </w:rPr>
              <w:t xml:space="preserve">  </w:t>
            </w:r>
            <w:r>
              <w:rPr>
                <w:rFonts w:hint="eastAsia" w:hAnsi="宋体"/>
              </w:rPr>
              <w:t>钻井固废产</w:t>
            </w:r>
            <w:r>
              <w:rPr>
                <w:rFonts w:hint="eastAsia" w:hAnsi="宋体"/>
                <w:kern w:val="0"/>
              </w:rPr>
              <w:t>生量统计表（单位：t）</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130"/>
              <w:gridCol w:w="1581"/>
              <w:gridCol w:w="1764"/>
              <w:gridCol w:w="2259"/>
            </w:tblGrid>
            <w:tr w14:paraId="4B8B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noWrap/>
                  <w:vAlign w:val="center"/>
                </w:tcPr>
                <w:p w14:paraId="1E53C859">
                  <w:pPr>
                    <w:pStyle w:val="87"/>
                    <w:rPr>
                      <w:rFonts w:hint="eastAsia" w:hAnsi="宋体"/>
                    </w:rPr>
                  </w:pPr>
                  <w:r>
                    <w:rPr>
                      <w:rFonts w:hint="eastAsia" w:hAnsi="宋体"/>
                    </w:rPr>
                    <w:t>井号</w:t>
                  </w:r>
                </w:p>
              </w:tc>
              <w:tc>
                <w:tcPr>
                  <w:tcW w:w="725" w:type="pct"/>
                  <w:noWrap/>
                  <w:vAlign w:val="center"/>
                </w:tcPr>
                <w:p w14:paraId="0F39C1B2">
                  <w:pPr>
                    <w:pStyle w:val="87"/>
                    <w:rPr>
                      <w:rFonts w:hint="eastAsia" w:hAnsi="宋体"/>
                    </w:rPr>
                  </w:pPr>
                  <w:r>
                    <w:rPr>
                      <w:rFonts w:hint="eastAsia" w:hAnsi="宋体"/>
                    </w:rPr>
                    <w:t>开次</w:t>
                  </w:r>
                </w:p>
              </w:tc>
              <w:tc>
                <w:tcPr>
                  <w:tcW w:w="1014" w:type="pct"/>
                  <w:noWrap/>
                  <w:vAlign w:val="center"/>
                </w:tcPr>
                <w:p w14:paraId="35C88874">
                  <w:pPr>
                    <w:pStyle w:val="87"/>
                    <w:rPr>
                      <w:rFonts w:hint="eastAsia" w:hAnsi="宋体"/>
                    </w:rPr>
                  </w:pPr>
                  <w:r>
                    <w:rPr>
                      <w:rFonts w:hint="eastAsia" w:hAnsi="宋体"/>
                    </w:rPr>
                    <w:t>钻井进尺（</w:t>
                  </w:r>
                  <w:r>
                    <w:rPr>
                      <w:rFonts w:hAnsi="宋体"/>
                    </w:rPr>
                    <w:t>m）</w:t>
                  </w:r>
                </w:p>
              </w:tc>
              <w:tc>
                <w:tcPr>
                  <w:tcW w:w="1132" w:type="pct"/>
                  <w:noWrap/>
                  <w:vAlign w:val="center"/>
                </w:tcPr>
                <w:p w14:paraId="6927AC38">
                  <w:pPr>
                    <w:pStyle w:val="87"/>
                    <w:rPr>
                      <w:rFonts w:hint="eastAsia" w:hAnsi="宋体"/>
                    </w:rPr>
                  </w:pPr>
                  <w:r>
                    <w:rPr>
                      <w:rFonts w:hint="eastAsia" w:hAnsi="宋体"/>
                    </w:rPr>
                    <w:t>钻井固废（</w:t>
                  </w:r>
                  <w:r>
                    <w:rPr>
                      <w:rFonts w:hAnsi="宋体"/>
                    </w:rPr>
                    <w:t>泥浆+岩屑）</w:t>
                  </w:r>
                  <w:r>
                    <w:rPr>
                      <w:rFonts w:hint="eastAsia" w:hAnsi="宋体"/>
                    </w:rPr>
                    <w:t>（</w:t>
                  </w:r>
                  <w:r>
                    <w:rPr>
                      <w:rFonts w:hAnsi="宋体"/>
                    </w:rPr>
                    <w:t>t）</w:t>
                  </w:r>
                </w:p>
              </w:tc>
              <w:tc>
                <w:tcPr>
                  <w:tcW w:w="1449" w:type="pct"/>
                  <w:vAlign w:val="center"/>
                </w:tcPr>
                <w:p w14:paraId="3206D7A1">
                  <w:pPr>
                    <w:pStyle w:val="87"/>
                    <w:rPr>
                      <w:rFonts w:hint="eastAsia" w:hAnsi="宋体"/>
                    </w:rPr>
                  </w:pPr>
                  <w:r>
                    <w:rPr>
                      <w:rFonts w:hint="eastAsia" w:hAnsi="宋体"/>
                    </w:rPr>
                    <w:t>固废性质</w:t>
                  </w:r>
                </w:p>
              </w:tc>
            </w:tr>
            <w:tr w14:paraId="6182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vMerge w:val="restart"/>
                  <w:noWrap/>
                  <w:vAlign w:val="center"/>
                </w:tcPr>
                <w:p w14:paraId="32BAFDCF">
                  <w:pPr>
                    <w:pStyle w:val="87"/>
                    <w:rPr>
                      <w:rFonts w:hint="eastAsia" w:hAnsi="宋体"/>
                    </w:rPr>
                  </w:pPr>
                  <w:r>
                    <w:rPr>
                      <w:rFonts w:hint="eastAsia" w:hAnsi="宋体"/>
                    </w:rPr>
                    <w:t>征121井</w:t>
                  </w:r>
                </w:p>
              </w:tc>
              <w:tc>
                <w:tcPr>
                  <w:tcW w:w="725" w:type="pct"/>
                  <w:noWrap/>
                  <w:vAlign w:val="center"/>
                </w:tcPr>
                <w:p w14:paraId="4AA7B634">
                  <w:pPr>
                    <w:pStyle w:val="87"/>
                    <w:rPr>
                      <w:rFonts w:hint="eastAsia" w:hAnsi="宋体"/>
                      <w:kern w:val="0"/>
                      <w:szCs w:val="22"/>
                    </w:rPr>
                  </w:pPr>
                  <w:r>
                    <w:rPr>
                      <w:rFonts w:hint="eastAsia" w:hAnsi="宋体"/>
                    </w:rPr>
                    <w:t>导管</w:t>
                  </w:r>
                </w:p>
              </w:tc>
              <w:tc>
                <w:tcPr>
                  <w:tcW w:w="1014" w:type="pct"/>
                  <w:noWrap/>
                  <w:vAlign w:val="center"/>
                </w:tcPr>
                <w:p w14:paraId="1F05D816">
                  <w:pPr>
                    <w:jc w:val="center"/>
                    <w:rPr>
                      <w:rFonts w:hint="eastAsia" w:ascii="宋体" w:hAnsi="宋体"/>
                      <w:szCs w:val="22"/>
                    </w:rPr>
                  </w:pPr>
                  <w:r>
                    <w:rPr>
                      <w:rFonts w:ascii="宋体" w:hAnsi="宋体"/>
                      <w:szCs w:val="21"/>
                    </w:rPr>
                    <w:t>0～50</w:t>
                  </w:r>
                  <w:r>
                    <w:rPr>
                      <w:rFonts w:hint="eastAsia" w:ascii="宋体" w:hAnsi="宋体"/>
                      <w:szCs w:val="21"/>
                    </w:rPr>
                    <w:t>.0</w:t>
                  </w:r>
                </w:p>
              </w:tc>
              <w:tc>
                <w:tcPr>
                  <w:tcW w:w="1132" w:type="pct"/>
                  <w:noWrap/>
                  <w:vAlign w:val="bottom"/>
                </w:tcPr>
                <w:p w14:paraId="3E3F8CBF">
                  <w:pPr>
                    <w:widowControl/>
                    <w:jc w:val="center"/>
                    <w:textAlignment w:val="bottom"/>
                    <w:rPr>
                      <w:rFonts w:hint="eastAsia" w:ascii="宋体" w:hAnsi="宋体"/>
                      <w:szCs w:val="22"/>
                    </w:rPr>
                  </w:pPr>
                  <w:r>
                    <w:rPr>
                      <w:rFonts w:hint="eastAsia" w:ascii="宋体" w:hAnsi="宋体" w:cs="宋体"/>
                      <w:kern w:val="0"/>
                      <w:szCs w:val="21"/>
                      <w:lang w:bidi="ar"/>
                    </w:rPr>
                    <w:t>55.0</w:t>
                  </w:r>
                </w:p>
              </w:tc>
              <w:tc>
                <w:tcPr>
                  <w:tcW w:w="1449" w:type="pct"/>
                  <w:vMerge w:val="restart"/>
                  <w:vAlign w:val="center"/>
                </w:tcPr>
                <w:p w14:paraId="2707638A">
                  <w:pPr>
                    <w:pStyle w:val="87"/>
                    <w:rPr>
                      <w:rFonts w:hint="eastAsia" w:hAnsi="宋体"/>
                    </w:rPr>
                  </w:pPr>
                  <w:r>
                    <w:rPr>
                      <w:rFonts w:hint="eastAsia" w:hAnsi="宋体"/>
                    </w:rPr>
                    <w:t>一般工业固体废物</w:t>
                  </w:r>
                </w:p>
              </w:tc>
            </w:tr>
            <w:tr w14:paraId="3889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vMerge w:val="continue"/>
                  <w:noWrap/>
                  <w:vAlign w:val="center"/>
                </w:tcPr>
                <w:p w14:paraId="63514A87">
                  <w:pPr>
                    <w:pStyle w:val="87"/>
                    <w:rPr>
                      <w:rFonts w:hint="eastAsia" w:hAnsi="宋体"/>
                    </w:rPr>
                  </w:pPr>
                </w:p>
              </w:tc>
              <w:tc>
                <w:tcPr>
                  <w:tcW w:w="725" w:type="pct"/>
                  <w:noWrap/>
                  <w:vAlign w:val="center"/>
                </w:tcPr>
                <w:p w14:paraId="40A50C76">
                  <w:pPr>
                    <w:pStyle w:val="87"/>
                    <w:rPr>
                      <w:rFonts w:hint="eastAsia" w:hAnsi="宋体"/>
                      <w:szCs w:val="22"/>
                    </w:rPr>
                  </w:pPr>
                  <w:r>
                    <w:rPr>
                      <w:rFonts w:hint="eastAsia" w:hAnsi="宋体"/>
                    </w:rPr>
                    <w:t>一开</w:t>
                  </w:r>
                </w:p>
              </w:tc>
              <w:tc>
                <w:tcPr>
                  <w:tcW w:w="1014" w:type="pct"/>
                  <w:noWrap/>
                  <w:vAlign w:val="center"/>
                </w:tcPr>
                <w:p w14:paraId="16DBE888">
                  <w:pPr>
                    <w:jc w:val="center"/>
                    <w:rPr>
                      <w:rFonts w:hint="eastAsia" w:ascii="宋体" w:hAnsi="宋体"/>
                      <w:szCs w:val="22"/>
                    </w:rPr>
                  </w:pPr>
                  <w:r>
                    <w:rPr>
                      <w:rFonts w:ascii="宋体" w:hAnsi="宋体"/>
                      <w:szCs w:val="21"/>
                    </w:rPr>
                    <w:t>0～800</w:t>
                  </w:r>
                  <w:r>
                    <w:rPr>
                      <w:rFonts w:hint="eastAsia" w:ascii="宋体" w:hAnsi="宋体"/>
                      <w:szCs w:val="21"/>
                    </w:rPr>
                    <w:t>.0</w:t>
                  </w:r>
                </w:p>
              </w:tc>
              <w:tc>
                <w:tcPr>
                  <w:tcW w:w="1132" w:type="pct"/>
                  <w:noWrap/>
                  <w:vAlign w:val="bottom"/>
                </w:tcPr>
                <w:p w14:paraId="0D745ED5">
                  <w:pPr>
                    <w:widowControl/>
                    <w:jc w:val="center"/>
                    <w:textAlignment w:val="bottom"/>
                    <w:rPr>
                      <w:rFonts w:hint="eastAsia" w:ascii="宋体" w:hAnsi="宋体"/>
                      <w:szCs w:val="22"/>
                    </w:rPr>
                  </w:pPr>
                  <w:r>
                    <w:rPr>
                      <w:rFonts w:hint="eastAsia" w:ascii="宋体" w:hAnsi="宋体" w:cs="宋体"/>
                      <w:kern w:val="0"/>
                      <w:szCs w:val="21"/>
                      <w:lang w:bidi="ar"/>
                    </w:rPr>
                    <w:t>880.0</w:t>
                  </w:r>
                </w:p>
              </w:tc>
              <w:tc>
                <w:tcPr>
                  <w:tcW w:w="1449" w:type="pct"/>
                  <w:vMerge w:val="continue"/>
                  <w:vAlign w:val="center"/>
                </w:tcPr>
                <w:p w14:paraId="4466D869">
                  <w:pPr>
                    <w:pStyle w:val="87"/>
                    <w:rPr>
                      <w:rFonts w:hint="eastAsia" w:hAnsi="宋体"/>
                    </w:rPr>
                  </w:pPr>
                </w:p>
              </w:tc>
            </w:tr>
            <w:tr w14:paraId="37E5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vMerge w:val="continue"/>
                  <w:noWrap/>
                  <w:vAlign w:val="center"/>
                </w:tcPr>
                <w:p w14:paraId="7E09C148">
                  <w:pPr>
                    <w:pStyle w:val="87"/>
                    <w:rPr>
                      <w:rFonts w:hint="eastAsia" w:hAnsi="宋体"/>
                    </w:rPr>
                  </w:pPr>
                </w:p>
              </w:tc>
              <w:tc>
                <w:tcPr>
                  <w:tcW w:w="725" w:type="pct"/>
                  <w:noWrap/>
                  <w:vAlign w:val="center"/>
                </w:tcPr>
                <w:p w14:paraId="5748F0CC">
                  <w:pPr>
                    <w:pStyle w:val="87"/>
                    <w:rPr>
                      <w:rFonts w:hint="eastAsia" w:hAnsi="宋体"/>
                      <w:szCs w:val="22"/>
                    </w:rPr>
                  </w:pPr>
                  <w:r>
                    <w:rPr>
                      <w:rFonts w:hint="eastAsia" w:hAnsi="宋体"/>
                    </w:rPr>
                    <w:t>二开</w:t>
                  </w:r>
                </w:p>
              </w:tc>
              <w:tc>
                <w:tcPr>
                  <w:tcW w:w="1014" w:type="pct"/>
                  <w:noWrap/>
                  <w:vAlign w:val="center"/>
                </w:tcPr>
                <w:p w14:paraId="244AB5E0">
                  <w:pPr>
                    <w:jc w:val="center"/>
                    <w:rPr>
                      <w:rFonts w:hint="eastAsia" w:ascii="宋体" w:hAnsi="宋体"/>
                      <w:szCs w:val="22"/>
                    </w:rPr>
                  </w:pPr>
                  <w:r>
                    <w:rPr>
                      <w:rFonts w:hint="eastAsia" w:ascii="宋体" w:hAnsi="宋体"/>
                      <w:szCs w:val="21"/>
                    </w:rPr>
                    <w:t>801</w:t>
                  </w:r>
                  <w:r>
                    <w:rPr>
                      <w:rFonts w:ascii="宋体" w:hAnsi="宋体"/>
                      <w:szCs w:val="21"/>
                    </w:rPr>
                    <w:t>～</w:t>
                  </w:r>
                  <w:r>
                    <w:rPr>
                      <w:rFonts w:hint="eastAsia" w:ascii="宋体" w:hAnsi="宋体"/>
                      <w:szCs w:val="21"/>
                    </w:rPr>
                    <w:t>4720.0</w:t>
                  </w:r>
                </w:p>
              </w:tc>
              <w:tc>
                <w:tcPr>
                  <w:tcW w:w="1132" w:type="pct"/>
                  <w:noWrap/>
                  <w:vAlign w:val="bottom"/>
                </w:tcPr>
                <w:p w14:paraId="61301E33">
                  <w:pPr>
                    <w:widowControl/>
                    <w:jc w:val="center"/>
                    <w:textAlignment w:val="bottom"/>
                    <w:rPr>
                      <w:rFonts w:hint="eastAsia" w:ascii="宋体" w:hAnsi="宋体"/>
                      <w:szCs w:val="22"/>
                    </w:rPr>
                  </w:pPr>
                  <w:r>
                    <w:rPr>
                      <w:rFonts w:hint="eastAsia" w:ascii="宋体" w:hAnsi="宋体" w:cs="宋体"/>
                      <w:kern w:val="0"/>
                      <w:szCs w:val="21"/>
                      <w:lang w:bidi="ar"/>
                    </w:rPr>
                    <w:t>4312.0</w:t>
                  </w:r>
                </w:p>
              </w:tc>
              <w:tc>
                <w:tcPr>
                  <w:tcW w:w="1449" w:type="pct"/>
                  <w:vMerge w:val="continue"/>
                  <w:vAlign w:val="center"/>
                </w:tcPr>
                <w:p w14:paraId="0E0383D7">
                  <w:pPr>
                    <w:pStyle w:val="87"/>
                    <w:rPr>
                      <w:rFonts w:hint="eastAsia" w:hAnsi="宋体"/>
                    </w:rPr>
                  </w:pPr>
                </w:p>
              </w:tc>
            </w:tr>
            <w:tr w14:paraId="31DE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7" w:type="pct"/>
                  <w:gridSpan w:val="3"/>
                  <w:noWrap/>
                  <w:vAlign w:val="center"/>
                </w:tcPr>
                <w:p w14:paraId="7B3F7AC1">
                  <w:pPr>
                    <w:jc w:val="center"/>
                    <w:rPr>
                      <w:rFonts w:hint="eastAsia" w:ascii="宋体" w:hAnsi="宋体"/>
                      <w:szCs w:val="21"/>
                    </w:rPr>
                  </w:pPr>
                  <w:r>
                    <w:rPr>
                      <w:rFonts w:hint="eastAsia" w:ascii="宋体" w:hAnsi="宋体"/>
                      <w:szCs w:val="21"/>
                    </w:rPr>
                    <w:t>合计</w:t>
                  </w:r>
                </w:p>
              </w:tc>
              <w:tc>
                <w:tcPr>
                  <w:tcW w:w="1132" w:type="pct"/>
                  <w:noWrap/>
                  <w:vAlign w:val="bottom"/>
                </w:tcPr>
                <w:p w14:paraId="4D553699">
                  <w:pPr>
                    <w:widowControl/>
                    <w:jc w:val="center"/>
                    <w:textAlignment w:val="bottom"/>
                    <w:rPr>
                      <w:rFonts w:hint="eastAsia" w:ascii="宋体" w:hAnsi="宋体" w:cs="宋体"/>
                      <w:kern w:val="0"/>
                      <w:szCs w:val="21"/>
                      <w:lang w:bidi="ar"/>
                    </w:rPr>
                  </w:pPr>
                  <w:r>
                    <w:rPr>
                      <w:rFonts w:hint="eastAsia" w:ascii="宋体" w:hAnsi="宋体" w:cs="宋体"/>
                      <w:kern w:val="0"/>
                      <w:szCs w:val="21"/>
                      <w:lang w:bidi="ar"/>
                    </w:rPr>
                    <w:t>5274.0</w:t>
                  </w:r>
                </w:p>
              </w:tc>
              <w:tc>
                <w:tcPr>
                  <w:tcW w:w="1449" w:type="pct"/>
                  <w:vAlign w:val="center"/>
                </w:tcPr>
                <w:p w14:paraId="591C686B">
                  <w:pPr>
                    <w:pStyle w:val="87"/>
                    <w:rPr>
                      <w:rFonts w:hint="eastAsia" w:hAnsi="宋体"/>
                    </w:rPr>
                  </w:pPr>
                  <w:r>
                    <w:rPr>
                      <w:rFonts w:hint="eastAsia" w:hAnsi="宋体"/>
                    </w:rPr>
                    <w:t>一般工业固体废物</w:t>
                  </w:r>
                </w:p>
              </w:tc>
            </w:tr>
          </w:tbl>
          <w:p w14:paraId="4695764C">
            <w:pPr>
              <w:spacing w:line="331" w:lineRule="auto"/>
              <w:ind w:firstLine="480" w:firstLineChars="200"/>
              <w:rPr>
                <w:rFonts w:hint="eastAsia" w:ascii="宋体" w:hAnsi="宋体"/>
                <w:sz w:val="24"/>
              </w:rPr>
            </w:pPr>
          </w:p>
          <w:p w14:paraId="6EE81ED1">
            <w:pPr>
              <w:pStyle w:val="3"/>
              <w:ind w:firstLine="420"/>
              <w:rPr>
                <w:rFonts w:hint="eastAsia"/>
                <w:sz w:val="21"/>
                <w:szCs w:val="21"/>
              </w:rPr>
            </w:pPr>
            <w:r>
              <w:rPr>
                <w:rFonts w:hint="eastAsia"/>
                <w:sz w:val="21"/>
                <w:szCs w:val="21"/>
              </w:rPr>
              <w:t>依托可行性分析：</w:t>
            </w:r>
          </w:p>
          <w:p w14:paraId="59F336A1">
            <w:pPr>
              <w:pStyle w:val="3"/>
              <w:ind w:firstLine="420"/>
              <w:rPr>
                <w:rFonts w:hint="eastAsia"/>
                <w:kern w:val="0"/>
                <w:sz w:val="21"/>
                <w:szCs w:val="21"/>
              </w:rPr>
            </w:pPr>
            <w:r>
              <w:rPr>
                <w:rFonts w:hint="eastAsia"/>
                <w:kern w:val="0"/>
                <w:sz w:val="21"/>
                <w:szCs w:val="21"/>
              </w:rPr>
              <w:t>克拉玛依前山石油工程服务有限公司2万t/a废弃钻井泥浆处理项目位于第七师128团前山工业园区，建设2万t/a废弃钻井泥浆无害化处理生产设施一套，将废弃泥浆经过</w:t>
            </w:r>
            <w:r>
              <w:rPr>
                <w:rFonts w:hint="eastAsia"/>
                <w:sz w:val="21"/>
              </w:rPr>
              <w:t>“回收暂存处理+机械分离+絮凝沉淀+机械压缩”</w:t>
            </w:r>
            <w:r>
              <w:rPr>
                <w:rFonts w:hint="eastAsia"/>
                <w:kern w:val="0"/>
                <w:sz w:val="21"/>
                <w:szCs w:val="21"/>
              </w:rPr>
              <w:t>等过程处理后，将固相物质制成泥饼送至砖厂作为制砖原料或用于油田区块铺路、铺垫井场。</w:t>
            </w:r>
          </w:p>
          <w:p w14:paraId="62839E52">
            <w:pPr>
              <w:pStyle w:val="3"/>
              <w:ind w:firstLine="420"/>
              <w:rPr>
                <w:rFonts w:hint="eastAsia"/>
                <w:sz w:val="21"/>
              </w:rPr>
            </w:pPr>
            <w:r>
              <w:rPr>
                <w:rFonts w:hint="eastAsia"/>
                <w:sz w:val="21"/>
              </w:rPr>
              <w:t>克拉玛依前山石油工程服务有限公司2万t/a废弃钻井泥浆处理项目于2016年取得环评批复，批复文号为“师环审[2016]114号”。于2019年取得验收批复，批复文号为“师环验[2019]24号”。</w:t>
            </w:r>
          </w:p>
          <w:p w14:paraId="6E5D95D7">
            <w:pPr>
              <w:pStyle w:val="3"/>
              <w:ind w:firstLine="420"/>
              <w:rPr>
                <w:rFonts w:hint="eastAsia"/>
                <w:sz w:val="21"/>
              </w:rPr>
            </w:pPr>
            <w:r>
              <w:rPr>
                <w:rFonts w:hint="eastAsia"/>
                <w:sz w:val="21"/>
              </w:rPr>
              <w:t>本项目钻井固废分批次运送至依托克拉玛依前山石油工程服务有限公司，本项目依托该公司钻井固废2万t/a废弃钻井泥浆处理工程是可行的。</w:t>
            </w:r>
          </w:p>
          <w:p w14:paraId="174A4215">
            <w:pPr>
              <w:pStyle w:val="113"/>
              <w:rPr>
                <w:rFonts w:hint="eastAsia"/>
              </w:rPr>
            </w:pPr>
            <w:r>
              <w:rPr>
                <w:rFonts w:hint="eastAsia"/>
              </w:rPr>
              <w:t>2）废防渗材料</w:t>
            </w:r>
          </w:p>
          <w:p w14:paraId="16D5E58A">
            <w:pPr>
              <w:pStyle w:val="113"/>
              <w:rPr>
                <w:rFonts w:hint="eastAsia"/>
                <w:szCs w:val="21"/>
              </w:rPr>
            </w:pPr>
            <w:r>
              <w:rPr>
                <w:rFonts w:hint="eastAsia"/>
              </w:rPr>
              <w:t>根据中石化新疆新春石油开发有限责任公司环境保护管理制度规定，不允许产生落地油。本工程试油作业时采取船型围堰作业，</w:t>
            </w:r>
            <w:r>
              <w:rPr>
                <w:rFonts w:hint="eastAsia"/>
                <w:szCs w:val="21"/>
              </w:rPr>
              <w:t>防止产生落地原油。本项目在重点防渗区（</w:t>
            </w:r>
            <w:r>
              <w:rPr>
                <w:szCs w:val="21"/>
              </w:rPr>
              <w:t>含柴油罐区、发电机房区、“泥浆不落地”设备、放喷池、危废贮存点等</w:t>
            </w:r>
            <w:r>
              <w:rPr>
                <w:rFonts w:hint="eastAsia"/>
                <w:szCs w:val="21"/>
              </w:rPr>
              <w:t>）铺设防渗材料，若防渗材料不沾油则回收循环利用，使用过程中如产生不可利用的废防渗材料，根据《国家危险废物名录（2025版）》（2025年1月1日），废防渗材料为危险废物（HW</w:t>
            </w:r>
            <w:r>
              <w:rPr>
                <w:szCs w:val="21"/>
              </w:rPr>
              <w:t>08</w:t>
            </w:r>
            <w:r>
              <w:rPr>
                <w:rFonts w:hint="eastAsia"/>
                <w:szCs w:val="21"/>
              </w:rPr>
              <w:t>：900-</w:t>
            </w:r>
            <w:r>
              <w:rPr>
                <w:szCs w:val="21"/>
              </w:rPr>
              <w:t>249</w:t>
            </w:r>
            <w:r>
              <w:rPr>
                <w:rFonts w:hint="eastAsia"/>
                <w:szCs w:val="21"/>
              </w:rPr>
              <w:t>-</w:t>
            </w:r>
            <w:r>
              <w:rPr>
                <w:szCs w:val="21"/>
              </w:rPr>
              <w:t>08</w:t>
            </w:r>
            <w:r>
              <w:rPr>
                <w:rFonts w:hint="eastAsia"/>
                <w:szCs w:val="21"/>
              </w:rPr>
              <w:t>其他生产、销售、使用过程中产生的废矿物油及沾染矿物油的废弃包装物），通过类比调查沾油防渗材料产生量约为0.5t，</w:t>
            </w:r>
            <w:r>
              <w:rPr>
                <w:rFonts w:hint="eastAsia"/>
                <w:snapToGrid w:val="0"/>
                <w:spacing w:val="4"/>
                <w:szCs w:val="21"/>
              </w:rPr>
              <w:t>委托具有危险废物运输及处理资质的单位拉运处理</w:t>
            </w:r>
            <w:r>
              <w:rPr>
                <w:rFonts w:hint="eastAsia"/>
                <w:szCs w:val="21"/>
              </w:rPr>
              <w:t>。</w:t>
            </w:r>
          </w:p>
          <w:p w14:paraId="26D3A4AB">
            <w:pPr>
              <w:pStyle w:val="3"/>
              <w:ind w:firstLine="420"/>
              <w:rPr>
                <w:rFonts w:hint="eastAsia"/>
                <w:sz w:val="21"/>
                <w:szCs w:val="21"/>
              </w:rPr>
            </w:pPr>
            <w:r>
              <w:rPr>
                <w:sz w:val="21"/>
                <w:szCs w:val="21"/>
              </w:rPr>
              <w:t>3</w:t>
            </w:r>
            <w:r>
              <w:rPr>
                <w:rFonts w:hint="eastAsia"/>
                <w:sz w:val="21"/>
                <w:szCs w:val="21"/>
              </w:rPr>
              <w:t>）废润滑油</w:t>
            </w:r>
          </w:p>
          <w:p w14:paraId="2060FD2E">
            <w:pPr>
              <w:pStyle w:val="3"/>
              <w:ind w:firstLine="420"/>
              <w:rPr>
                <w:rFonts w:hint="eastAsia"/>
                <w:sz w:val="21"/>
                <w:szCs w:val="21"/>
              </w:rPr>
            </w:pPr>
            <w:r>
              <w:rPr>
                <w:rFonts w:hint="eastAsia"/>
                <w:sz w:val="21"/>
                <w:szCs w:val="21"/>
              </w:rPr>
              <w:t>施工期间使用的机械设备运行过程中需进行维护、保养、维修等工作，以使其能正常运转，此过程中将产生少量的废润滑油。根据《国家危险废物名录（2025版）》（2025年1月1日），废润滑油属于危险废物（HW08：900-217-08使用工业齿轮油进行机械设备润滑过程中产生的废润滑油）。通过类比调查本项目产生量约</w:t>
            </w:r>
            <w:r>
              <w:rPr>
                <w:sz w:val="21"/>
                <w:szCs w:val="21"/>
              </w:rPr>
              <w:t>0.</w:t>
            </w:r>
            <w:r>
              <w:rPr>
                <w:rFonts w:hint="eastAsia"/>
                <w:sz w:val="21"/>
                <w:szCs w:val="21"/>
              </w:rPr>
              <w:t>05</w:t>
            </w:r>
            <w:r>
              <w:rPr>
                <w:sz w:val="21"/>
                <w:szCs w:val="21"/>
              </w:rPr>
              <w:t>t</w:t>
            </w:r>
            <w:r>
              <w:rPr>
                <w:rFonts w:hint="eastAsia"/>
                <w:sz w:val="21"/>
                <w:szCs w:val="21"/>
              </w:rPr>
              <w:t>，产生后在井场危废贮存点内暂存，</w:t>
            </w:r>
            <w:r>
              <w:rPr>
                <w:rFonts w:hint="eastAsia"/>
                <w:snapToGrid w:val="0"/>
                <w:spacing w:val="4"/>
                <w:sz w:val="21"/>
                <w:szCs w:val="21"/>
              </w:rPr>
              <w:t>委托具有危险废物运输及处理资质的单位拉运处理</w:t>
            </w:r>
            <w:r>
              <w:rPr>
                <w:rFonts w:hint="eastAsia"/>
                <w:sz w:val="21"/>
                <w:szCs w:val="21"/>
              </w:rPr>
              <w:t>。</w:t>
            </w:r>
          </w:p>
          <w:p w14:paraId="43DD8502">
            <w:pPr>
              <w:pStyle w:val="3"/>
              <w:ind w:firstLine="420"/>
              <w:rPr>
                <w:rFonts w:hint="eastAsia"/>
                <w:sz w:val="21"/>
                <w:szCs w:val="21"/>
              </w:rPr>
            </w:pPr>
            <w:r>
              <w:rPr>
                <w:rFonts w:hint="eastAsia"/>
                <w:sz w:val="21"/>
                <w:szCs w:val="21"/>
              </w:rPr>
              <w:t>4）废润滑油桶</w:t>
            </w:r>
          </w:p>
          <w:p w14:paraId="24447984">
            <w:pPr>
              <w:pStyle w:val="3"/>
              <w:ind w:firstLine="420"/>
              <w:rPr>
                <w:rFonts w:hint="eastAsia"/>
                <w:sz w:val="21"/>
                <w:szCs w:val="21"/>
              </w:rPr>
            </w:pPr>
            <w:r>
              <w:rPr>
                <w:rFonts w:hint="eastAsia"/>
                <w:sz w:val="21"/>
                <w:szCs w:val="21"/>
              </w:rPr>
              <w:t>维护、保养、维修产生的废润滑油使用油桶收集，根据《国家危险废物名录（2025年版）》（2025年1月1日），废润滑油桶属于危险废物（HW49：900-041-49含有或沾染毒性、感染性危险废物的废弃包装物、容器、过滤吸附介质）。通过类比调查本项目产生量约0.02t，产生后在井场危废贮存点内暂存，</w:t>
            </w:r>
            <w:r>
              <w:rPr>
                <w:rFonts w:hint="eastAsia"/>
                <w:snapToGrid w:val="0"/>
                <w:spacing w:val="4"/>
                <w:sz w:val="21"/>
                <w:szCs w:val="21"/>
              </w:rPr>
              <w:t>委托具有危险废物运输及处理资质的单位拉运处理</w:t>
            </w:r>
            <w:r>
              <w:rPr>
                <w:rFonts w:hint="eastAsia"/>
                <w:sz w:val="21"/>
                <w:szCs w:val="21"/>
              </w:rPr>
              <w:t>。</w:t>
            </w:r>
          </w:p>
          <w:p w14:paraId="71F683FC">
            <w:pPr>
              <w:pStyle w:val="3"/>
              <w:ind w:firstLine="420"/>
              <w:rPr>
                <w:rFonts w:hint="eastAsia"/>
                <w:sz w:val="21"/>
                <w:szCs w:val="21"/>
              </w:rPr>
            </w:pPr>
            <w:r>
              <w:rPr>
                <w:rFonts w:hint="eastAsia"/>
                <w:sz w:val="21"/>
                <w:szCs w:val="21"/>
              </w:rPr>
              <w:t>4）废弃包装物</w:t>
            </w:r>
          </w:p>
          <w:p w14:paraId="19323BE2">
            <w:pPr>
              <w:pStyle w:val="3"/>
              <w:ind w:firstLine="420"/>
              <w:rPr>
                <w:rFonts w:hint="eastAsia"/>
                <w:sz w:val="21"/>
                <w:szCs w:val="21"/>
              </w:rPr>
            </w:pPr>
            <w:r>
              <w:rPr>
                <w:rFonts w:hint="eastAsia"/>
                <w:sz w:val="21"/>
                <w:szCs w:val="21"/>
              </w:rPr>
              <w:t>本项目施工阶段钻井液配置过程需要使用部分袋装及桶装生产原料，其在配置使用完成后会产生一定量的废包装物。部分废弃包装物沾染化学品，根据《国家危险废物名录（2025年版）》（2025年1月1日），该类沾染化学品的废弃包装物属于危险废物（HW49：900-041-49含有或沾染毒性、感染性危险废物的废弃包装物、容器、过滤吸附介质）。通过类比调查本项目属于危险废物的废弃包装物产生量约0.2t，产生后在井场危废贮存点内暂存，</w:t>
            </w:r>
            <w:r>
              <w:rPr>
                <w:rFonts w:hint="eastAsia"/>
                <w:snapToGrid w:val="0"/>
                <w:spacing w:val="4"/>
                <w:sz w:val="21"/>
                <w:szCs w:val="21"/>
              </w:rPr>
              <w:t>委托具有危险废物运输及处理资质的单位拉运处理</w:t>
            </w:r>
            <w:r>
              <w:rPr>
                <w:rFonts w:hint="eastAsia"/>
                <w:sz w:val="21"/>
                <w:szCs w:val="21"/>
              </w:rPr>
              <w:t>；属于一般固废的废弃包装物产生量约1.0t，由供货厂家直接回收利用。</w:t>
            </w:r>
          </w:p>
          <w:p w14:paraId="372FFEC8">
            <w:pPr>
              <w:pStyle w:val="3"/>
              <w:ind w:firstLine="420"/>
              <w:rPr>
                <w:rFonts w:hint="eastAsia"/>
                <w:sz w:val="21"/>
                <w:szCs w:val="21"/>
              </w:rPr>
            </w:pPr>
            <w:r>
              <w:rPr>
                <w:rFonts w:hint="eastAsia"/>
                <w:sz w:val="21"/>
                <w:szCs w:val="21"/>
              </w:rPr>
              <w:t>5）</w:t>
            </w:r>
            <w:r>
              <w:rPr>
                <w:sz w:val="21"/>
                <w:szCs w:val="21"/>
              </w:rPr>
              <w:t>废弃的含油抹布、劳保用品</w:t>
            </w:r>
          </w:p>
          <w:p w14:paraId="474E028B">
            <w:pPr>
              <w:pStyle w:val="3"/>
              <w:ind w:firstLine="420"/>
              <w:rPr>
                <w:rFonts w:hint="eastAsia"/>
                <w:sz w:val="21"/>
                <w:szCs w:val="21"/>
              </w:rPr>
            </w:pPr>
            <w:r>
              <w:rPr>
                <w:rFonts w:hint="eastAsia"/>
                <w:sz w:val="21"/>
                <w:szCs w:val="21"/>
              </w:rPr>
              <w:t>维护、保养、维修产生的</w:t>
            </w:r>
            <w:r>
              <w:rPr>
                <w:sz w:val="21"/>
                <w:szCs w:val="21"/>
              </w:rPr>
              <w:t>废弃的含油抹布、劳保用品</w:t>
            </w:r>
            <w:r>
              <w:rPr>
                <w:rFonts w:hint="eastAsia"/>
                <w:sz w:val="21"/>
                <w:szCs w:val="21"/>
              </w:rPr>
              <w:t>属于危险废物（</w:t>
            </w:r>
            <w:r>
              <w:rPr>
                <w:sz w:val="21"/>
                <w:szCs w:val="21"/>
              </w:rPr>
              <w:t>HW49</w:t>
            </w:r>
            <w:r>
              <w:rPr>
                <w:rFonts w:hint="eastAsia"/>
                <w:sz w:val="21"/>
                <w:szCs w:val="21"/>
              </w:rPr>
              <w:t>：</w:t>
            </w:r>
            <w:r>
              <w:rPr>
                <w:sz w:val="21"/>
                <w:szCs w:val="21"/>
              </w:rPr>
              <w:t>900-041-49</w:t>
            </w:r>
            <w:r>
              <w:rPr>
                <w:rFonts w:hint="eastAsia"/>
                <w:sz w:val="21"/>
                <w:szCs w:val="21"/>
              </w:rPr>
              <w:t>含有或沾染毒性、感染性危险废物的废弃包装物、容器、过滤吸附介质）。通过类比调查本项目产生量约</w:t>
            </w:r>
            <w:r>
              <w:rPr>
                <w:sz w:val="21"/>
                <w:szCs w:val="21"/>
              </w:rPr>
              <w:t>0.</w:t>
            </w:r>
            <w:r>
              <w:rPr>
                <w:rFonts w:hint="eastAsia"/>
                <w:sz w:val="21"/>
                <w:szCs w:val="21"/>
              </w:rPr>
              <w:t>0</w:t>
            </w:r>
            <w:r>
              <w:rPr>
                <w:sz w:val="21"/>
                <w:szCs w:val="21"/>
              </w:rPr>
              <w:t>1t</w:t>
            </w:r>
            <w:r>
              <w:rPr>
                <w:rFonts w:hint="eastAsia"/>
                <w:sz w:val="21"/>
                <w:szCs w:val="21"/>
              </w:rPr>
              <w:t>，产生后在井场危废贮存点内暂存，</w:t>
            </w:r>
            <w:r>
              <w:rPr>
                <w:rFonts w:hint="eastAsia"/>
                <w:snapToGrid w:val="0"/>
                <w:spacing w:val="4"/>
                <w:sz w:val="21"/>
                <w:szCs w:val="21"/>
              </w:rPr>
              <w:t>委托具有危险废物运输及处理资质的单位拉运处理</w:t>
            </w:r>
            <w:r>
              <w:rPr>
                <w:rFonts w:hint="eastAsia"/>
                <w:sz w:val="21"/>
                <w:szCs w:val="21"/>
              </w:rPr>
              <w:t>。</w:t>
            </w:r>
          </w:p>
          <w:p w14:paraId="16C457B4">
            <w:pPr>
              <w:pStyle w:val="113"/>
              <w:rPr>
                <w:rFonts w:hint="eastAsia"/>
              </w:rPr>
            </w:pPr>
            <w:r>
              <w:rPr>
                <w:rFonts w:hint="eastAsia"/>
              </w:rPr>
              <w:t>本项目危险废物的收集、贮存及运输过程中应按照《危险废物收集 贮存 运输技术规范》（</w:t>
            </w:r>
            <w:r>
              <w:t>HJ 2025-2012</w:t>
            </w:r>
            <w:r>
              <w:rPr>
                <w:rFonts w:hint="eastAsia"/>
              </w:rPr>
              <w:t>）的要求进行管理；转移过程按照《危险废物转移管理办法》（2022年1月1日）办理危险废物转移联单；管理过程按照《危险废物管理计划和管理台账制定技术导则》（H</w:t>
            </w:r>
            <w:r>
              <w:t>J1259</w:t>
            </w:r>
            <w:r>
              <w:rPr>
                <w:rFonts w:hint="eastAsia"/>
              </w:rPr>
              <w:t>-</w:t>
            </w:r>
            <w:r>
              <w:t>2022</w:t>
            </w:r>
            <w:r>
              <w:rPr>
                <w:rFonts w:hint="eastAsia"/>
              </w:rPr>
              <w:t>）及</w:t>
            </w:r>
            <w:r>
              <w:rPr>
                <w:rFonts w:hint="eastAsia"/>
                <w:szCs w:val="21"/>
              </w:rPr>
              <w:t>《危险废物环境管理指南  陆上石油天然气开采》</w:t>
            </w:r>
            <w:r>
              <w:rPr>
                <w:rFonts w:hint="eastAsia"/>
              </w:rPr>
              <w:t>要求制定危废管理台账和危废管理计划。</w:t>
            </w:r>
          </w:p>
          <w:p w14:paraId="056559A1">
            <w:pPr>
              <w:pStyle w:val="113"/>
              <w:rPr>
                <w:rFonts w:hint="eastAsia"/>
              </w:rPr>
            </w:pPr>
            <w:r>
              <w:rPr>
                <w:rFonts w:hint="eastAsia"/>
              </w:rPr>
              <w:t>（1）收集和贮存</w:t>
            </w:r>
          </w:p>
          <w:p w14:paraId="1C2C22AC">
            <w:pPr>
              <w:pStyle w:val="113"/>
              <w:rPr>
                <w:rFonts w:hint="eastAsia"/>
              </w:rPr>
            </w:pPr>
            <w:r>
              <w:rPr>
                <w:rFonts w:hint="eastAsia"/>
              </w:rPr>
              <w:t>①危险废物的贮存和运输严格按照国家对危险废物处理的有关规定执行。根据</w:t>
            </w:r>
            <w:r>
              <w:rPr>
                <w:rStyle w:val="88"/>
              </w:rPr>
              <w:t>《危险废物贮存污染控制标准》（GB 18597-2023）</w:t>
            </w:r>
            <w:r>
              <w:rPr>
                <w:rFonts w:hint="eastAsia"/>
              </w:rPr>
              <w:t>的要求，危险废物的储存应采取以下措施：</w:t>
            </w:r>
          </w:p>
          <w:p w14:paraId="643AE844">
            <w:pPr>
              <w:pStyle w:val="113"/>
              <w:rPr>
                <w:rFonts w:hint="eastAsia"/>
              </w:rPr>
            </w:pPr>
            <w:r>
              <w:rPr>
                <w:rFonts w:hint="eastAsia"/>
              </w:rPr>
              <w:t>a危险废物临时存储场所按照桶装、袋装物质的区别制作标示牌对危险废物进行标识。</w:t>
            </w:r>
          </w:p>
          <w:p w14:paraId="42ED52FE">
            <w:pPr>
              <w:pStyle w:val="113"/>
              <w:rPr>
                <w:rFonts w:hint="eastAsia"/>
              </w:rPr>
            </w:pPr>
            <w:r>
              <w:rPr>
                <w:rFonts w:hint="eastAsia"/>
              </w:rPr>
              <w:t>b危险废物贮存容器及材质要满足相应的强度要求；盛装危险废物的容器材质和衬里要与危险废物相容（不相互反应）；且完好无损。</w:t>
            </w:r>
          </w:p>
          <w:p w14:paraId="2595AF65">
            <w:pPr>
              <w:pStyle w:val="113"/>
              <w:rPr>
                <w:rFonts w:hint="eastAsia"/>
              </w:rPr>
            </w:pPr>
            <w:r>
              <w:rPr>
                <w:rFonts w:hint="eastAsia"/>
              </w:rPr>
              <w:t>c危险废物临时存储场所设置警示标志，配置通讯设备、照明设施等；待危险废物贮存设施停用后，应请监测部门进行监测，表明已不存在污染时，方可摘下警示标志。</w:t>
            </w:r>
          </w:p>
          <w:p w14:paraId="7A76765A">
            <w:pPr>
              <w:pStyle w:val="113"/>
              <w:rPr>
                <w:rFonts w:hint="eastAsia"/>
              </w:rPr>
            </w:pPr>
            <w:r>
              <w:rPr>
                <w:rFonts w:hint="eastAsia"/>
              </w:rPr>
              <w:t xml:space="preserve">ｄ </w:t>
            </w:r>
            <w:r>
              <w:t>贮存点应具有固定的区域边界，并应采取与其他区域进行隔离的措施。</w:t>
            </w:r>
          </w:p>
          <w:p w14:paraId="2DA75188">
            <w:pPr>
              <w:pStyle w:val="113"/>
              <w:rPr>
                <w:rFonts w:hint="eastAsia"/>
              </w:rPr>
            </w:pPr>
            <w:r>
              <w:rPr>
                <w:rFonts w:hint="eastAsia"/>
              </w:rPr>
              <w:t>ｅ</w:t>
            </w:r>
            <w:r>
              <w:t xml:space="preserve"> 贮存点应采取防风、防雨、防晒和防止危险废物流失、扬散等措施。</w:t>
            </w:r>
          </w:p>
          <w:p w14:paraId="06EFAB8C">
            <w:pPr>
              <w:pStyle w:val="113"/>
              <w:rPr>
                <w:rFonts w:hint="eastAsia"/>
              </w:rPr>
            </w:pPr>
            <w:r>
              <w:rPr>
                <w:rFonts w:hint="eastAsia"/>
              </w:rPr>
              <w:t>ｆ</w:t>
            </w:r>
            <w:r>
              <w:t xml:space="preserve"> 贮存点贮存的危险废物应置于容器或包装物中，不应直接散堆。</w:t>
            </w:r>
          </w:p>
          <w:p w14:paraId="3394C4DF">
            <w:pPr>
              <w:pStyle w:val="113"/>
              <w:rPr>
                <w:rFonts w:hint="eastAsia"/>
              </w:rPr>
            </w:pPr>
            <w:r>
              <w:rPr>
                <w:rFonts w:hint="eastAsia"/>
              </w:rPr>
              <w:t xml:space="preserve">ｇ </w:t>
            </w:r>
            <w:r>
              <w:t>贮存点应根据危险废物的形态、物理化学性质、包装形式等，采取防渗、防漏等污染防治措施 GB 18597—2023 6 或采用具有相应功能的装置。</w:t>
            </w:r>
          </w:p>
          <w:p w14:paraId="6D515C87">
            <w:pPr>
              <w:pStyle w:val="113"/>
              <w:rPr>
                <w:rFonts w:hint="eastAsia"/>
              </w:rPr>
            </w:pPr>
            <w:r>
              <w:rPr>
                <w:rFonts w:hint="eastAsia"/>
              </w:rPr>
              <w:t>ｈ</w:t>
            </w:r>
            <w:r>
              <w:t xml:space="preserve"> 贮存点应及时清运贮存的危险废物，实时贮存量不应超过3吨</w:t>
            </w:r>
          </w:p>
          <w:p w14:paraId="655785C0">
            <w:pPr>
              <w:pStyle w:val="113"/>
              <w:rPr>
                <w:rFonts w:hint="eastAsia"/>
              </w:rPr>
            </w:pPr>
            <w:r>
              <w:rPr>
                <w:rFonts w:hint="eastAsia"/>
              </w:rPr>
              <w:t>②对于危险固废的收集及贮存，根据危险废物的成分，用符合国家标准的耐腐蚀、不易破损、变形和老化的容器贮存，并按规定在贮存危险固废容器上贴上标签，详细注明危险固废的名称、重量、成分、特性以及发生泄漏、扩散污染事故时的应急措施和补救办法。</w:t>
            </w:r>
          </w:p>
          <w:p w14:paraId="69B3075D">
            <w:pPr>
              <w:pStyle w:val="113"/>
              <w:rPr>
                <w:rFonts w:hint="eastAsia"/>
              </w:rPr>
            </w:pPr>
            <w:r>
              <w:rPr>
                <w:rFonts w:hint="eastAsia"/>
              </w:rPr>
              <w:t>③危险废物临时存储场所内清理出来的泄漏物，也属于危险废物，必须按照危险废物处理原则处理。</w:t>
            </w:r>
          </w:p>
          <w:p w14:paraId="142E7B37">
            <w:pPr>
              <w:pStyle w:val="113"/>
              <w:rPr>
                <w:rFonts w:hint="eastAsia"/>
              </w:rPr>
            </w:pPr>
            <w:r>
              <w:rPr>
                <w:rFonts w:hint="eastAsia"/>
              </w:rPr>
              <w:t>④安全环保机构作为专门危险固废处置机构，主要负责危险固废的收集、贮存及处置。</w:t>
            </w:r>
          </w:p>
          <w:p w14:paraId="5639AD31">
            <w:pPr>
              <w:pStyle w:val="113"/>
              <w:rPr>
                <w:rFonts w:hint="eastAsia"/>
              </w:rPr>
            </w:pPr>
            <w:r>
              <w:rPr>
                <w:rFonts w:hint="eastAsia"/>
              </w:rPr>
              <w:t>⑤按月统计危险废物种类、产生量、暂存时间、交由处置时间等，并按月向当地环保部门报告。</w:t>
            </w:r>
          </w:p>
          <w:p w14:paraId="7DB62430">
            <w:pPr>
              <w:pStyle w:val="113"/>
              <w:rPr>
                <w:rFonts w:hint="eastAsia"/>
              </w:rPr>
            </w:pPr>
            <w:r>
              <w:rPr>
                <w:rFonts w:hint="eastAsia"/>
              </w:rPr>
              <w:t>（2）转移</w:t>
            </w:r>
          </w:p>
          <w:p w14:paraId="4F973B26">
            <w:pPr>
              <w:pStyle w:val="113"/>
              <w:rPr>
                <w:rFonts w:hint="eastAsia"/>
              </w:rPr>
            </w:pPr>
            <w:r>
              <w:rPr>
                <w:rFonts w:hint="eastAsia"/>
              </w:rPr>
              <w:t>危险废物在储存、转移、处理过程中严格执行《危险废物转移管理办法》（2022年1月1日）五联单制度，并制定内部转移、转运制度。</w:t>
            </w:r>
          </w:p>
          <w:p w14:paraId="77C5086D">
            <w:pPr>
              <w:pStyle w:val="113"/>
              <w:rPr>
                <w:rFonts w:hint="eastAsia"/>
              </w:rPr>
            </w:pPr>
            <w:r>
              <w:rPr>
                <w:rFonts w:hint="eastAsia"/>
              </w:rPr>
              <w:t>（3）运输</w:t>
            </w:r>
          </w:p>
          <w:p w14:paraId="5CE145D1">
            <w:pPr>
              <w:pStyle w:val="113"/>
              <w:rPr>
                <w:rFonts w:hint="eastAsia"/>
                <w:szCs w:val="21"/>
              </w:rPr>
            </w:pPr>
            <w:r>
              <w:rPr>
                <w:rFonts w:hint="eastAsia"/>
              </w:rPr>
              <w:t>建设单位与危废资质单位共同研究危险废物运输的有关事宜，确保危险废物的运输安全可靠，减少或避免运输过程中的二次污染和可能造成的环境风险，</w:t>
            </w:r>
            <w:r>
              <w:rPr>
                <w:rFonts w:hint="eastAsia"/>
                <w:szCs w:val="21"/>
              </w:rPr>
              <w:t>运输过程应满足以下要求：</w:t>
            </w:r>
          </w:p>
          <w:p w14:paraId="49404575">
            <w:pPr>
              <w:pStyle w:val="113"/>
              <w:rPr>
                <w:rFonts w:hint="eastAsia"/>
                <w:szCs w:val="21"/>
              </w:rPr>
            </w:pPr>
            <w:r>
              <w:rPr>
                <w:rFonts w:hint="eastAsia"/>
                <w:szCs w:val="21"/>
              </w:rPr>
              <w:t>①</w:t>
            </w:r>
            <w:r>
              <w:rPr>
                <w:rFonts w:hint="eastAsia"/>
              </w:rPr>
              <w:t>运输线路应避开敏感水域和区域，防止危险废物泄漏造成的污染；</w:t>
            </w:r>
          </w:p>
          <w:p w14:paraId="41B56DE0">
            <w:pPr>
              <w:pStyle w:val="113"/>
              <w:rPr>
                <w:rFonts w:hint="eastAsia"/>
                <w:szCs w:val="21"/>
              </w:rPr>
            </w:pPr>
            <w:r>
              <w:rPr>
                <w:rFonts w:hint="eastAsia"/>
                <w:szCs w:val="21"/>
              </w:rPr>
              <w:t>②委托专业运输单位进行运输，采用罐车运输，防止扬散和洒漏；</w:t>
            </w:r>
          </w:p>
          <w:p w14:paraId="6844F214">
            <w:pPr>
              <w:pStyle w:val="113"/>
              <w:rPr>
                <w:rFonts w:hint="eastAsia"/>
                <w:szCs w:val="21"/>
              </w:rPr>
            </w:pPr>
            <w:r>
              <w:rPr>
                <w:rFonts w:hint="eastAsia"/>
                <w:szCs w:val="21"/>
              </w:rPr>
              <w:t>③加强危险废物运输设施和设备的管理和维修维护，保证其正常运营和使用；</w:t>
            </w:r>
          </w:p>
          <w:p w14:paraId="3807E2F3">
            <w:pPr>
              <w:pStyle w:val="113"/>
              <w:rPr>
                <w:rFonts w:hint="eastAsia"/>
                <w:szCs w:val="21"/>
              </w:rPr>
            </w:pPr>
            <w:r>
              <w:rPr>
                <w:rFonts w:hint="eastAsia"/>
                <w:szCs w:val="21"/>
              </w:rPr>
              <w:t>④在运输过程中不能混合性质不相容而又未经安全处置的废物；</w:t>
            </w:r>
          </w:p>
          <w:p w14:paraId="219A5D85">
            <w:pPr>
              <w:pStyle w:val="113"/>
              <w:rPr>
                <w:rFonts w:hint="eastAsia"/>
              </w:rPr>
            </w:pPr>
            <w:r>
              <w:rPr>
                <w:rFonts w:hint="eastAsia"/>
                <w:szCs w:val="21"/>
              </w:rPr>
              <w:t>⑤转移危险废物应填写危险废物转移联单，并向当地人民政府生态</w:t>
            </w:r>
            <w:r>
              <w:rPr>
                <w:rFonts w:hint="eastAsia"/>
              </w:rPr>
              <w:t>环境主管部门报告；</w:t>
            </w:r>
          </w:p>
          <w:p w14:paraId="3A02779B">
            <w:pPr>
              <w:pStyle w:val="113"/>
              <w:rPr>
                <w:rFonts w:hint="eastAsia"/>
              </w:rPr>
            </w:pPr>
            <w:r>
              <w:rPr>
                <w:rFonts w:hint="eastAsia"/>
              </w:rPr>
              <w:t>⑥运输危险废物的人员，应当接受专业培训，经考核合格后，方可从事运输危险废物的工作；</w:t>
            </w:r>
          </w:p>
          <w:p w14:paraId="0BB3494F">
            <w:pPr>
              <w:pStyle w:val="113"/>
              <w:rPr>
                <w:rFonts w:hint="eastAsia"/>
              </w:rPr>
            </w:pPr>
            <w:r>
              <w:rPr>
                <w:rFonts w:hint="eastAsia"/>
              </w:rPr>
              <w:t>⑦运输危险废物的单位应当制定在发生意外事故时采取的应急措施和防范措施；</w:t>
            </w:r>
          </w:p>
          <w:p w14:paraId="78100090">
            <w:pPr>
              <w:pStyle w:val="113"/>
              <w:rPr>
                <w:rFonts w:hint="eastAsia"/>
              </w:rPr>
            </w:pPr>
            <w:r>
              <w:rPr>
                <w:rFonts w:hint="eastAsia"/>
              </w:rPr>
              <w:t>⑧运输时，发生突发性事故必须立即采取措施消除或者减轻对环境的污染危害，及时通报给附近的单位和居民，并向事故发生地县级以上人民政府生态环境主管部门和有关部门报告，接受调查处理。</w:t>
            </w:r>
          </w:p>
          <w:p w14:paraId="18F27C3E">
            <w:pPr>
              <w:pStyle w:val="113"/>
              <w:rPr>
                <w:rFonts w:hint="eastAsia"/>
                <w:szCs w:val="21"/>
              </w:rPr>
            </w:pPr>
            <w:r>
              <w:rPr>
                <w:rFonts w:hint="eastAsia"/>
                <w:szCs w:val="21"/>
              </w:rPr>
              <w:t>综上所述，本项目产生的固体废物在采取上述措施后，不会对周围环境产生明显影响。</w:t>
            </w:r>
          </w:p>
          <w:p w14:paraId="2995079A">
            <w:pPr>
              <w:pStyle w:val="113"/>
              <w:tabs>
                <w:tab w:val="left" w:pos="4905"/>
              </w:tabs>
              <w:rPr>
                <w:rFonts w:hint="eastAsia"/>
              </w:rPr>
            </w:pPr>
            <w:r>
              <w:rPr>
                <w:rFonts w:hint="eastAsia"/>
              </w:rPr>
              <w:t>6）锅炉炉渣</w:t>
            </w:r>
          </w:p>
          <w:p w14:paraId="555177CF">
            <w:pPr>
              <w:pStyle w:val="113"/>
              <w:tabs>
                <w:tab w:val="left" w:pos="4905"/>
              </w:tabs>
              <w:rPr>
                <w:rFonts w:hint="eastAsia"/>
              </w:rPr>
            </w:pPr>
            <w:r>
              <w:rPr>
                <w:rFonts w:hint="eastAsia"/>
              </w:rPr>
              <w:t>本项目生物质锅炉燃料采用生物质，其在燃烧后会产生炉渣。类比锅炉供应商前期锅炉运行数据，该型号锅炉满负荷运行过程中，锅炉炉渣产生量为0.2t，施工期锅炉运行时间为90d，则锅炉炉渣量为18t。经收集后临时暂存于一般固废暂存间内，定期拉运、外售给有需求的厂家。</w:t>
            </w:r>
          </w:p>
          <w:p w14:paraId="316E2A60">
            <w:pPr>
              <w:pStyle w:val="113"/>
              <w:tabs>
                <w:tab w:val="left" w:pos="4905"/>
              </w:tabs>
              <w:rPr>
                <w:rFonts w:hint="eastAsia"/>
              </w:rPr>
            </w:pPr>
            <w:r>
              <w:rPr>
                <w:rFonts w:hint="eastAsia"/>
              </w:rPr>
              <w:t>7）袋式除尘器截获的粉尘</w:t>
            </w:r>
          </w:p>
          <w:p w14:paraId="6A5C671C">
            <w:pPr>
              <w:pStyle w:val="113"/>
              <w:tabs>
                <w:tab w:val="left" w:pos="4905"/>
              </w:tabs>
              <w:rPr>
                <w:rFonts w:hint="eastAsia"/>
              </w:rPr>
            </w:pPr>
            <w:r>
              <w:rPr>
                <w:rFonts w:hint="eastAsia"/>
              </w:rPr>
              <w:t>根据物料衡算，本项目袋式除尘器截获的粉尘量为0.269t。经收集后临时暂存于一般固废暂存间内，定期拉运、外售给有需求的厂家。</w:t>
            </w:r>
          </w:p>
          <w:p w14:paraId="75EC8CE3">
            <w:pPr>
              <w:pStyle w:val="113"/>
              <w:tabs>
                <w:tab w:val="left" w:pos="4905"/>
              </w:tabs>
              <w:rPr>
                <w:rFonts w:hint="eastAsia"/>
              </w:rPr>
            </w:pPr>
            <w:r>
              <w:rPr>
                <w:rFonts w:hint="eastAsia"/>
              </w:rPr>
              <w:t>8）脱硫石膏</w:t>
            </w:r>
          </w:p>
          <w:p w14:paraId="0EE5DA00">
            <w:pPr>
              <w:pStyle w:val="113"/>
              <w:tabs>
                <w:tab w:val="left" w:pos="4905"/>
              </w:tabs>
              <w:rPr>
                <w:rFonts w:hint="eastAsia"/>
              </w:rPr>
            </w:pPr>
            <w:r>
              <w:rPr>
                <w:rFonts w:hint="eastAsia"/>
              </w:rPr>
              <w:t>本项目脱硫塔脱硫会产生一部分脱硫石膏，石膏位于脱硫塔底部，需定期清理。本项目SO</w:t>
            </w:r>
            <w:r>
              <w:rPr>
                <w:rFonts w:hint="eastAsia"/>
                <w:vertAlign w:val="subscript"/>
              </w:rPr>
              <w:t>2</w:t>
            </w:r>
            <w:r>
              <w:rPr>
                <w:rFonts w:hint="eastAsia"/>
              </w:rPr>
              <w:t>吸收量为0.48t，经核算，脱硫石膏产生量约1.4t。经收集后临时暂存于一般固废暂存间内，定期拉运、外售给有需求的厂家。</w:t>
            </w:r>
          </w:p>
          <w:p w14:paraId="22E8FD74">
            <w:pPr>
              <w:pStyle w:val="113"/>
              <w:tabs>
                <w:tab w:val="left" w:pos="4905"/>
              </w:tabs>
              <w:rPr>
                <w:rFonts w:hint="eastAsia"/>
              </w:rPr>
            </w:pPr>
            <w:r>
              <w:rPr>
                <w:rFonts w:hint="eastAsia"/>
              </w:rPr>
              <w:t>本项目产生的一般固体废物主要为袋式除尘器截获的粉尘及脱硫石膏。以上固废均集中收集后，临时贮存于井场按《一般工业固体废物贮存和填埋污染控制标准》（GB 18599-2020）要求建设的一般固废暂存间内。该暂存间地面已进行防渗处理，可有效防止扬尘污染和渗漏对土壤与地下水造成污染；同时，企业将严格建立一般固体废物污染环境防治责任制度，并依据《一般工业固体废物管理台账制定指南（试行）》建立管理台账，如实记录废物的种类、数量、流向、贮存、利用与处置信息。在全面落实以上措施后，项目产生的一般固体废物可得到安全暂存与合规处置，对周边环境影响较小。</w:t>
            </w:r>
          </w:p>
          <w:p w14:paraId="5F50219B">
            <w:pPr>
              <w:pStyle w:val="113"/>
              <w:tabs>
                <w:tab w:val="left" w:pos="4905"/>
              </w:tabs>
              <w:rPr>
                <w:rFonts w:hint="eastAsia"/>
              </w:rPr>
            </w:pPr>
            <w:r>
              <w:rPr>
                <w:rFonts w:hint="eastAsia"/>
              </w:rPr>
              <w:t>9）生活垃圾</w:t>
            </w:r>
          </w:p>
          <w:p w14:paraId="202628AD">
            <w:pPr>
              <w:pStyle w:val="113"/>
              <w:rPr>
                <w:rFonts w:hint="eastAsia"/>
              </w:rPr>
            </w:pPr>
            <w:r>
              <w:rPr>
                <w:rFonts w:hint="eastAsia"/>
                <w:snapToGrid w:val="0"/>
              </w:rPr>
              <w:t>生活垃圾集中在生活垃圾收集箱内，定期拉运至附近生活垃圾暂存点，交由环卫部门进行统一处理。只要施工单位加强管理，生活垃圾对周围</w:t>
            </w:r>
            <w:r>
              <w:rPr>
                <w:rFonts w:hint="eastAsia"/>
              </w:rPr>
              <w:t>环境不会产生明显影响。</w:t>
            </w:r>
          </w:p>
          <w:p w14:paraId="72F347DE">
            <w:pPr>
              <w:pStyle w:val="113"/>
              <w:rPr>
                <w:rFonts w:hint="eastAsia"/>
              </w:rPr>
            </w:pPr>
            <w:r>
              <w:rPr>
                <w:rFonts w:hint="eastAsia"/>
              </w:rPr>
              <w:t>本工程所采取的固废处理措施是目前油田开发广泛采用的措施，且中石化新疆新春石油开发有限责任公司对油田产生的各类固体废物有严格的处理规定。通过采取以上措施，各类固体废物均能得到妥善的处置，对周围环境不会产生明显影响。本项目危险废物产</w:t>
            </w:r>
            <w:r>
              <w:rPr>
                <w:rFonts w:hint="eastAsia"/>
                <w:kern w:val="0"/>
              </w:rPr>
              <w:t>生情况详见</w:t>
            </w:r>
            <w:r>
              <w:fldChar w:fldCharType="begin"/>
            </w:r>
            <w:r>
              <w:rPr>
                <w:kern w:val="0"/>
              </w:rPr>
              <w:instrText xml:space="preserve"> </w:instrText>
            </w:r>
            <w:r>
              <w:rPr>
                <w:rFonts w:hint="eastAsia"/>
                <w:kern w:val="0"/>
              </w:rPr>
              <w:instrText xml:space="preserve">REF _Ref138689022 \h</w:instrText>
            </w:r>
            <w:r>
              <w:rPr>
                <w:kern w:val="0"/>
              </w:rPr>
              <w:instrText xml:space="preserve"> </w:instrText>
            </w:r>
            <w:r>
              <w:instrText xml:space="preserve"> \* MERGEFORMAT </w:instrText>
            </w:r>
            <w:r>
              <w:fldChar w:fldCharType="separate"/>
            </w:r>
            <w:r>
              <w:rPr>
                <w:rFonts w:hint="eastAsia"/>
              </w:rPr>
              <w:t>表32</w:t>
            </w:r>
            <w:r>
              <w:fldChar w:fldCharType="end"/>
            </w:r>
            <w:r>
              <w:rPr>
                <w:rFonts w:hint="eastAsia"/>
                <w:kern w:val="0"/>
              </w:rPr>
              <w:t>，</w:t>
            </w:r>
            <w:r>
              <w:rPr>
                <w:rFonts w:hint="eastAsia" w:cs="Times New Roman"/>
              </w:rPr>
              <w:t>危险废物贮存场所（设施）基本情况详见</w:t>
            </w:r>
            <w:r>
              <w:fldChar w:fldCharType="begin"/>
            </w:r>
            <w:r>
              <w:rPr>
                <w:rFonts w:cs="Times New Roman"/>
              </w:rPr>
              <w:instrText xml:space="preserve"> </w:instrText>
            </w:r>
            <w:r>
              <w:rPr>
                <w:rFonts w:hint="eastAsia" w:cs="Times New Roman"/>
              </w:rPr>
              <w:instrText xml:space="preserve">REF _Ref138689029 \h</w:instrText>
            </w:r>
            <w:r>
              <w:rPr>
                <w:rFonts w:cs="Times New Roman"/>
              </w:rPr>
              <w:instrText xml:space="preserve"> </w:instrText>
            </w:r>
            <w:r>
              <w:instrText xml:space="preserve"> \* MERGEFORMAT </w:instrText>
            </w:r>
            <w:r>
              <w:fldChar w:fldCharType="separate"/>
            </w:r>
            <w:r>
              <w:rPr>
                <w:rFonts w:hint="eastAsia"/>
              </w:rPr>
              <w:t>表33</w:t>
            </w:r>
            <w:r>
              <w:fldChar w:fldCharType="end"/>
            </w:r>
            <w:r>
              <w:rPr>
                <w:rFonts w:hint="eastAsia"/>
                <w:kern w:val="0"/>
              </w:rPr>
              <w:t>，</w:t>
            </w:r>
            <w:r>
              <w:rPr>
                <w:rFonts w:hint="eastAsia"/>
              </w:rPr>
              <w:t>施工期固体废物产</w:t>
            </w:r>
            <w:r>
              <w:rPr>
                <w:rFonts w:hint="eastAsia"/>
                <w:kern w:val="0"/>
              </w:rPr>
              <w:t>生情况详见</w:t>
            </w:r>
            <w:r>
              <w:fldChar w:fldCharType="begin"/>
            </w:r>
            <w:r>
              <w:rPr>
                <w:kern w:val="0"/>
              </w:rPr>
              <w:instrText xml:space="preserve"> </w:instrText>
            </w:r>
            <w:r>
              <w:rPr>
                <w:rFonts w:hint="eastAsia"/>
                <w:kern w:val="0"/>
              </w:rPr>
              <w:instrText xml:space="preserve">REF _Ref138689036 \h</w:instrText>
            </w:r>
            <w:r>
              <w:rPr>
                <w:kern w:val="0"/>
              </w:rPr>
              <w:instrText xml:space="preserve"> </w:instrText>
            </w:r>
            <w:r>
              <w:instrText xml:space="preserve"> \* MERGEFORMAT </w:instrText>
            </w:r>
            <w:r>
              <w:fldChar w:fldCharType="separate"/>
            </w:r>
            <w:r>
              <w:rPr>
                <w:rFonts w:hint="eastAsia"/>
              </w:rPr>
              <w:t>表34</w:t>
            </w:r>
            <w:r>
              <w:fldChar w:fldCharType="end"/>
            </w:r>
            <w:r>
              <w:rPr>
                <w:rFonts w:hint="eastAsia"/>
                <w:kern w:val="0"/>
              </w:rPr>
              <w:t>。</w:t>
            </w:r>
          </w:p>
          <w:p w14:paraId="7A18F360">
            <w:pPr>
              <w:pStyle w:val="12"/>
              <w:spacing w:before="120"/>
              <w:rPr>
                <w:rFonts w:hint="eastAsia" w:hAnsi="宋体"/>
              </w:rPr>
            </w:pPr>
            <w:bookmarkStart w:id="57" w:name="_Ref138689022"/>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32</w:t>
            </w:r>
            <w:r>
              <w:rPr>
                <w:rFonts w:hAnsi="宋体"/>
              </w:rPr>
              <w:fldChar w:fldCharType="end"/>
            </w:r>
            <w:bookmarkEnd w:id="57"/>
            <w:r>
              <w:rPr>
                <w:rFonts w:hAnsi="宋体"/>
              </w:rPr>
              <w:t xml:space="preserve">  </w:t>
            </w:r>
            <w:r>
              <w:rPr>
                <w:rFonts w:hint="eastAsia" w:hAnsi="宋体"/>
              </w:rPr>
              <w:t>本项目危险废物产</w:t>
            </w:r>
            <w:r>
              <w:rPr>
                <w:rFonts w:hint="eastAsia" w:hAnsi="宋体"/>
                <w:kern w:val="0"/>
              </w:rPr>
              <w:t>生情况表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350"/>
              <w:gridCol w:w="1347"/>
              <w:gridCol w:w="1350"/>
              <w:gridCol w:w="1351"/>
              <w:gridCol w:w="1390"/>
            </w:tblGrid>
            <w:tr w14:paraId="4919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2A3DA116">
                  <w:pPr>
                    <w:pStyle w:val="87"/>
                    <w:rPr>
                      <w:sz w:val="18"/>
                      <w:szCs w:val="18"/>
                    </w:rPr>
                  </w:pPr>
                  <w:r>
                    <w:rPr>
                      <w:rFonts w:hint="eastAsia"/>
                      <w:sz w:val="18"/>
                      <w:szCs w:val="18"/>
                    </w:rPr>
                    <w:t>危险废物名称</w:t>
                  </w:r>
                </w:p>
              </w:tc>
              <w:tc>
                <w:tcPr>
                  <w:tcW w:w="866" w:type="pct"/>
                  <w:tcBorders>
                    <w:top w:val="single" w:color="auto" w:sz="4" w:space="0"/>
                    <w:left w:val="nil"/>
                    <w:bottom w:val="single" w:color="auto" w:sz="4" w:space="0"/>
                    <w:right w:val="single" w:color="auto" w:sz="4" w:space="0"/>
                  </w:tcBorders>
                  <w:vAlign w:val="center"/>
                </w:tcPr>
                <w:p w14:paraId="1959A289">
                  <w:pPr>
                    <w:pStyle w:val="87"/>
                    <w:rPr>
                      <w:sz w:val="18"/>
                      <w:szCs w:val="18"/>
                    </w:rPr>
                  </w:pPr>
                  <w:r>
                    <w:rPr>
                      <w:rFonts w:hint="eastAsia"/>
                      <w:sz w:val="18"/>
                      <w:szCs w:val="18"/>
                    </w:rPr>
                    <w:t>废防渗材料</w:t>
                  </w:r>
                </w:p>
              </w:tc>
              <w:tc>
                <w:tcPr>
                  <w:tcW w:w="864" w:type="pct"/>
                  <w:tcBorders>
                    <w:top w:val="single" w:color="auto" w:sz="4" w:space="0"/>
                    <w:left w:val="nil"/>
                    <w:bottom w:val="single" w:color="auto" w:sz="4" w:space="0"/>
                    <w:right w:val="single" w:color="auto" w:sz="4" w:space="0"/>
                  </w:tcBorders>
                  <w:vAlign w:val="center"/>
                </w:tcPr>
                <w:p w14:paraId="1EBD1792">
                  <w:pPr>
                    <w:pStyle w:val="87"/>
                    <w:rPr>
                      <w:sz w:val="18"/>
                      <w:szCs w:val="18"/>
                    </w:rPr>
                  </w:pPr>
                  <w:r>
                    <w:rPr>
                      <w:rFonts w:hint="eastAsia"/>
                      <w:sz w:val="18"/>
                      <w:szCs w:val="18"/>
                    </w:rPr>
                    <w:t>废润滑油</w:t>
                  </w:r>
                </w:p>
              </w:tc>
              <w:tc>
                <w:tcPr>
                  <w:tcW w:w="866" w:type="pct"/>
                  <w:tcBorders>
                    <w:top w:val="single" w:color="auto" w:sz="4" w:space="0"/>
                    <w:left w:val="nil"/>
                    <w:bottom w:val="single" w:color="auto" w:sz="4" w:space="0"/>
                    <w:right w:val="single" w:color="auto" w:sz="4" w:space="0"/>
                  </w:tcBorders>
                  <w:vAlign w:val="center"/>
                </w:tcPr>
                <w:p w14:paraId="573DFF8C">
                  <w:pPr>
                    <w:pStyle w:val="87"/>
                    <w:rPr>
                      <w:sz w:val="18"/>
                      <w:szCs w:val="18"/>
                    </w:rPr>
                  </w:pPr>
                  <w:r>
                    <w:rPr>
                      <w:rFonts w:hint="eastAsia"/>
                      <w:sz w:val="18"/>
                      <w:szCs w:val="18"/>
                    </w:rPr>
                    <w:t>废润滑油桶</w:t>
                  </w:r>
                </w:p>
              </w:tc>
              <w:tc>
                <w:tcPr>
                  <w:tcW w:w="866" w:type="pct"/>
                  <w:tcBorders>
                    <w:top w:val="single" w:color="auto" w:sz="4" w:space="0"/>
                    <w:left w:val="nil"/>
                    <w:bottom w:val="single" w:color="auto" w:sz="4" w:space="0"/>
                    <w:right w:val="single" w:color="auto" w:sz="4" w:space="0"/>
                  </w:tcBorders>
                  <w:vAlign w:val="center"/>
                </w:tcPr>
                <w:p w14:paraId="008190F4">
                  <w:pPr>
                    <w:pStyle w:val="87"/>
                    <w:rPr>
                      <w:sz w:val="18"/>
                      <w:szCs w:val="18"/>
                    </w:rPr>
                  </w:pPr>
                  <w:r>
                    <w:rPr>
                      <w:rFonts w:hint="eastAsia"/>
                      <w:sz w:val="18"/>
                      <w:szCs w:val="18"/>
                    </w:rPr>
                    <w:t>废弃包装物</w:t>
                  </w:r>
                </w:p>
              </w:tc>
              <w:tc>
                <w:tcPr>
                  <w:tcW w:w="892" w:type="pct"/>
                  <w:tcBorders>
                    <w:top w:val="single" w:color="auto" w:sz="4" w:space="0"/>
                    <w:left w:val="nil"/>
                    <w:bottom w:val="single" w:color="auto" w:sz="4" w:space="0"/>
                    <w:right w:val="single" w:color="auto" w:sz="4" w:space="0"/>
                  </w:tcBorders>
                  <w:vAlign w:val="center"/>
                </w:tcPr>
                <w:p w14:paraId="05A2941F">
                  <w:pPr>
                    <w:pStyle w:val="87"/>
                    <w:rPr>
                      <w:sz w:val="18"/>
                      <w:szCs w:val="18"/>
                    </w:rPr>
                  </w:pPr>
                  <w:r>
                    <w:rPr>
                      <w:rFonts w:hint="eastAsia"/>
                      <w:sz w:val="18"/>
                      <w:szCs w:val="18"/>
                    </w:rPr>
                    <w:t>废弃的含油抹布、劳保用品</w:t>
                  </w:r>
                </w:p>
              </w:tc>
            </w:tr>
            <w:tr w14:paraId="15DD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623709EC">
                  <w:pPr>
                    <w:pStyle w:val="87"/>
                    <w:rPr>
                      <w:sz w:val="18"/>
                      <w:szCs w:val="18"/>
                    </w:rPr>
                  </w:pPr>
                  <w:r>
                    <w:rPr>
                      <w:rFonts w:hint="eastAsia"/>
                      <w:sz w:val="18"/>
                      <w:szCs w:val="18"/>
                    </w:rPr>
                    <w:t>危险废物类别</w:t>
                  </w:r>
                </w:p>
              </w:tc>
              <w:tc>
                <w:tcPr>
                  <w:tcW w:w="866" w:type="pct"/>
                  <w:tcBorders>
                    <w:top w:val="single" w:color="auto" w:sz="4" w:space="0"/>
                    <w:left w:val="nil"/>
                    <w:bottom w:val="single" w:color="auto" w:sz="4" w:space="0"/>
                    <w:right w:val="single" w:color="auto" w:sz="4" w:space="0"/>
                  </w:tcBorders>
                  <w:vAlign w:val="center"/>
                </w:tcPr>
                <w:p w14:paraId="74849E5D">
                  <w:pPr>
                    <w:pStyle w:val="87"/>
                    <w:rPr>
                      <w:sz w:val="18"/>
                      <w:szCs w:val="18"/>
                    </w:rPr>
                  </w:pPr>
                  <w:r>
                    <w:rPr>
                      <w:rFonts w:hint="eastAsia"/>
                      <w:sz w:val="18"/>
                      <w:szCs w:val="18"/>
                    </w:rPr>
                    <w:t>HW08 废矿物油与含矿物油废物</w:t>
                  </w:r>
                </w:p>
              </w:tc>
              <w:tc>
                <w:tcPr>
                  <w:tcW w:w="864" w:type="pct"/>
                  <w:tcBorders>
                    <w:top w:val="single" w:color="auto" w:sz="4" w:space="0"/>
                    <w:left w:val="nil"/>
                    <w:bottom w:val="single" w:color="auto" w:sz="4" w:space="0"/>
                    <w:right w:val="single" w:color="auto" w:sz="4" w:space="0"/>
                  </w:tcBorders>
                  <w:vAlign w:val="center"/>
                </w:tcPr>
                <w:p w14:paraId="1EBC4AC0">
                  <w:pPr>
                    <w:pStyle w:val="87"/>
                    <w:rPr>
                      <w:sz w:val="18"/>
                      <w:szCs w:val="18"/>
                    </w:rPr>
                  </w:pPr>
                  <w:r>
                    <w:rPr>
                      <w:rFonts w:hint="eastAsia"/>
                      <w:sz w:val="18"/>
                      <w:szCs w:val="18"/>
                    </w:rPr>
                    <w:t>HW08 废矿物油与含矿物油废物</w:t>
                  </w:r>
                </w:p>
              </w:tc>
              <w:tc>
                <w:tcPr>
                  <w:tcW w:w="866" w:type="pct"/>
                  <w:tcBorders>
                    <w:top w:val="single" w:color="auto" w:sz="4" w:space="0"/>
                    <w:left w:val="nil"/>
                    <w:bottom w:val="single" w:color="auto" w:sz="4" w:space="0"/>
                    <w:right w:val="single" w:color="auto" w:sz="4" w:space="0"/>
                  </w:tcBorders>
                  <w:vAlign w:val="center"/>
                </w:tcPr>
                <w:p w14:paraId="388C700E">
                  <w:pPr>
                    <w:pStyle w:val="87"/>
                    <w:rPr>
                      <w:sz w:val="18"/>
                      <w:szCs w:val="18"/>
                    </w:rPr>
                  </w:pPr>
                  <w:r>
                    <w:rPr>
                      <w:rFonts w:hint="eastAsia"/>
                      <w:sz w:val="18"/>
                      <w:szCs w:val="18"/>
                    </w:rPr>
                    <w:t>HW49其他废物</w:t>
                  </w:r>
                </w:p>
              </w:tc>
              <w:tc>
                <w:tcPr>
                  <w:tcW w:w="866" w:type="pct"/>
                  <w:tcBorders>
                    <w:top w:val="single" w:color="auto" w:sz="4" w:space="0"/>
                    <w:left w:val="nil"/>
                    <w:bottom w:val="single" w:color="auto" w:sz="4" w:space="0"/>
                    <w:right w:val="single" w:color="auto" w:sz="4" w:space="0"/>
                  </w:tcBorders>
                  <w:vAlign w:val="center"/>
                </w:tcPr>
                <w:p w14:paraId="7EB3ADC9">
                  <w:pPr>
                    <w:pStyle w:val="87"/>
                    <w:rPr>
                      <w:sz w:val="18"/>
                      <w:szCs w:val="18"/>
                    </w:rPr>
                  </w:pPr>
                  <w:r>
                    <w:rPr>
                      <w:rFonts w:hint="eastAsia"/>
                      <w:sz w:val="18"/>
                      <w:szCs w:val="18"/>
                    </w:rPr>
                    <w:t>HW49其他废物</w:t>
                  </w:r>
                </w:p>
              </w:tc>
              <w:tc>
                <w:tcPr>
                  <w:tcW w:w="892" w:type="pct"/>
                  <w:tcBorders>
                    <w:top w:val="single" w:color="auto" w:sz="4" w:space="0"/>
                    <w:left w:val="nil"/>
                    <w:bottom w:val="single" w:color="auto" w:sz="4" w:space="0"/>
                    <w:right w:val="single" w:color="auto" w:sz="4" w:space="0"/>
                  </w:tcBorders>
                  <w:vAlign w:val="center"/>
                </w:tcPr>
                <w:p w14:paraId="4E1EFD04">
                  <w:pPr>
                    <w:pStyle w:val="87"/>
                    <w:rPr>
                      <w:sz w:val="18"/>
                      <w:szCs w:val="18"/>
                    </w:rPr>
                  </w:pPr>
                  <w:r>
                    <w:rPr>
                      <w:rFonts w:hint="eastAsia"/>
                      <w:sz w:val="18"/>
                      <w:szCs w:val="18"/>
                    </w:rPr>
                    <w:t>HW49其他废物</w:t>
                  </w:r>
                </w:p>
              </w:tc>
            </w:tr>
            <w:tr w14:paraId="460F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6A8BDF80">
                  <w:pPr>
                    <w:pStyle w:val="87"/>
                    <w:rPr>
                      <w:sz w:val="18"/>
                      <w:szCs w:val="18"/>
                    </w:rPr>
                  </w:pPr>
                  <w:r>
                    <w:rPr>
                      <w:rFonts w:hint="eastAsia"/>
                      <w:sz w:val="18"/>
                      <w:szCs w:val="18"/>
                    </w:rPr>
                    <w:t>危险废物代码</w:t>
                  </w:r>
                </w:p>
              </w:tc>
              <w:tc>
                <w:tcPr>
                  <w:tcW w:w="866" w:type="pct"/>
                  <w:tcBorders>
                    <w:top w:val="single" w:color="auto" w:sz="4" w:space="0"/>
                    <w:left w:val="nil"/>
                    <w:bottom w:val="single" w:color="auto" w:sz="4" w:space="0"/>
                    <w:right w:val="single" w:color="auto" w:sz="4" w:space="0"/>
                  </w:tcBorders>
                  <w:vAlign w:val="center"/>
                </w:tcPr>
                <w:p w14:paraId="130A1396">
                  <w:pPr>
                    <w:pStyle w:val="87"/>
                    <w:rPr>
                      <w:sz w:val="18"/>
                      <w:szCs w:val="18"/>
                    </w:rPr>
                  </w:pPr>
                  <w:r>
                    <w:rPr>
                      <w:rFonts w:hint="eastAsia"/>
                      <w:sz w:val="18"/>
                      <w:szCs w:val="18"/>
                    </w:rPr>
                    <w:t>900-249-08其他生产、销售、使用过程中产生的废矿物油及沾染矿物油的废弃包装物</w:t>
                  </w:r>
                </w:p>
              </w:tc>
              <w:tc>
                <w:tcPr>
                  <w:tcW w:w="864" w:type="pct"/>
                  <w:tcBorders>
                    <w:top w:val="single" w:color="auto" w:sz="4" w:space="0"/>
                    <w:left w:val="nil"/>
                    <w:bottom w:val="single" w:color="auto" w:sz="4" w:space="0"/>
                    <w:right w:val="single" w:color="auto" w:sz="4" w:space="0"/>
                  </w:tcBorders>
                  <w:vAlign w:val="center"/>
                </w:tcPr>
                <w:p w14:paraId="049E0C0E">
                  <w:pPr>
                    <w:pStyle w:val="87"/>
                    <w:rPr>
                      <w:sz w:val="18"/>
                      <w:szCs w:val="18"/>
                    </w:rPr>
                  </w:pPr>
                  <w:r>
                    <w:rPr>
                      <w:rFonts w:hint="eastAsia"/>
                      <w:sz w:val="18"/>
                      <w:szCs w:val="18"/>
                    </w:rPr>
                    <w:t>900-217-08使用工业齿轮油进行机械设备润滑过程中产生的废润滑油</w:t>
                  </w:r>
                </w:p>
              </w:tc>
              <w:tc>
                <w:tcPr>
                  <w:tcW w:w="866" w:type="pct"/>
                  <w:tcBorders>
                    <w:top w:val="single" w:color="auto" w:sz="4" w:space="0"/>
                    <w:left w:val="nil"/>
                    <w:bottom w:val="single" w:color="auto" w:sz="4" w:space="0"/>
                    <w:right w:val="single" w:color="auto" w:sz="4" w:space="0"/>
                  </w:tcBorders>
                  <w:vAlign w:val="center"/>
                </w:tcPr>
                <w:p w14:paraId="3E412F28">
                  <w:pPr>
                    <w:pStyle w:val="87"/>
                    <w:rPr>
                      <w:sz w:val="18"/>
                      <w:szCs w:val="18"/>
                    </w:rPr>
                  </w:pPr>
                  <w:r>
                    <w:rPr>
                      <w:rFonts w:hint="eastAsia"/>
                      <w:sz w:val="18"/>
                      <w:szCs w:val="18"/>
                    </w:rPr>
                    <w:t>900-041-49含有或沾染毒性、感染性危险废物的废弃包装物、容器、过滤吸附介质</w:t>
                  </w:r>
                </w:p>
              </w:tc>
              <w:tc>
                <w:tcPr>
                  <w:tcW w:w="866" w:type="pct"/>
                  <w:tcBorders>
                    <w:top w:val="single" w:color="auto" w:sz="4" w:space="0"/>
                    <w:left w:val="nil"/>
                    <w:bottom w:val="single" w:color="auto" w:sz="4" w:space="0"/>
                    <w:right w:val="single" w:color="auto" w:sz="4" w:space="0"/>
                  </w:tcBorders>
                  <w:vAlign w:val="center"/>
                </w:tcPr>
                <w:p w14:paraId="65BAE29A">
                  <w:pPr>
                    <w:pStyle w:val="87"/>
                    <w:rPr>
                      <w:sz w:val="18"/>
                      <w:szCs w:val="18"/>
                    </w:rPr>
                  </w:pPr>
                  <w:r>
                    <w:rPr>
                      <w:rFonts w:hint="eastAsia"/>
                      <w:sz w:val="18"/>
                      <w:szCs w:val="18"/>
                    </w:rPr>
                    <w:t>900-041-49含有或沾染毒性、感染性危险废物的废弃包装物、容器、过滤吸附介质</w:t>
                  </w:r>
                </w:p>
              </w:tc>
              <w:tc>
                <w:tcPr>
                  <w:tcW w:w="892" w:type="pct"/>
                  <w:tcBorders>
                    <w:top w:val="single" w:color="auto" w:sz="4" w:space="0"/>
                    <w:left w:val="nil"/>
                    <w:bottom w:val="single" w:color="auto" w:sz="4" w:space="0"/>
                    <w:right w:val="single" w:color="auto" w:sz="4" w:space="0"/>
                  </w:tcBorders>
                  <w:vAlign w:val="center"/>
                </w:tcPr>
                <w:p w14:paraId="4D941C50">
                  <w:pPr>
                    <w:pStyle w:val="87"/>
                    <w:rPr>
                      <w:sz w:val="18"/>
                      <w:szCs w:val="18"/>
                    </w:rPr>
                  </w:pPr>
                  <w:r>
                    <w:rPr>
                      <w:rFonts w:hint="eastAsia"/>
                      <w:sz w:val="18"/>
                      <w:szCs w:val="18"/>
                    </w:rPr>
                    <w:t>900-041-49含有或沾染毒性、感染性危险废物的废弃包装物、容器、过滤吸附介质</w:t>
                  </w:r>
                </w:p>
              </w:tc>
            </w:tr>
            <w:tr w14:paraId="3E04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4C2264BB">
                  <w:pPr>
                    <w:pStyle w:val="87"/>
                    <w:rPr>
                      <w:sz w:val="18"/>
                      <w:szCs w:val="18"/>
                    </w:rPr>
                  </w:pPr>
                  <w:r>
                    <w:rPr>
                      <w:rFonts w:hint="eastAsia"/>
                      <w:sz w:val="18"/>
                      <w:szCs w:val="18"/>
                    </w:rPr>
                    <w:t>产生量</w:t>
                  </w:r>
                </w:p>
              </w:tc>
              <w:tc>
                <w:tcPr>
                  <w:tcW w:w="866" w:type="pct"/>
                  <w:tcBorders>
                    <w:top w:val="single" w:color="auto" w:sz="4" w:space="0"/>
                    <w:left w:val="nil"/>
                    <w:bottom w:val="single" w:color="auto" w:sz="4" w:space="0"/>
                    <w:right w:val="single" w:color="auto" w:sz="4" w:space="0"/>
                  </w:tcBorders>
                  <w:vAlign w:val="center"/>
                </w:tcPr>
                <w:p w14:paraId="5E7F4215">
                  <w:pPr>
                    <w:pStyle w:val="87"/>
                    <w:rPr>
                      <w:sz w:val="18"/>
                      <w:szCs w:val="18"/>
                    </w:rPr>
                  </w:pPr>
                  <w:r>
                    <w:rPr>
                      <w:rFonts w:hint="eastAsia"/>
                      <w:sz w:val="18"/>
                      <w:szCs w:val="18"/>
                    </w:rPr>
                    <w:t>0.5t</w:t>
                  </w:r>
                </w:p>
              </w:tc>
              <w:tc>
                <w:tcPr>
                  <w:tcW w:w="864" w:type="pct"/>
                  <w:tcBorders>
                    <w:top w:val="single" w:color="auto" w:sz="4" w:space="0"/>
                    <w:left w:val="nil"/>
                    <w:bottom w:val="single" w:color="auto" w:sz="4" w:space="0"/>
                    <w:right w:val="single" w:color="auto" w:sz="4" w:space="0"/>
                  </w:tcBorders>
                  <w:vAlign w:val="center"/>
                </w:tcPr>
                <w:p w14:paraId="53170BE6">
                  <w:pPr>
                    <w:pStyle w:val="87"/>
                    <w:rPr>
                      <w:sz w:val="18"/>
                      <w:szCs w:val="18"/>
                    </w:rPr>
                  </w:pPr>
                  <w:r>
                    <w:rPr>
                      <w:rFonts w:hint="eastAsia"/>
                      <w:sz w:val="18"/>
                      <w:szCs w:val="18"/>
                    </w:rPr>
                    <w:t>0.05t</w:t>
                  </w:r>
                </w:p>
              </w:tc>
              <w:tc>
                <w:tcPr>
                  <w:tcW w:w="866" w:type="pct"/>
                  <w:tcBorders>
                    <w:top w:val="single" w:color="auto" w:sz="4" w:space="0"/>
                    <w:left w:val="nil"/>
                    <w:bottom w:val="single" w:color="auto" w:sz="4" w:space="0"/>
                    <w:right w:val="single" w:color="auto" w:sz="4" w:space="0"/>
                  </w:tcBorders>
                  <w:vAlign w:val="center"/>
                </w:tcPr>
                <w:p w14:paraId="36306274">
                  <w:pPr>
                    <w:pStyle w:val="87"/>
                    <w:rPr>
                      <w:sz w:val="18"/>
                      <w:szCs w:val="18"/>
                    </w:rPr>
                  </w:pPr>
                  <w:r>
                    <w:rPr>
                      <w:rFonts w:hint="eastAsia"/>
                      <w:sz w:val="18"/>
                      <w:szCs w:val="18"/>
                    </w:rPr>
                    <w:t>0.02t</w:t>
                  </w:r>
                </w:p>
              </w:tc>
              <w:tc>
                <w:tcPr>
                  <w:tcW w:w="866" w:type="pct"/>
                  <w:tcBorders>
                    <w:top w:val="single" w:color="auto" w:sz="4" w:space="0"/>
                    <w:left w:val="nil"/>
                    <w:bottom w:val="single" w:color="auto" w:sz="4" w:space="0"/>
                    <w:right w:val="single" w:color="auto" w:sz="4" w:space="0"/>
                  </w:tcBorders>
                  <w:vAlign w:val="center"/>
                </w:tcPr>
                <w:p w14:paraId="793DC531">
                  <w:pPr>
                    <w:pStyle w:val="87"/>
                    <w:rPr>
                      <w:sz w:val="18"/>
                      <w:szCs w:val="18"/>
                    </w:rPr>
                  </w:pPr>
                  <w:r>
                    <w:rPr>
                      <w:rFonts w:hint="eastAsia"/>
                      <w:sz w:val="18"/>
                      <w:szCs w:val="18"/>
                    </w:rPr>
                    <w:t>0.2t</w:t>
                  </w:r>
                </w:p>
              </w:tc>
              <w:tc>
                <w:tcPr>
                  <w:tcW w:w="892" w:type="pct"/>
                  <w:tcBorders>
                    <w:top w:val="single" w:color="auto" w:sz="4" w:space="0"/>
                    <w:left w:val="nil"/>
                    <w:bottom w:val="single" w:color="auto" w:sz="4" w:space="0"/>
                    <w:right w:val="single" w:color="auto" w:sz="4" w:space="0"/>
                  </w:tcBorders>
                  <w:vAlign w:val="center"/>
                </w:tcPr>
                <w:p w14:paraId="51C2ECD3">
                  <w:pPr>
                    <w:pStyle w:val="87"/>
                    <w:rPr>
                      <w:sz w:val="18"/>
                      <w:szCs w:val="18"/>
                    </w:rPr>
                  </w:pPr>
                  <w:r>
                    <w:rPr>
                      <w:rFonts w:hint="eastAsia"/>
                      <w:sz w:val="18"/>
                      <w:szCs w:val="18"/>
                    </w:rPr>
                    <w:t>0.01t</w:t>
                  </w:r>
                </w:p>
              </w:tc>
            </w:tr>
            <w:tr w14:paraId="5F32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42AF13D3">
                  <w:pPr>
                    <w:pStyle w:val="87"/>
                    <w:rPr>
                      <w:sz w:val="18"/>
                      <w:szCs w:val="18"/>
                    </w:rPr>
                  </w:pPr>
                  <w:r>
                    <w:rPr>
                      <w:rFonts w:hint="eastAsia"/>
                      <w:sz w:val="18"/>
                      <w:szCs w:val="18"/>
                    </w:rPr>
                    <w:t>产生工序及装置</w:t>
                  </w:r>
                </w:p>
              </w:tc>
              <w:tc>
                <w:tcPr>
                  <w:tcW w:w="866" w:type="pct"/>
                  <w:tcBorders>
                    <w:top w:val="single" w:color="auto" w:sz="4" w:space="0"/>
                    <w:left w:val="nil"/>
                    <w:bottom w:val="single" w:color="auto" w:sz="4" w:space="0"/>
                    <w:right w:val="single" w:color="auto" w:sz="4" w:space="0"/>
                  </w:tcBorders>
                  <w:vAlign w:val="center"/>
                </w:tcPr>
                <w:p w14:paraId="51985EBE">
                  <w:pPr>
                    <w:pStyle w:val="87"/>
                    <w:rPr>
                      <w:sz w:val="18"/>
                      <w:szCs w:val="18"/>
                    </w:rPr>
                  </w:pPr>
                  <w:r>
                    <w:rPr>
                      <w:rFonts w:hint="eastAsia"/>
                      <w:sz w:val="18"/>
                      <w:szCs w:val="18"/>
                    </w:rPr>
                    <w:t>井场防渗</w:t>
                  </w:r>
                </w:p>
              </w:tc>
              <w:tc>
                <w:tcPr>
                  <w:tcW w:w="864" w:type="pct"/>
                  <w:tcBorders>
                    <w:top w:val="single" w:color="auto" w:sz="4" w:space="0"/>
                    <w:left w:val="nil"/>
                    <w:bottom w:val="single" w:color="auto" w:sz="4" w:space="0"/>
                    <w:right w:val="single" w:color="auto" w:sz="4" w:space="0"/>
                  </w:tcBorders>
                  <w:vAlign w:val="center"/>
                </w:tcPr>
                <w:p w14:paraId="5D7777BD">
                  <w:pPr>
                    <w:pStyle w:val="87"/>
                    <w:rPr>
                      <w:sz w:val="18"/>
                      <w:szCs w:val="18"/>
                    </w:rPr>
                  </w:pPr>
                  <w:r>
                    <w:rPr>
                      <w:rFonts w:hint="eastAsia"/>
                      <w:sz w:val="18"/>
                      <w:szCs w:val="18"/>
                    </w:rPr>
                    <w:t>设备维护、保养、维修过程中</w:t>
                  </w:r>
                </w:p>
              </w:tc>
              <w:tc>
                <w:tcPr>
                  <w:tcW w:w="866" w:type="pct"/>
                  <w:tcBorders>
                    <w:top w:val="single" w:color="auto" w:sz="4" w:space="0"/>
                    <w:left w:val="nil"/>
                    <w:bottom w:val="single" w:color="auto" w:sz="4" w:space="0"/>
                    <w:right w:val="single" w:color="auto" w:sz="4" w:space="0"/>
                  </w:tcBorders>
                  <w:vAlign w:val="center"/>
                </w:tcPr>
                <w:p w14:paraId="4B3969E6">
                  <w:pPr>
                    <w:pStyle w:val="87"/>
                    <w:rPr>
                      <w:sz w:val="18"/>
                      <w:szCs w:val="18"/>
                    </w:rPr>
                  </w:pPr>
                  <w:r>
                    <w:rPr>
                      <w:rFonts w:hint="eastAsia"/>
                      <w:sz w:val="18"/>
                      <w:szCs w:val="18"/>
                    </w:rPr>
                    <w:t>设备维护、保养、维修过程中</w:t>
                  </w:r>
                </w:p>
              </w:tc>
              <w:tc>
                <w:tcPr>
                  <w:tcW w:w="866" w:type="pct"/>
                  <w:tcBorders>
                    <w:top w:val="single" w:color="auto" w:sz="4" w:space="0"/>
                    <w:left w:val="nil"/>
                    <w:bottom w:val="single" w:color="auto" w:sz="4" w:space="0"/>
                    <w:right w:val="single" w:color="auto" w:sz="4" w:space="0"/>
                  </w:tcBorders>
                  <w:vAlign w:val="center"/>
                </w:tcPr>
                <w:p w14:paraId="74A06708">
                  <w:pPr>
                    <w:pStyle w:val="87"/>
                    <w:rPr>
                      <w:sz w:val="18"/>
                      <w:szCs w:val="18"/>
                    </w:rPr>
                  </w:pPr>
                  <w:r>
                    <w:rPr>
                      <w:rFonts w:hint="eastAsia"/>
                      <w:sz w:val="18"/>
                      <w:szCs w:val="18"/>
                    </w:rPr>
                    <w:t>设备维护、保养、维修过程中</w:t>
                  </w:r>
                </w:p>
              </w:tc>
              <w:tc>
                <w:tcPr>
                  <w:tcW w:w="892" w:type="pct"/>
                  <w:tcBorders>
                    <w:top w:val="single" w:color="auto" w:sz="4" w:space="0"/>
                    <w:left w:val="nil"/>
                    <w:bottom w:val="single" w:color="auto" w:sz="4" w:space="0"/>
                    <w:right w:val="single" w:color="auto" w:sz="4" w:space="0"/>
                  </w:tcBorders>
                  <w:vAlign w:val="center"/>
                </w:tcPr>
                <w:p w14:paraId="489D8CE0">
                  <w:pPr>
                    <w:pStyle w:val="87"/>
                    <w:rPr>
                      <w:sz w:val="18"/>
                      <w:szCs w:val="18"/>
                    </w:rPr>
                  </w:pPr>
                  <w:r>
                    <w:rPr>
                      <w:rFonts w:hint="eastAsia"/>
                      <w:sz w:val="18"/>
                      <w:szCs w:val="18"/>
                    </w:rPr>
                    <w:t>设备维护、保养、维修过程中</w:t>
                  </w:r>
                </w:p>
              </w:tc>
            </w:tr>
            <w:tr w14:paraId="6080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26F419E1">
                  <w:pPr>
                    <w:pStyle w:val="87"/>
                    <w:rPr>
                      <w:sz w:val="18"/>
                      <w:szCs w:val="18"/>
                    </w:rPr>
                  </w:pPr>
                  <w:r>
                    <w:rPr>
                      <w:rFonts w:hint="eastAsia"/>
                      <w:sz w:val="18"/>
                      <w:szCs w:val="18"/>
                    </w:rPr>
                    <w:t>形态</w:t>
                  </w:r>
                </w:p>
              </w:tc>
              <w:tc>
                <w:tcPr>
                  <w:tcW w:w="866" w:type="pct"/>
                  <w:tcBorders>
                    <w:top w:val="single" w:color="auto" w:sz="4" w:space="0"/>
                    <w:left w:val="nil"/>
                    <w:bottom w:val="single" w:color="auto" w:sz="4" w:space="0"/>
                    <w:right w:val="single" w:color="auto" w:sz="4" w:space="0"/>
                  </w:tcBorders>
                  <w:vAlign w:val="center"/>
                </w:tcPr>
                <w:p w14:paraId="7D918D66">
                  <w:pPr>
                    <w:pStyle w:val="87"/>
                    <w:rPr>
                      <w:sz w:val="18"/>
                      <w:szCs w:val="18"/>
                    </w:rPr>
                  </w:pPr>
                  <w:r>
                    <w:rPr>
                      <w:rFonts w:hint="eastAsia"/>
                      <w:sz w:val="18"/>
                      <w:szCs w:val="18"/>
                    </w:rPr>
                    <w:t>固体</w:t>
                  </w:r>
                </w:p>
              </w:tc>
              <w:tc>
                <w:tcPr>
                  <w:tcW w:w="864" w:type="pct"/>
                  <w:tcBorders>
                    <w:top w:val="single" w:color="auto" w:sz="4" w:space="0"/>
                    <w:left w:val="nil"/>
                    <w:bottom w:val="single" w:color="auto" w:sz="4" w:space="0"/>
                    <w:right w:val="single" w:color="auto" w:sz="4" w:space="0"/>
                  </w:tcBorders>
                  <w:vAlign w:val="center"/>
                </w:tcPr>
                <w:p w14:paraId="53EA78E4">
                  <w:pPr>
                    <w:pStyle w:val="87"/>
                    <w:rPr>
                      <w:sz w:val="18"/>
                      <w:szCs w:val="18"/>
                    </w:rPr>
                  </w:pPr>
                  <w:r>
                    <w:rPr>
                      <w:rFonts w:hint="eastAsia"/>
                      <w:sz w:val="18"/>
                      <w:szCs w:val="18"/>
                    </w:rPr>
                    <w:t>液态</w:t>
                  </w:r>
                </w:p>
              </w:tc>
              <w:tc>
                <w:tcPr>
                  <w:tcW w:w="866" w:type="pct"/>
                  <w:tcBorders>
                    <w:top w:val="single" w:color="auto" w:sz="4" w:space="0"/>
                    <w:left w:val="nil"/>
                    <w:bottom w:val="single" w:color="auto" w:sz="4" w:space="0"/>
                    <w:right w:val="single" w:color="auto" w:sz="4" w:space="0"/>
                  </w:tcBorders>
                  <w:vAlign w:val="center"/>
                </w:tcPr>
                <w:p w14:paraId="652C9FF6">
                  <w:pPr>
                    <w:pStyle w:val="87"/>
                    <w:rPr>
                      <w:sz w:val="18"/>
                      <w:szCs w:val="18"/>
                    </w:rPr>
                  </w:pPr>
                  <w:r>
                    <w:rPr>
                      <w:rFonts w:hint="eastAsia"/>
                      <w:sz w:val="18"/>
                      <w:szCs w:val="18"/>
                    </w:rPr>
                    <w:t>固体</w:t>
                  </w:r>
                </w:p>
              </w:tc>
              <w:tc>
                <w:tcPr>
                  <w:tcW w:w="866" w:type="pct"/>
                  <w:tcBorders>
                    <w:top w:val="single" w:color="auto" w:sz="4" w:space="0"/>
                    <w:left w:val="nil"/>
                    <w:bottom w:val="single" w:color="auto" w:sz="4" w:space="0"/>
                    <w:right w:val="single" w:color="auto" w:sz="4" w:space="0"/>
                  </w:tcBorders>
                  <w:vAlign w:val="center"/>
                </w:tcPr>
                <w:p w14:paraId="7C019819">
                  <w:pPr>
                    <w:pStyle w:val="87"/>
                    <w:rPr>
                      <w:sz w:val="18"/>
                      <w:szCs w:val="18"/>
                    </w:rPr>
                  </w:pPr>
                  <w:r>
                    <w:rPr>
                      <w:rFonts w:hint="eastAsia"/>
                      <w:sz w:val="18"/>
                      <w:szCs w:val="18"/>
                    </w:rPr>
                    <w:t>固体</w:t>
                  </w:r>
                </w:p>
              </w:tc>
              <w:tc>
                <w:tcPr>
                  <w:tcW w:w="892" w:type="pct"/>
                  <w:tcBorders>
                    <w:top w:val="single" w:color="auto" w:sz="4" w:space="0"/>
                    <w:left w:val="nil"/>
                    <w:bottom w:val="single" w:color="auto" w:sz="4" w:space="0"/>
                    <w:right w:val="single" w:color="auto" w:sz="4" w:space="0"/>
                  </w:tcBorders>
                  <w:vAlign w:val="center"/>
                </w:tcPr>
                <w:p w14:paraId="64350153">
                  <w:pPr>
                    <w:pStyle w:val="87"/>
                    <w:rPr>
                      <w:sz w:val="18"/>
                      <w:szCs w:val="18"/>
                    </w:rPr>
                  </w:pPr>
                  <w:r>
                    <w:rPr>
                      <w:rFonts w:hint="eastAsia"/>
                      <w:sz w:val="18"/>
                      <w:szCs w:val="18"/>
                    </w:rPr>
                    <w:t>固体</w:t>
                  </w:r>
                </w:p>
              </w:tc>
            </w:tr>
            <w:tr w14:paraId="7F10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4350E769">
                  <w:pPr>
                    <w:pStyle w:val="87"/>
                    <w:rPr>
                      <w:sz w:val="18"/>
                      <w:szCs w:val="18"/>
                    </w:rPr>
                  </w:pPr>
                  <w:r>
                    <w:rPr>
                      <w:rFonts w:hint="eastAsia"/>
                      <w:sz w:val="18"/>
                      <w:szCs w:val="18"/>
                    </w:rPr>
                    <w:t>主要成分</w:t>
                  </w:r>
                </w:p>
              </w:tc>
              <w:tc>
                <w:tcPr>
                  <w:tcW w:w="866" w:type="pct"/>
                  <w:tcBorders>
                    <w:top w:val="single" w:color="auto" w:sz="4" w:space="0"/>
                    <w:left w:val="nil"/>
                    <w:bottom w:val="single" w:color="auto" w:sz="4" w:space="0"/>
                    <w:right w:val="single" w:color="auto" w:sz="4" w:space="0"/>
                  </w:tcBorders>
                  <w:vAlign w:val="center"/>
                </w:tcPr>
                <w:p w14:paraId="11CA7D17">
                  <w:pPr>
                    <w:pStyle w:val="87"/>
                    <w:rPr>
                      <w:sz w:val="18"/>
                      <w:szCs w:val="18"/>
                    </w:rPr>
                  </w:pPr>
                  <w:r>
                    <w:rPr>
                      <w:rFonts w:hint="eastAsia"/>
                      <w:sz w:val="18"/>
                      <w:szCs w:val="18"/>
                    </w:rPr>
                    <w:t>矿物油、防渗材料</w:t>
                  </w:r>
                </w:p>
              </w:tc>
              <w:tc>
                <w:tcPr>
                  <w:tcW w:w="864" w:type="pct"/>
                  <w:tcBorders>
                    <w:top w:val="single" w:color="auto" w:sz="4" w:space="0"/>
                    <w:left w:val="nil"/>
                    <w:bottom w:val="single" w:color="auto" w:sz="4" w:space="0"/>
                    <w:right w:val="single" w:color="auto" w:sz="4" w:space="0"/>
                  </w:tcBorders>
                  <w:vAlign w:val="center"/>
                </w:tcPr>
                <w:p w14:paraId="202D9BF2">
                  <w:pPr>
                    <w:pStyle w:val="87"/>
                    <w:rPr>
                      <w:sz w:val="18"/>
                      <w:szCs w:val="18"/>
                    </w:rPr>
                  </w:pPr>
                  <w:r>
                    <w:rPr>
                      <w:rFonts w:hint="eastAsia"/>
                      <w:sz w:val="18"/>
                      <w:szCs w:val="18"/>
                    </w:rPr>
                    <w:t>矿物油</w:t>
                  </w:r>
                </w:p>
              </w:tc>
              <w:tc>
                <w:tcPr>
                  <w:tcW w:w="866" w:type="pct"/>
                  <w:tcBorders>
                    <w:top w:val="single" w:color="auto" w:sz="4" w:space="0"/>
                    <w:left w:val="nil"/>
                    <w:bottom w:val="single" w:color="auto" w:sz="4" w:space="0"/>
                    <w:right w:val="single" w:color="auto" w:sz="4" w:space="0"/>
                  </w:tcBorders>
                  <w:vAlign w:val="center"/>
                </w:tcPr>
                <w:p w14:paraId="10C45C6C">
                  <w:pPr>
                    <w:pStyle w:val="87"/>
                    <w:rPr>
                      <w:sz w:val="18"/>
                      <w:szCs w:val="18"/>
                    </w:rPr>
                  </w:pPr>
                  <w:r>
                    <w:rPr>
                      <w:rFonts w:hint="eastAsia"/>
                      <w:sz w:val="18"/>
                      <w:szCs w:val="18"/>
                    </w:rPr>
                    <w:t>矿物油、油桶</w:t>
                  </w:r>
                </w:p>
              </w:tc>
              <w:tc>
                <w:tcPr>
                  <w:tcW w:w="866" w:type="pct"/>
                  <w:tcBorders>
                    <w:top w:val="single" w:color="auto" w:sz="4" w:space="0"/>
                    <w:left w:val="nil"/>
                    <w:bottom w:val="single" w:color="auto" w:sz="4" w:space="0"/>
                    <w:right w:val="single" w:color="auto" w:sz="4" w:space="0"/>
                  </w:tcBorders>
                  <w:vAlign w:val="center"/>
                </w:tcPr>
                <w:p w14:paraId="581A55FA">
                  <w:pPr>
                    <w:pStyle w:val="87"/>
                    <w:rPr>
                      <w:sz w:val="18"/>
                      <w:szCs w:val="18"/>
                    </w:rPr>
                  </w:pPr>
                  <w:r>
                    <w:rPr>
                      <w:rFonts w:hint="eastAsia"/>
                      <w:sz w:val="18"/>
                      <w:szCs w:val="18"/>
                    </w:rPr>
                    <w:t>矿物油、油桶</w:t>
                  </w:r>
                </w:p>
              </w:tc>
              <w:tc>
                <w:tcPr>
                  <w:tcW w:w="892" w:type="pct"/>
                  <w:tcBorders>
                    <w:top w:val="single" w:color="auto" w:sz="4" w:space="0"/>
                    <w:left w:val="nil"/>
                    <w:bottom w:val="single" w:color="auto" w:sz="4" w:space="0"/>
                    <w:right w:val="single" w:color="auto" w:sz="4" w:space="0"/>
                  </w:tcBorders>
                  <w:vAlign w:val="center"/>
                </w:tcPr>
                <w:p w14:paraId="05614140">
                  <w:pPr>
                    <w:pStyle w:val="87"/>
                    <w:rPr>
                      <w:sz w:val="18"/>
                      <w:szCs w:val="18"/>
                    </w:rPr>
                  </w:pPr>
                  <w:r>
                    <w:rPr>
                      <w:rFonts w:hint="eastAsia"/>
                      <w:sz w:val="18"/>
                      <w:szCs w:val="18"/>
                    </w:rPr>
                    <w:t>矿物油、手套、抹布</w:t>
                  </w:r>
                </w:p>
              </w:tc>
            </w:tr>
            <w:tr w14:paraId="20B3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441B58D3">
                  <w:pPr>
                    <w:pStyle w:val="87"/>
                    <w:rPr>
                      <w:sz w:val="18"/>
                      <w:szCs w:val="18"/>
                    </w:rPr>
                  </w:pPr>
                  <w:r>
                    <w:rPr>
                      <w:rFonts w:hint="eastAsia"/>
                      <w:sz w:val="18"/>
                      <w:szCs w:val="18"/>
                    </w:rPr>
                    <w:t>有害成分</w:t>
                  </w:r>
                </w:p>
              </w:tc>
              <w:tc>
                <w:tcPr>
                  <w:tcW w:w="866" w:type="pct"/>
                  <w:tcBorders>
                    <w:top w:val="single" w:color="auto" w:sz="4" w:space="0"/>
                    <w:left w:val="nil"/>
                    <w:bottom w:val="single" w:color="auto" w:sz="4" w:space="0"/>
                    <w:right w:val="single" w:color="auto" w:sz="4" w:space="0"/>
                  </w:tcBorders>
                  <w:vAlign w:val="center"/>
                </w:tcPr>
                <w:p w14:paraId="682B6626">
                  <w:pPr>
                    <w:pStyle w:val="87"/>
                    <w:rPr>
                      <w:sz w:val="18"/>
                      <w:szCs w:val="18"/>
                    </w:rPr>
                  </w:pPr>
                  <w:r>
                    <w:rPr>
                      <w:rFonts w:hint="eastAsia"/>
                      <w:sz w:val="18"/>
                      <w:szCs w:val="18"/>
                    </w:rPr>
                    <w:t>矿物油</w:t>
                  </w:r>
                </w:p>
              </w:tc>
              <w:tc>
                <w:tcPr>
                  <w:tcW w:w="864" w:type="pct"/>
                  <w:tcBorders>
                    <w:top w:val="single" w:color="auto" w:sz="4" w:space="0"/>
                    <w:left w:val="nil"/>
                    <w:bottom w:val="single" w:color="auto" w:sz="4" w:space="0"/>
                    <w:right w:val="single" w:color="auto" w:sz="4" w:space="0"/>
                  </w:tcBorders>
                  <w:vAlign w:val="center"/>
                </w:tcPr>
                <w:p w14:paraId="63FAB54A">
                  <w:pPr>
                    <w:pStyle w:val="87"/>
                    <w:rPr>
                      <w:sz w:val="18"/>
                      <w:szCs w:val="18"/>
                    </w:rPr>
                  </w:pPr>
                  <w:r>
                    <w:rPr>
                      <w:rFonts w:hint="eastAsia"/>
                      <w:sz w:val="18"/>
                      <w:szCs w:val="18"/>
                    </w:rPr>
                    <w:t>矿物油</w:t>
                  </w:r>
                </w:p>
              </w:tc>
              <w:tc>
                <w:tcPr>
                  <w:tcW w:w="866" w:type="pct"/>
                  <w:tcBorders>
                    <w:top w:val="single" w:color="auto" w:sz="4" w:space="0"/>
                    <w:left w:val="nil"/>
                    <w:bottom w:val="single" w:color="auto" w:sz="4" w:space="0"/>
                    <w:right w:val="single" w:color="auto" w:sz="4" w:space="0"/>
                  </w:tcBorders>
                  <w:vAlign w:val="center"/>
                </w:tcPr>
                <w:p w14:paraId="2409D0E5">
                  <w:pPr>
                    <w:pStyle w:val="87"/>
                    <w:rPr>
                      <w:sz w:val="18"/>
                      <w:szCs w:val="18"/>
                    </w:rPr>
                  </w:pPr>
                  <w:r>
                    <w:rPr>
                      <w:rFonts w:hint="eastAsia"/>
                      <w:sz w:val="18"/>
                      <w:szCs w:val="18"/>
                    </w:rPr>
                    <w:t>矿物油</w:t>
                  </w:r>
                </w:p>
              </w:tc>
              <w:tc>
                <w:tcPr>
                  <w:tcW w:w="866" w:type="pct"/>
                  <w:tcBorders>
                    <w:top w:val="single" w:color="auto" w:sz="4" w:space="0"/>
                    <w:left w:val="nil"/>
                    <w:bottom w:val="single" w:color="auto" w:sz="4" w:space="0"/>
                    <w:right w:val="single" w:color="auto" w:sz="4" w:space="0"/>
                  </w:tcBorders>
                  <w:vAlign w:val="center"/>
                </w:tcPr>
                <w:p w14:paraId="279FA215">
                  <w:pPr>
                    <w:pStyle w:val="87"/>
                    <w:rPr>
                      <w:sz w:val="18"/>
                      <w:szCs w:val="18"/>
                    </w:rPr>
                  </w:pPr>
                  <w:r>
                    <w:rPr>
                      <w:rFonts w:hint="eastAsia"/>
                      <w:sz w:val="18"/>
                      <w:szCs w:val="18"/>
                    </w:rPr>
                    <w:t>矿物油</w:t>
                  </w:r>
                </w:p>
              </w:tc>
              <w:tc>
                <w:tcPr>
                  <w:tcW w:w="892" w:type="pct"/>
                  <w:tcBorders>
                    <w:top w:val="single" w:color="auto" w:sz="4" w:space="0"/>
                    <w:left w:val="nil"/>
                    <w:bottom w:val="single" w:color="auto" w:sz="4" w:space="0"/>
                    <w:right w:val="single" w:color="auto" w:sz="4" w:space="0"/>
                  </w:tcBorders>
                  <w:vAlign w:val="center"/>
                </w:tcPr>
                <w:p w14:paraId="3219BEA5">
                  <w:pPr>
                    <w:pStyle w:val="87"/>
                    <w:rPr>
                      <w:sz w:val="18"/>
                      <w:szCs w:val="18"/>
                    </w:rPr>
                  </w:pPr>
                  <w:r>
                    <w:rPr>
                      <w:rFonts w:hint="eastAsia"/>
                      <w:sz w:val="18"/>
                      <w:szCs w:val="18"/>
                    </w:rPr>
                    <w:t>矿物油</w:t>
                  </w:r>
                </w:p>
              </w:tc>
            </w:tr>
            <w:tr w14:paraId="5098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23BDCF3D">
                  <w:pPr>
                    <w:pStyle w:val="87"/>
                    <w:rPr>
                      <w:sz w:val="18"/>
                      <w:szCs w:val="18"/>
                    </w:rPr>
                  </w:pPr>
                  <w:r>
                    <w:rPr>
                      <w:rFonts w:hint="eastAsia"/>
                      <w:sz w:val="18"/>
                      <w:szCs w:val="18"/>
                    </w:rPr>
                    <w:t>产废周期</w:t>
                  </w:r>
                </w:p>
              </w:tc>
              <w:tc>
                <w:tcPr>
                  <w:tcW w:w="866" w:type="pct"/>
                  <w:tcBorders>
                    <w:top w:val="single" w:color="auto" w:sz="4" w:space="0"/>
                    <w:left w:val="nil"/>
                    <w:bottom w:val="single" w:color="auto" w:sz="4" w:space="0"/>
                    <w:right w:val="single" w:color="auto" w:sz="4" w:space="0"/>
                  </w:tcBorders>
                  <w:vAlign w:val="center"/>
                </w:tcPr>
                <w:p w14:paraId="43C4125B">
                  <w:pPr>
                    <w:pStyle w:val="87"/>
                    <w:rPr>
                      <w:sz w:val="18"/>
                      <w:szCs w:val="18"/>
                    </w:rPr>
                  </w:pPr>
                  <w:r>
                    <w:rPr>
                      <w:rFonts w:hint="eastAsia"/>
                      <w:sz w:val="18"/>
                      <w:szCs w:val="18"/>
                    </w:rPr>
                    <w:t>无明显周期性</w:t>
                  </w:r>
                </w:p>
              </w:tc>
              <w:tc>
                <w:tcPr>
                  <w:tcW w:w="864" w:type="pct"/>
                  <w:tcBorders>
                    <w:top w:val="single" w:color="auto" w:sz="4" w:space="0"/>
                    <w:left w:val="nil"/>
                    <w:bottom w:val="single" w:color="auto" w:sz="4" w:space="0"/>
                    <w:right w:val="single" w:color="auto" w:sz="4" w:space="0"/>
                  </w:tcBorders>
                  <w:vAlign w:val="center"/>
                </w:tcPr>
                <w:p w14:paraId="5400F391">
                  <w:pPr>
                    <w:pStyle w:val="87"/>
                    <w:rPr>
                      <w:sz w:val="18"/>
                      <w:szCs w:val="18"/>
                    </w:rPr>
                  </w:pPr>
                  <w:r>
                    <w:rPr>
                      <w:rFonts w:hint="eastAsia"/>
                      <w:sz w:val="18"/>
                      <w:szCs w:val="18"/>
                    </w:rPr>
                    <w:t>无明显周期性</w:t>
                  </w:r>
                </w:p>
              </w:tc>
              <w:tc>
                <w:tcPr>
                  <w:tcW w:w="866" w:type="pct"/>
                  <w:tcBorders>
                    <w:top w:val="single" w:color="auto" w:sz="4" w:space="0"/>
                    <w:left w:val="nil"/>
                    <w:bottom w:val="single" w:color="auto" w:sz="4" w:space="0"/>
                    <w:right w:val="single" w:color="auto" w:sz="4" w:space="0"/>
                  </w:tcBorders>
                  <w:vAlign w:val="center"/>
                </w:tcPr>
                <w:p w14:paraId="438CD898">
                  <w:pPr>
                    <w:pStyle w:val="87"/>
                    <w:rPr>
                      <w:sz w:val="18"/>
                      <w:szCs w:val="18"/>
                    </w:rPr>
                  </w:pPr>
                  <w:r>
                    <w:rPr>
                      <w:rFonts w:hint="eastAsia"/>
                      <w:sz w:val="18"/>
                      <w:szCs w:val="18"/>
                    </w:rPr>
                    <w:t>无明显周期性</w:t>
                  </w:r>
                </w:p>
              </w:tc>
              <w:tc>
                <w:tcPr>
                  <w:tcW w:w="866" w:type="pct"/>
                  <w:tcBorders>
                    <w:top w:val="single" w:color="auto" w:sz="4" w:space="0"/>
                    <w:left w:val="nil"/>
                    <w:bottom w:val="single" w:color="auto" w:sz="4" w:space="0"/>
                    <w:right w:val="single" w:color="auto" w:sz="4" w:space="0"/>
                  </w:tcBorders>
                  <w:vAlign w:val="center"/>
                </w:tcPr>
                <w:p w14:paraId="0D5E0DAC">
                  <w:pPr>
                    <w:pStyle w:val="87"/>
                    <w:rPr>
                      <w:sz w:val="18"/>
                      <w:szCs w:val="18"/>
                    </w:rPr>
                  </w:pPr>
                  <w:r>
                    <w:rPr>
                      <w:rFonts w:hint="eastAsia"/>
                      <w:sz w:val="18"/>
                      <w:szCs w:val="18"/>
                    </w:rPr>
                    <w:t>无明显周期性</w:t>
                  </w:r>
                </w:p>
              </w:tc>
              <w:tc>
                <w:tcPr>
                  <w:tcW w:w="892" w:type="pct"/>
                  <w:tcBorders>
                    <w:top w:val="single" w:color="auto" w:sz="4" w:space="0"/>
                    <w:left w:val="nil"/>
                    <w:bottom w:val="single" w:color="auto" w:sz="4" w:space="0"/>
                    <w:right w:val="single" w:color="auto" w:sz="4" w:space="0"/>
                  </w:tcBorders>
                  <w:vAlign w:val="center"/>
                </w:tcPr>
                <w:p w14:paraId="6C3F39C7">
                  <w:pPr>
                    <w:pStyle w:val="87"/>
                    <w:rPr>
                      <w:sz w:val="18"/>
                      <w:szCs w:val="18"/>
                    </w:rPr>
                  </w:pPr>
                  <w:r>
                    <w:rPr>
                      <w:rFonts w:hint="eastAsia"/>
                      <w:sz w:val="18"/>
                      <w:szCs w:val="18"/>
                    </w:rPr>
                    <w:t>无明显周期性</w:t>
                  </w:r>
                </w:p>
              </w:tc>
            </w:tr>
            <w:tr w14:paraId="2C4E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tcBorders>
                    <w:top w:val="single" w:color="auto" w:sz="4" w:space="0"/>
                    <w:left w:val="single" w:color="auto" w:sz="4" w:space="0"/>
                    <w:bottom w:val="single" w:color="auto" w:sz="4" w:space="0"/>
                    <w:right w:val="single" w:color="auto" w:sz="4" w:space="0"/>
                  </w:tcBorders>
                  <w:vAlign w:val="center"/>
                </w:tcPr>
                <w:p w14:paraId="02A4D227">
                  <w:pPr>
                    <w:pStyle w:val="87"/>
                    <w:rPr>
                      <w:sz w:val="18"/>
                      <w:szCs w:val="18"/>
                    </w:rPr>
                  </w:pPr>
                  <w:r>
                    <w:rPr>
                      <w:rFonts w:hint="eastAsia"/>
                      <w:sz w:val="18"/>
                      <w:szCs w:val="18"/>
                    </w:rPr>
                    <w:t>危险特性</w:t>
                  </w:r>
                </w:p>
              </w:tc>
              <w:tc>
                <w:tcPr>
                  <w:tcW w:w="866" w:type="pct"/>
                  <w:tcBorders>
                    <w:top w:val="single" w:color="auto" w:sz="4" w:space="0"/>
                    <w:left w:val="nil"/>
                    <w:bottom w:val="single" w:color="auto" w:sz="4" w:space="0"/>
                    <w:right w:val="single" w:color="auto" w:sz="4" w:space="0"/>
                  </w:tcBorders>
                  <w:vAlign w:val="center"/>
                </w:tcPr>
                <w:p w14:paraId="081ECCBB">
                  <w:pPr>
                    <w:pStyle w:val="87"/>
                    <w:rPr>
                      <w:sz w:val="18"/>
                      <w:szCs w:val="18"/>
                    </w:rPr>
                  </w:pPr>
                  <w:r>
                    <w:rPr>
                      <w:rFonts w:hint="eastAsia"/>
                      <w:sz w:val="18"/>
                      <w:szCs w:val="18"/>
                    </w:rPr>
                    <w:t>T，I</w:t>
                  </w:r>
                </w:p>
              </w:tc>
              <w:tc>
                <w:tcPr>
                  <w:tcW w:w="864" w:type="pct"/>
                  <w:tcBorders>
                    <w:top w:val="single" w:color="auto" w:sz="4" w:space="0"/>
                    <w:left w:val="nil"/>
                    <w:bottom w:val="single" w:color="auto" w:sz="4" w:space="0"/>
                    <w:right w:val="single" w:color="auto" w:sz="4" w:space="0"/>
                  </w:tcBorders>
                  <w:vAlign w:val="center"/>
                </w:tcPr>
                <w:p w14:paraId="20A0DC02">
                  <w:pPr>
                    <w:pStyle w:val="87"/>
                    <w:rPr>
                      <w:sz w:val="18"/>
                      <w:szCs w:val="18"/>
                    </w:rPr>
                  </w:pPr>
                  <w:r>
                    <w:rPr>
                      <w:rFonts w:hint="eastAsia"/>
                      <w:sz w:val="18"/>
                      <w:szCs w:val="18"/>
                    </w:rPr>
                    <w:t>T，I</w:t>
                  </w:r>
                </w:p>
              </w:tc>
              <w:tc>
                <w:tcPr>
                  <w:tcW w:w="866" w:type="pct"/>
                  <w:tcBorders>
                    <w:top w:val="single" w:color="auto" w:sz="4" w:space="0"/>
                    <w:left w:val="nil"/>
                    <w:bottom w:val="single" w:color="auto" w:sz="4" w:space="0"/>
                    <w:right w:val="single" w:color="auto" w:sz="4" w:space="0"/>
                  </w:tcBorders>
                  <w:vAlign w:val="center"/>
                </w:tcPr>
                <w:p w14:paraId="5624FA6E">
                  <w:pPr>
                    <w:pStyle w:val="87"/>
                    <w:rPr>
                      <w:sz w:val="18"/>
                      <w:szCs w:val="18"/>
                    </w:rPr>
                  </w:pPr>
                  <w:r>
                    <w:rPr>
                      <w:rFonts w:hint="eastAsia"/>
                      <w:sz w:val="18"/>
                      <w:szCs w:val="18"/>
                    </w:rPr>
                    <w:t>T，I</w:t>
                  </w:r>
                </w:p>
              </w:tc>
              <w:tc>
                <w:tcPr>
                  <w:tcW w:w="866" w:type="pct"/>
                  <w:tcBorders>
                    <w:top w:val="single" w:color="auto" w:sz="4" w:space="0"/>
                    <w:left w:val="nil"/>
                    <w:bottom w:val="single" w:color="auto" w:sz="4" w:space="0"/>
                    <w:right w:val="single" w:color="auto" w:sz="4" w:space="0"/>
                  </w:tcBorders>
                  <w:vAlign w:val="center"/>
                </w:tcPr>
                <w:p w14:paraId="63A82404">
                  <w:pPr>
                    <w:pStyle w:val="87"/>
                    <w:rPr>
                      <w:sz w:val="18"/>
                      <w:szCs w:val="18"/>
                    </w:rPr>
                  </w:pPr>
                  <w:r>
                    <w:rPr>
                      <w:sz w:val="18"/>
                      <w:szCs w:val="18"/>
                    </w:rPr>
                    <w:t>T/In</w:t>
                  </w:r>
                </w:p>
              </w:tc>
              <w:tc>
                <w:tcPr>
                  <w:tcW w:w="892" w:type="pct"/>
                  <w:tcBorders>
                    <w:top w:val="single" w:color="auto" w:sz="4" w:space="0"/>
                    <w:left w:val="nil"/>
                    <w:bottom w:val="single" w:color="auto" w:sz="4" w:space="0"/>
                    <w:right w:val="single" w:color="auto" w:sz="4" w:space="0"/>
                  </w:tcBorders>
                  <w:vAlign w:val="center"/>
                </w:tcPr>
                <w:p w14:paraId="447A8BB7">
                  <w:pPr>
                    <w:pStyle w:val="87"/>
                    <w:rPr>
                      <w:sz w:val="18"/>
                      <w:szCs w:val="18"/>
                    </w:rPr>
                  </w:pPr>
                  <w:r>
                    <w:rPr>
                      <w:sz w:val="18"/>
                      <w:szCs w:val="18"/>
                    </w:rPr>
                    <w:t>T/In</w:t>
                  </w:r>
                </w:p>
              </w:tc>
            </w:tr>
            <w:tr w14:paraId="0B06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42" w:type="pct"/>
                  <w:tcBorders>
                    <w:top w:val="single" w:color="auto" w:sz="4" w:space="0"/>
                    <w:left w:val="single" w:color="auto" w:sz="4" w:space="0"/>
                    <w:bottom w:val="single" w:color="auto" w:sz="4" w:space="0"/>
                    <w:right w:val="single" w:color="auto" w:sz="4" w:space="0"/>
                  </w:tcBorders>
                  <w:vAlign w:val="center"/>
                </w:tcPr>
                <w:p w14:paraId="621A8D4F">
                  <w:pPr>
                    <w:pStyle w:val="87"/>
                    <w:rPr>
                      <w:sz w:val="18"/>
                      <w:szCs w:val="18"/>
                    </w:rPr>
                  </w:pPr>
                  <w:r>
                    <w:rPr>
                      <w:rFonts w:hint="eastAsia"/>
                      <w:sz w:val="18"/>
                      <w:szCs w:val="18"/>
                    </w:rPr>
                    <w:t>污染防治措施</w:t>
                  </w:r>
                </w:p>
              </w:tc>
              <w:tc>
                <w:tcPr>
                  <w:tcW w:w="866" w:type="pct"/>
                  <w:tcBorders>
                    <w:top w:val="single" w:color="auto" w:sz="4" w:space="0"/>
                    <w:left w:val="nil"/>
                    <w:bottom w:val="single" w:color="auto" w:sz="4" w:space="0"/>
                    <w:right w:val="single" w:color="auto" w:sz="4" w:space="0"/>
                  </w:tcBorders>
                  <w:vAlign w:val="center"/>
                </w:tcPr>
                <w:p w14:paraId="2FABF408">
                  <w:pPr>
                    <w:pStyle w:val="87"/>
                    <w:rPr>
                      <w:sz w:val="18"/>
                      <w:szCs w:val="18"/>
                    </w:rPr>
                  </w:pPr>
                  <w:r>
                    <w:rPr>
                      <w:rFonts w:hint="eastAsia"/>
                      <w:sz w:val="18"/>
                      <w:szCs w:val="18"/>
                    </w:rPr>
                    <w:t>不在井场内暂存，委托具有危险废物运输及处理资质的单位拉运处理</w:t>
                  </w:r>
                </w:p>
              </w:tc>
              <w:tc>
                <w:tcPr>
                  <w:tcW w:w="864" w:type="pct"/>
                  <w:tcBorders>
                    <w:top w:val="single" w:color="auto" w:sz="4" w:space="0"/>
                    <w:left w:val="nil"/>
                    <w:bottom w:val="single" w:color="auto" w:sz="4" w:space="0"/>
                    <w:right w:val="single" w:color="auto" w:sz="4" w:space="0"/>
                  </w:tcBorders>
                  <w:vAlign w:val="center"/>
                </w:tcPr>
                <w:p w14:paraId="72BD92B2">
                  <w:pPr>
                    <w:pStyle w:val="87"/>
                    <w:rPr>
                      <w:sz w:val="18"/>
                      <w:szCs w:val="18"/>
                    </w:rPr>
                  </w:pPr>
                  <w:r>
                    <w:rPr>
                      <w:rFonts w:hint="eastAsia"/>
                      <w:sz w:val="18"/>
                      <w:szCs w:val="18"/>
                    </w:rPr>
                    <w:t>暂存于井场危废贮存点，委托具有危险废物运输及处理资质的单位拉运处理</w:t>
                  </w:r>
                </w:p>
              </w:tc>
              <w:tc>
                <w:tcPr>
                  <w:tcW w:w="866" w:type="pct"/>
                  <w:tcBorders>
                    <w:top w:val="single" w:color="auto" w:sz="4" w:space="0"/>
                    <w:left w:val="nil"/>
                    <w:bottom w:val="single" w:color="auto" w:sz="4" w:space="0"/>
                    <w:right w:val="single" w:color="auto" w:sz="4" w:space="0"/>
                  </w:tcBorders>
                  <w:vAlign w:val="center"/>
                </w:tcPr>
                <w:p w14:paraId="6DB1B4EA">
                  <w:pPr>
                    <w:pStyle w:val="87"/>
                    <w:rPr>
                      <w:sz w:val="18"/>
                      <w:szCs w:val="18"/>
                    </w:rPr>
                  </w:pPr>
                  <w:r>
                    <w:rPr>
                      <w:rFonts w:hint="eastAsia"/>
                      <w:sz w:val="18"/>
                      <w:szCs w:val="18"/>
                    </w:rPr>
                    <w:t>暂存于井场危废贮存点，委托具有危险废物运输及处理资质的单位拉运处理</w:t>
                  </w:r>
                </w:p>
              </w:tc>
              <w:tc>
                <w:tcPr>
                  <w:tcW w:w="866" w:type="pct"/>
                  <w:tcBorders>
                    <w:top w:val="single" w:color="auto" w:sz="4" w:space="0"/>
                    <w:left w:val="nil"/>
                    <w:bottom w:val="single" w:color="auto" w:sz="4" w:space="0"/>
                    <w:right w:val="single" w:color="auto" w:sz="4" w:space="0"/>
                  </w:tcBorders>
                  <w:vAlign w:val="center"/>
                </w:tcPr>
                <w:p w14:paraId="557677C2">
                  <w:pPr>
                    <w:pStyle w:val="87"/>
                    <w:rPr>
                      <w:sz w:val="18"/>
                      <w:szCs w:val="18"/>
                    </w:rPr>
                  </w:pPr>
                  <w:r>
                    <w:rPr>
                      <w:rFonts w:hint="eastAsia"/>
                      <w:sz w:val="18"/>
                      <w:szCs w:val="18"/>
                    </w:rPr>
                    <w:t>暂存于井场危废贮存点，委托具有危险废物运输及处理资质的单位拉运处理</w:t>
                  </w:r>
                </w:p>
              </w:tc>
              <w:tc>
                <w:tcPr>
                  <w:tcW w:w="892" w:type="pct"/>
                  <w:tcBorders>
                    <w:top w:val="single" w:color="auto" w:sz="4" w:space="0"/>
                    <w:left w:val="nil"/>
                    <w:bottom w:val="single" w:color="auto" w:sz="4" w:space="0"/>
                    <w:right w:val="single" w:color="auto" w:sz="4" w:space="0"/>
                  </w:tcBorders>
                  <w:vAlign w:val="center"/>
                </w:tcPr>
                <w:p w14:paraId="3CDD25F8">
                  <w:pPr>
                    <w:pStyle w:val="87"/>
                    <w:rPr>
                      <w:sz w:val="18"/>
                      <w:szCs w:val="18"/>
                    </w:rPr>
                  </w:pPr>
                  <w:r>
                    <w:rPr>
                      <w:rFonts w:hint="eastAsia"/>
                      <w:sz w:val="18"/>
                      <w:szCs w:val="18"/>
                    </w:rPr>
                    <w:t>暂存于井场危废贮存点，委托具有危险废物运输及处理资质的单位拉运处理</w:t>
                  </w:r>
                </w:p>
              </w:tc>
            </w:tr>
          </w:tbl>
          <w:p w14:paraId="0EFAC671">
            <w:pPr>
              <w:pStyle w:val="113"/>
              <w:rPr>
                <w:rFonts w:hint="eastAsia"/>
              </w:rPr>
            </w:pPr>
          </w:p>
          <w:p w14:paraId="459BA488">
            <w:pPr>
              <w:pStyle w:val="12"/>
              <w:spacing w:before="120"/>
              <w:rPr>
                <w:rFonts w:hint="eastAsia" w:hAnsi="宋体"/>
              </w:rPr>
            </w:pPr>
            <w:bookmarkStart w:id="58" w:name="_Ref138689029"/>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33</w:t>
            </w:r>
            <w:r>
              <w:rPr>
                <w:rFonts w:hAnsi="宋体"/>
              </w:rPr>
              <w:fldChar w:fldCharType="end"/>
            </w:r>
            <w:bookmarkEnd w:id="58"/>
            <w:r>
              <w:rPr>
                <w:rFonts w:hAnsi="宋体"/>
              </w:rPr>
              <w:t xml:space="preserve">  </w:t>
            </w:r>
            <w:r>
              <w:rPr>
                <w:rFonts w:hint="eastAsia" w:hAnsi="宋体"/>
              </w:rPr>
              <w:t>本项目危险废物贮存场所（设施）基本情况一览</w:t>
            </w:r>
            <w:r>
              <w:rPr>
                <w:rFonts w:hint="eastAsia" w:hAnsi="宋体"/>
                <w:kern w:val="0"/>
              </w:rPr>
              <w:t>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938"/>
              <w:gridCol w:w="640"/>
              <w:gridCol w:w="1268"/>
              <w:gridCol w:w="639"/>
              <w:gridCol w:w="870"/>
              <w:gridCol w:w="870"/>
              <w:gridCol w:w="742"/>
              <w:gridCol w:w="823"/>
            </w:tblGrid>
            <w:tr w14:paraId="3F56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vAlign w:val="center"/>
                </w:tcPr>
                <w:p w14:paraId="7F03DA2E">
                  <w:pPr>
                    <w:pStyle w:val="87"/>
                    <w:rPr>
                      <w:rFonts w:hint="eastAsia" w:hAnsi="宋体"/>
                    </w:rPr>
                  </w:pPr>
                  <w:r>
                    <w:rPr>
                      <w:rFonts w:hint="eastAsia" w:hAnsi="宋体"/>
                    </w:rPr>
                    <w:t>贮存场所（设施）</w:t>
                  </w:r>
                </w:p>
                <w:p w14:paraId="51D622AD">
                  <w:pPr>
                    <w:pStyle w:val="87"/>
                    <w:rPr>
                      <w:rFonts w:hint="eastAsia" w:hAnsi="宋体"/>
                    </w:rPr>
                  </w:pPr>
                  <w:r>
                    <w:rPr>
                      <w:rFonts w:hint="eastAsia" w:hAnsi="宋体"/>
                    </w:rPr>
                    <w:t>名称</w:t>
                  </w:r>
                </w:p>
              </w:tc>
              <w:tc>
                <w:tcPr>
                  <w:tcW w:w="601" w:type="pct"/>
                  <w:vAlign w:val="center"/>
                </w:tcPr>
                <w:p w14:paraId="1EFD2C61">
                  <w:pPr>
                    <w:pStyle w:val="87"/>
                    <w:rPr>
                      <w:rFonts w:hint="eastAsia" w:hAnsi="宋体"/>
                    </w:rPr>
                  </w:pPr>
                  <w:r>
                    <w:rPr>
                      <w:rFonts w:hint="eastAsia" w:hAnsi="宋体"/>
                    </w:rPr>
                    <w:t>危险废物名称</w:t>
                  </w:r>
                </w:p>
              </w:tc>
              <w:tc>
                <w:tcPr>
                  <w:tcW w:w="411" w:type="pct"/>
                  <w:vAlign w:val="center"/>
                </w:tcPr>
                <w:p w14:paraId="719C3D6F">
                  <w:pPr>
                    <w:pStyle w:val="87"/>
                    <w:rPr>
                      <w:rFonts w:hint="eastAsia" w:hAnsi="宋体"/>
                    </w:rPr>
                  </w:pPr>
                  <w:r>
                    <w:rPr>
                      <w:rFonts w:hint="eastAsia" w:hAnsi="宋体"/>
                    </w:rPr>
                    <w:t>危险废物类别</w:t>
                  </w:r>
                </w:p>
              </w:tc>
              <w:tc>
                <w:tcPr>
                  <w:tcW w:w="814" w:type="pct"/>
                  <w:vAlign w:val="center"/>
                </w:tcPr>
                <w:p w14:paraId="11EDAE02">
                  <w:pPr>
                    <w:pStyle w:val="87"/>
                    <w:rPr>
                      <w:rFonts w:hint="eastAsia" w:hAnsi="宋体"/>
                    </w:rPr>
                  </w:pPr>
                  <w:r>
                    <w:rPr>
                      <w:rFonts w:hint="eastAsia" w:hAnsi="宋体"/>
                    </w:rPr>
                    <w:t>危险废物代码</w:t>
                  </w:r>
                </w:p>
              </w:tc>
              <w:tc>
                <w:tcPr>
                  <w:tcW w:w="410" w:type="pct"/>
                  <w:vAlign w:val="center"/>
                </w:tcPr>
                <w:p w14:paraId="66393EBE">
                  <w:pPr>
                    <w:pStyle w:val="87"/>
                    <w:rPr>
                      <w:rFonts w:hint="eastAsia" w:hAnsi="宋体"/>
                    </w:rPr>
                  </w:pPr>
                  <w:r>
                    <w:rPr>
                      <w:rFonts w:hint="eastAsia" w:hAnsi="宋体"/>
                    </w:rPr>
                    <w:t>位置</w:t>
                  </w:r>
                </w:p>
              </w:tc>
              <w:tc>
                <w:tcPr>
                  <w:tcW w:w="558" w:type="pct"/>
                  <w:vAlign w:val="center"/>
                </w:tcPr>
                <w:p w14:paraId="3D28EBD2">
                  <w:pPr>
                    <w:pStyle w:val="87"/>
                    <w:rPr>
                      <w:rFonts w:hint="eastAsia" w:hAnsi="宋体"/>
                    </w:rPr>
                  </w:pPr>
                  <w:r>
                    <w:rPr>
                      <w:rFonts w:hint="eastAsia" w:hAnsi="宋体"/>
                    </w:rPr>
                    <w:t>占地面积</w:t>
                  </w:r>
                </w:p>
              </w:tc>
              <w:tc>
                <w:tcPr>
                  <w:tcW w:w="558" w:type="pct"/>
                  <w:vAlign w:val="center"/>
                </w:tcPr>
                <w:p w14:paraId="65EBA73C">
                  <w:pPr>
                    <w:pStyle w:val="87"/>
                    <w:rPr>
                      <w:rFonts w:hint="eastAsia" w:hAnsi="宋体"/>
                    </w:rPr>
                  </w:pPr>
                  <w:r>
                    <w:rPr>
                      <w:rFonts w:hint="eastAsia" w:hAnsi="宋体"/>
                    </w:rPr>
                    <w:t>贮存方式</w:t>
                  </w:r>
                </w:p>
              </w:tc>
              <w:tc>
                <w:tcPr>
                  <w:tcW w:w="476" w:type="pct"/>
                  <w:vAlign w:val="center"/>
                </w:tcPr>
                <w:p w14:paraId="1C7BA1BC">
                  <w:pPr>
                    <w:pStyle w:val="87"/>
                    <w:rPr>
                      <w:rFonts w:hint="eastAsia" w:hAnsi="宋体"/>
                    </w:rPr>
                  </w:pPr>
                  <w:r>
                    <w:rPr>
                      <w:rFonts w:hint="eastAsia" w:hAnsi="宋体"/>
                    </w:rPr>
                    <w:t>贮存</w:t>
                  </w:r>
                </w:p>
                <w:p w14:paraId="4DF86337">
                  <w:pPr>
                    <w:pStyle w:val="87"/>
                    <w:rPr>
                      <w:rFonts w:hint="eastAsia" w:hAnsi="宋体"/>
                    </w:rPr>
                  </w:pPr>
                  <w:r>
                    <w:rPr>
                      <w:rFonts w:hint="eastAsia" w:hAnsi="宋体"/>
                    </w:rPr>
                    <w:t>能力</w:t>
                  </w:r>
                </w:p>
              </w:tc>
              <w:tc>
                <w:tcPr>
                  <w:tcW w:w="528" w:type="pct"/>
                  <w:vAlign w:val="center"/>
                </w:tcPr>
                <w:p w14:paraId="4D031E7B">
                  <w:pPr>
                    <w:pStyle w:val="87"/>
                    <w:rPr>
                      <w:rFonts w:hint="eastAsia" w:hAnsi="宋体"/>
                    </w:rPr>
                  </w:pPr>
                  <w:r>
                    <w:rPr>
                      <w:rFonts w:hint="eastAsia" w:hAnsi="宋体"/>
                    </w:rPr>
                    <w:t>贮存</w:t>
                  </w:r>
                </w:p>
                <w:p w14:paraId="0BB524EF">
                  <w:pPr>
                    <w:pStyle w:val="87"/>
                    <w:rPr>
                      <w:rFonts w:hint="eastAsia" w:hAnsi="宋体"/>
                    </w:rPr>
                  </w:pPr>
                  <w:r>
                    <w:rPr>
                      <w:rFonts w:hint="eastAsia" w:hAnsi="宋体"/>
                    </w:rPr>
                    <w:t>周期</w:t>
                  </w:r>
                </w:p>
              </w:tc>
            </w:tr>
            <w:tr w14:paraId="1E9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vMerge w:val="restart"/>
                  <w:vAlign w:val="center"/>
                </w:tcPr>
                <w:p w14:paraId="7B341014">
                  <w:pPr>
                    <w:pStyle w:val="87"/>
                    <w:rPr>
                      <w:rFonts w:hint="eastAsia" w:hAnsi="宋体"/>
                    </w:rPr>
                  </w:pPr>
                  <w:r>
                    <w:rPr>
                      <w:rFonts w:hint="eastAsia" w:hAnsi="宋体"/>
                    </w:rPr>
                    <w:t>危废贮存点</w:t>
                  </w:r>
                </w:p>
              </w:tc>
              <w:tc>
                <w:tcPr>
                  <w:tcW w:w="601" w:type="pct"/>
                  <w:vAlign w:val="center"/>
                </w:tcPr>
                <w:p w14:paraId="1759BA44">
                  <w:pPr>
                    <w:pStyle w:val="87"/>
                    <w:rPr>
                      <w:rFonts w:hint="eastAsia" w:hAnsi="宋体"/>
                    </w:rPr>
                  </w:pPr>
                  <w:r>
                    <w:rPr>
                      <w:rFonts w:hint="eastAsia" w:hAnsi="宋体"/>
                    </w:rPr>
                    <w:t>废润滑油</w:t>
                  </w:r>
                </w:p>
              </w:tc>
              <w:tc>
                <w:tcPr>
                  <w:tcW w:w="411" w:type="pct"/>
                  <w:vAlign w:val="center"/>
                </w:tcPr>
                <w:p w14:paraId="684B84DD">
                  <w:pPr>
                    <w:pStyle w:val="87"/>
                    <w:rPr>
                      <w:rFonts w:hint="eastAsia" w:hAnsi="宋体"/>
                    </w:rPr>
                  </w:pPr>
                  <w:r>
                    <w:rPr>
                      <w:rFonts w:hint="eastAsia" w:hAnsi="宋体"/>
                    </w:rPr>
                    <w:t>HW08</w:t>
                  </w:r>
                </w:p>
              </w:tc>
              <w:tc>
                <w:tcPr>
                  <w:tcW w:w="814" w:type="pct"/>
                  <w:vAlign w:val="center"/>
                </w:tcPr>
                <w:p w14:paraId="3434FB09">
                  <w:pPr>
                    <w:pStyle w:val="87"/>
                    <w:rPr>
                      <w:rFonts w:hint="eastAsia" w:hAnsi="宋体"/>
                    </w:rPr>
                  </w:pPr>
                  <w:r>
                    <w:rPr>
                      <w:rFonts w:hint="eastAsia" w:hAnsi="宋体"/>
                    </w:rPr>
                    <w:t>900-217-08</w:t>
                  </w:r>
                </w:p>
              </w:tc>
              <w:tc>
                <w:tcPr>
                  <w:tcW w:w="410" w:type="pct"/>
                  <w:vMerge w:val="restart"/>
                  <w:vAlign w:val="center"/>
                </w:tcPr>
                <w:p w14:paraId="6F8F5F8F">
                  <w:pPr>
                    <w:pStyle w:val="87"/>
                    <w:rPr>
                      <w:rFonts w:hint="eastAsia" w:hAnsi="宋体"/>
                    </w:rPr>
                  </w:pPr>
                  <w:r>
                    <w:rPr>
                      <w:rFonts w:hint="eastAsia" w:hAnsi="宋体"/>
                    </w:rPr>
                    <w:t>井场西侧</w:t>
                  </w:r>
                </w:p>
              </w:tc>
              <w:tc>
                <w:tcPr>
                  <w:tcW w:w="558" w:type="pct"/>
                  <w:vMerge w:val="restart"/>
                  <w:vAlign w:val="center"/>
                </w:tcPr>
                <w:p w14:paraId="6A51E23D">
                  <w:pPr>
                    <w:pStyle w:val="87"/>
                    <w:rPr>
                      <w:rFonts w:hint="eastAsia" w:hAnsi="宋体"/>
                    </w:rPr>
                  </w:pPr>
                  <w:r>
                    <w:rPr>
                      <w:rFonts w:hAnsi="宋体"/>
                    </w:rPr>
                    <w:t>10</w:t>
                  </w:r>
                  <w:r>
                    <w:rPr>
                      <w:rFonts w:hint="eastAsia" w:hAnsi="宋体"/>
                    </w:rPr>
                    <w:t>m</w:t>
                  </w:r>
                  <w:r>
                    <w:rPr>
                      <w:rFonts w:hAnsi="宋体"/>
                      <w:vertAlign w:val="superscript"/>
                    </w:rPr>
                    <w:t>2</w:t>
                  </w:r>
                </w:p>
              </w:tc>
              <w:tc>
                <w:tcPr>
                  <w:tcW w:w="558" w:type="pct"/>
                  <w:vAlign w:val="center"/>
                </w:tcPr>
                <w:p w14:paraId="62613093">
                  <w:pPr>
                    <w:pStyle w:val="87"/>
                    <w:rPr>
                      <w:rFonts w:hint="eastAsia" w:hAnsi="宋体"/>
                    </w:rPr>
                  </w:pPr>
                  <w:r>
                    <w:rPr>
                      <w:rFonts w:hint="eastAsia" w:hAnsi="宋体"/>
                    </w:rPr>
                    <w:t>桶装</w:t>
                  </w:r>
                </w:p>
              </w:tc>
              <w:tc>
                <w:tcPr>
                  <w:tcW w:w="476" w:type="pct"/>
                  <w:vAlign w:val="center"/>
                </w:tcPr>
                <w:p w14:paraId="45915F41">
                  <w:pPr>
                    <w:pStyle w:val="87"/>
                    <w:rPr>
                      <w:rFonts w:hint="eastAsia" w:hAnsi="宋体"/>
                    </w:rPr>
                  </w:pPr>
                  <w:r>
                    <w:rPr>
                      <w:rFonts w:hAnsi="宋体"/>
                    </w:rPr>
                    <w:t>0.5</w:t>
                  </w:r>
                  <w:r>
                    <w:rPr>
                      <w:rFonts w:hint="eastAsia" w:hAnsi="宋体"/>
                    </w:rPr>
                    <w:t>t</w:t>
                  </w:r>
                </w:p>
              </w:tc>
              <w:tc>
                <w:tcPr>
                  <w:tcW w:w="528" w:type="pct"/>
                  <w:vMerge w:val="restart"/>
                  <w:vAlign w:val="center"/>
                </w:tcPr>
                <w:p w14:paraId="75001102">
                  <w:pPr>
                    <w:pStyle w:val="87"/>
                    <w:rPr>
                      <w:rFonts w:hint="eastAsia" w:hAnsi="宋体"/>
                    </w:rPr>
                  </w:pPr>
                  <w:r>
                    <w:rPr>
                      <w:rFonts w:hint="eastAsia" w:hAnsi="宋体"/>
                    </w:rPr>
                    <w:t>最大贮存时间为1个施工周期</w:t>
                  </w:r>
                </w:p>
              </w:tc>
            </w:tr>
            <w:tr w14:paraId="1FF8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vMerge w:val="continue"/>
                  <w:vAlign w:val="center"/>
                </w:tcPr>
                <w:p w14:paraId="0054D7BC">
                  <w:pPr>
                    <w:pStyle w:val="87"/>
                    <w:rPr>
                      <w:rFonts w:hint="eastAsia" w:hAnsi="宋体"/>
                    </w:rPr>
                  </w:pPr>
                </w:p>
              </w:tc>
              <w:tc>
                <w:tcPr>
                  <w:tcW w:w="601" w:type="pct"/>
                  <w:vAlign w:val="center"/>
                </w:tcPr>
                <w:p w14:paraId="51E4E651">
                  <w:pPr>
                    <w:pStyle w:val="87"/>
                    <w:rPr>
                      <w:rFonts w:hint="eastAsia" w:hAnsi="宋体"/>
                    </w:rPr>
                  </w:pPr>
                  <w:r>
                    <w:rPr>
                      <w:rFonts w:hint="eastAsia" w:hAnsi="宋体"/>
                    </w:rPr>
                    <w:t>废润滑油桶</w:t>
                  </w:r>
                </w:p>
              </w:tc>
              <w:tc>
                <w:tcPr>
                  <w:tcW w:w="411" w:type="pct"/>
                  <w:vAlign w:val="center"/>
                </w:tcPr>
                <w:p w14:paraId="556492E8">
                  <w:pPr>
                    <w:pStyle w:val="87"/>
                    <w:rPr>
                      <w:rFonts w:hint="eastAsia" w:hAnsi="宋体"/>
                    </w:rPr>
                  </w:pPr>
                  <w:r>
                    <w:rPr>
                      <w:rFonts w:hint="eastAsia" w:hAnsi="宋体"/>
                    </w:rPr>
                    <w:t>HW49</w:t>
                  </w:r>
                </w:p>
              </w:tc>
              <w:tc>
                <w:tcPr>
                  <w:tcW w:w="814" w:type="pct"/>
                  <w:vAlign w:val="center"/>
                </w:tcPr>
                <w:p w14:paraId="0E64C293">
                  <w:pPr>
                    <w:pStyle w:val="87"/>
                    <w:rPr>
                      <w:rFonts w:hint="eastAsia" w:hAnsi="宋体"/>
                    </w:rPr>
                  </w:pPr>
                  <w:r>
                    <w:rPr>
                      <w:rFonts w:hint="eastAsia" w:hAnsi="宋体"/>
                    </w:rPr>
                    <w:t>900-041-49</w:t>
                  </w:r>
                </w:p>
              </w:tc>
              <w:tc>
                <w:tcPr>
                  <w:tcW w:w="410" w:type="pct"/>
                  <w:vMerge w:val="continue"/>
                  <w:vAlign w:val="center"/>
                </w:tcPr>
                <w:p w14:paraId="4A893148">
                  <w:pPr>
                    <w:widowControl/>
                    <w:jc w:val="left"/>
                    <w:rPr>
                      <w:rFonts w:hint="eastAsia" w:hAnsi="宋体"/>
                    </w:rPr>
                  </w:pPr>
                </w:p>
              </w:tc>
              <w:tc>
                <w:tcPr>
                  <w:tcW w:w="558" w:type="pct"/>
                  <w:vMerge w:val="continue"/>
                  <w:vAlign w:val="center"/>
                </w:tcPr>
                <w:p w14:paraId="0C34739F">
                  <w:pPr>
                    <w:widowControl/>
                    <w:jc w:val="left"/>
                    <w:rPr>
                      <w:rFonts w:hint="eastAsia" w:hAnsi="宋体"/>
                    </w:rPr>
                  </w:pPr>
                </w:p>
              </w:tc>
              <w:tc>
                <w:tcPr>
                  <w:tcW w:w="558" w:type="pct"/>
                  <w:vAlign w:val="center"/>
                </w:tcPr>
                <w:p w14:paraId="534453C8">
                  <w:pPr>
                    <w:pStyle w:val="87"/>
                    <w:rPr>
                      <w:rFonts w:hint="eastAsia" w:hAnsi="宋体"/>
                    </w:rPr>
                  </w:pPr>
                  <w:r>
                    <w:rPr>
                      <w:rFonts w:hint="eastAsia" w:hAnsi="宋体"/>
                    </w:rPr>
                    <w:t>桶装</w:t>
                  </w:r>
                </w:p>
              </w:tc>
              <w:tc>
                <w:tcPr>
                  <w:tcW w:w="476" w:type="pct"/>
                  <w:vAlign w:val="center"/>
                </w:tcPr>
                <w:p w14:paraId="7F4F0242">
                  <w:pPr>
                    <w:pStyle w:val="87"/>
                    <w:rPr>
                      <w:rFonts w:hint="eastAsia" w:hAnsi="宋体"/>
                    </w:rPr>
                  </w:pPr>
                  <w:r>
                    <w:rPr>
                      <w:rFonts w:hint="eastAsia" w:hAnsi="宋体"/>
                    </w:rPr>
                    <w:t>0.03t</w:t>
                  </w:r>
                </w:p>
              </w:tc>
              <w:tc>
                <w:tcPr>
                  <w:tcW w:w="528" w:type="pct"/>
                  <w:vMerge w:val="continue"/>
                  <w:vAlign w:val="center"/>
                </w:tcPr>
                <w:p w14:paraId="15169FAE">
                  <w:pPr>
                    <w:pStyle w:val="87"/>
                    <w:rPr>
                      <w:rFonts w:hint="eastAsia" w:hAnsi="宋体"/>
                    </w:rPr>
                  </w:pPr>
                </w:p>
              </w:tc>
            </w:tr>
            <w:tr w14:paraId="0818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vMerge w:val="continue"/>
                  <w:vAlign w:val="center"/>
                </w:tcPr>
                <w:p w14:paraId="1F33DAAD">
                  <w:pPr>
                    <w:pStyle w:val="87"/>
                    <w:rPr>
                      <w:rFonts w:hint="eastAsia" w:hAnsi="宋体"/>
                    </w:rPr>
                  </w:pPr>
                </w:p>
              </w:tc>
              <w:tc>
                <w:tcPr>
                  <w:tcW w:w="601" w:type="pct"/>
                  <w:vAlign w:val="center"/>
                </w:tcPr>
                <w:p w14:paraId="2358F072">
                  <w:pPr>
                    <w:pStyle w:val="87"/>
                    <w:rPr>
                      <w:rFonts w:hint="eastAsia" w:hAnsi="宋体"/>
                    </w:rPr>
                  </w:pPr>
                  <w:r>
                    <w:rPr>
                      <w:rFonts w:hint="eastAsia" w:hAnsi="宋体"/>
                    </w:rPr>
                    <w:t>废弃包装物</w:t>
                  </w:r>
                </w:p>
              </w:tc>
              <w:tc>
                <w:tcPr>
                  <w:tcW w:w="411" w:type="pct"/>
                  <w:vAlign w:val="center"/>
                </w:tcPr>
                <w:p w14:paraId="260D17D6">
                  <w:pPr>
                    <w:pStyle w:val="87"/>
                    <w:rPr>
                      <w:rFonts w:hint="eastAsia" w:hAnsi="宋体"/>
                    </w:rPr>
                  </w:pPr>
                  <w:r>
                    <w:rPr>
                      <w:rFonts w:hint="eastAsia" w:hAnsi="宋体"/>
                    </w:rPr>
                    <w:t>HW49</w:t>
                  </w:r>
                </w:p>
              </w:tc>
              <w:tc>
                <w:tcPr>
                  <w:tcW w:w="814" w:type="pct"/>
                  <w:vAlign w:val="center"/>
                </w:tcPr>
                <w:p w14:paraId="5F583F16">
                  <w:pPr>
                    <w:pStyle w:val="87"/>
                    <w:rPr>
                      <w:rFonts w:hint="eastAsia" w:hAnsi="宋体"/>
                    </w:rPr>
                  </w:pPr>
                  <w:r>
                    <w:rPr>
                      <w:rFonts w:hint="eastAsia" w:hAnsi="宋体"/>
                    </w:rPr>
                    <w:t>900-041-49</w:t>
                  </w:r>
                </w:p>
              </w:tc>
              <w:tc>
                <w:tcPr>
                  <w:tcW w:w="410" w:type="pct"/>
                  <w:vMerge w:val="continue"/>
                  <w:vAlign w:val="center"/>
                </w:tcPr>
                <w:p w14:paraId="577920BB">
                  <w:pPr>
                    <w:pStyle w:val="87"/>
                    <w:rPr>
                      <w:rFonts w:hint="eastAsia" w:hAnsi="宋体"/>
                    </w:rPr>
                  </w:pPr>
                </w:p>
              </w:tc>
              <w:tc>
                <w:tcPr>
                  <w:tcW w:w="558" w:type="pct"/>
                  <w:vMerge w:val="continue"/>
                  <w:vAlign w:val="center"/>
                </w:tcPr>
                <w:p w14:paraId="5CE99BCB">
                  <w:pPr>
                    <w:pStyle w:val="87"/>
                    <w:rPr>
                      <w:rFonts w:hint="eastAsia" w:hAnsi="宋体"/>
                    </w:rPr>
                  </w:pPr>
                </w:p>
              </w:tc>
              <w:tc>
                <w:tcPr>
                  <w:tcW w:w="558" w:type="pct"/>
                  <w:vAlign w:val="center"/>
                </w:tcPr>
                <w:p w14:paraId="090AB03D">
                  <w:pPr>
                    <w:pStyle w:val="87"/>
                    <w:rPr>
                      <w:rFonts w:hint="eastAsia" w:hAnsi="宋体"/>
                    </w:rPr>
                  </w:pPr>
                  <w:r>
                    <w:rPr>
                      <w:rFonts w:hint="eastAsia" w:hAnsi="宋体"/>
                    </w:rPr>
                    <w:t>桶装及袋装</w:t>
                  </w:r>
                </w:p>
              </w:tc>
              <w:tc>
                <w:tcPr>
                  <w:tcW w:w="476" w:type="pct"/>
                  <w:vAlign w:val="center"/>
                </w:tcPr>
                <w:p w14:paraId="7A17C071">
                  <w:pPr>
                    <w:pStyle w:val="87"/>
                    <w:rPr>
                      <w:rFonts w:hint="eastAsia" w:hAnsi="宋体"/>
                    </w:rPr>
                  </w:pPr>
                  <w:r>
                    <w:rPr>
                      <w:rFonts w:hAnsi="宋体"/>
                    </w:rPr>
                    <w:t>0.2</w:t>
                  </w:r>
                  <w:r>
                    <w:rPr>
                      <w:rFonts w:hint="eastAsia" w:hAnsi="宋体"/>
                    </w:rPr>
                    <w:t>t</w:t>
                  </w:r>
                </w:p>
              </w:tc>
              <w:tc>
                <w:tcPr>
                  <w:tcW w:w="528" w:type="pct"/>
                  <w:vMerge w:val="continue"/>
                  <w:vAlign w:val="center"/>
                </w:tcPr>
                <w:p w14:paraId="7C3E964C">
                  <w:pPr>
                    <w:pStyle w:val="87"/>
                    <w:rPr>
                      <w:rFonts w:hint="eastAsia" w:hAnsi="宋体"/>
                    </w:rPr>
                  </w:pPr>
                </w:p>
              </w:tc>
            </w:tr>
            <w:tr w14:paraId="1E77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2" w:type="pct"/>
                  <w:vMerge w:val="continue"/>
                  <w:vAlign w:val="center"/>
                </w:tcPr>
                <w:p w14:paraId="3F5C2623">
                  <w:pPr>
                    <w:pStyle w:val="87"/>
                    <w:rPr>
                      <w:rFonts w:hint="eastAsia" w:hAnsi="宋体"/>
                    </w:rPr>
                  </w:pPr>
                </w:p>
              </w:tc>
              <w:tc>
                <w:tcPr>
                  <w:tcW w:w="601" w:type="pct"/>
                  <w:vAlign w:val="center"/>
                </w:tcPr>
                <w:p w14:paraId="4D2FD000">
                  <w:pPr>
                    <w:pStyle w:val="87"/>
                    <w:rPr>
                      <w:rFonts w:hint="eastAsia" w:hAnsi="宋体"/>
                    </w:rPr>
                  </w:pPr>
                  <w:r>
                    <w:rPr>
                      <w:rFonts w:hint="eastAsia" w:hAnsi="宋体"/>
                    </w:rPr>
                    <w:t>废弃的含油抹布、劳保用品</w:t>
                  </w:r>
                </w:p>
              </w:tc>
              <w:tc>
                <w:tcPr>
                  <w:tcW w:w="411" w:type="pct"/>
                  <w:vAlign w:val="center"/>
                </w:tcPr>
                <w:p w14:paraId="3E4B6E2F">
                  <w:pPr>
                    <w:pStyle w:val="87"/>
                    <w:rPr>
                      <w:rFonts w:hint="eastAsia" w:hAnsi="宋体"/>
                    </w:rPr>
                  </w:pPr>
                  <w:r>
                    <w:rPr>
                      <w:rFonts w:hint="eastAsia" w:hAnsi="宋体"/>
                    </w:rPr>
                    <w:t>HW49</w:t>
                  </w:r>
                </w:p>
              </w:tc>
              <w:tc>
                <w:tcPr>
                  <w:tcW w:w="814" w:type="pct"/>
                  <w:vAlign w:val="center"/>
                </w:tcPr>
                <w:p w14:paraId="6ECEE746">
                  <w:pPr>
                    <w:pStyle w:val="87"/>
                    <w:rPr>
                      <w:rFonts w:hint="eastAsia" w:hAnsi="宋体"/>
                    </w:rPr>
                  </w:pPr>
                  <w:r>
                    <w:rPr>
                      <w:rFonts w:hint="eastAsia" w:hAnsi="宋体"/>
                    </w:rPr>
                    <w:t>900-041-49</w:t>
                  </w:r>
                </w:p>
              </w:tc>
              <w:tc>
                <w:tcPr>
                  <w:tcW w:w="410" w:type="pct"/>
                  <w:vMerge w:val="continue"/>
                  <w:vAlign w:val="center"/>
                </w:tcPr>
                <w:p w14:paraId="128B5F58">
                  <w:pPr>
                    <w:pStyle w:val="87"/>
                    <w:rPr>
                      <w:rFonts w:hint="eastAsia" w:hAnsi="宋体"/>
                    </w:rPr>
                  </w:pPr>
                </w:p>
              </w:tc>
              <w:tc>
                <w:tcPr>
                  <w:tcW w:w="558" w:type="pct"/>
                  <w:vMerge w:val="continue"/>
                  <w:vAlign w:val="center"/>
                </w:tcPr>
                <w:p w14:paraId="07D570A3">
                  <w:pPr>
                    <w:pStyle w:val="87"/>
                    <w:rPr>
                      <w:rFonts w:hint="eastAsia" w:hAnsi="宋体"/>
                    </w:rPr>
                  </w:pPr>
                </w:p>
              </w:tc>
              <w:tc>
                <w:tcPr>
                  <w:tcW w:w="558" w:type="pct"/>
                  <w:vAlign w:val="center"/>
                </w:tcPr>
                <w:p w14:paraId="224EE380">
                  <w:pPr>
                    <w:pStyle w:val="87"/>
                    <w:rPr>
                      <w:rFonts w:hint="eastAsia" w:hAnsi="宋体"/>
                    </w:rPr>
                  </w:pPr>
                  <w:r>
                    <w:rPr>
                      <w:rFonts w:hint="eastAsia" w:hAnsi="宋体"/>
                    </w:rPr>
                    <w:t>桶装</w:t>
                  </w:r>
                </w:p>
              </w:tc>
              <w:tc>
                <w:tcPr>
                  <w:tcW w:w="476" w:type="pct"/>
                  <w:vAlign w:val="center"/>
                </w:tcPr>
                <w:p w14:paraId="477A6783">
                  <w:pPr>
                    <w:pStyle w:val="87"/>
                    <w:rPr>
                      <w:rFonts w:hint="eastAsia" w:hAnsi="宋体"/>
                    </w:rPr>
                  </w:pPr>
                  <w:r>
                    <w:rPr>
                      <w:rFonts w:hAnsi="宋体"/>
                    </w:rPr>
                    <w:t>0.1</w:t>
                  </w:r>
                  <w:r>
                    <w:rPr>
                      <w:rFonts w:hint="eastAsia" w:hAnsi="宋体"/>
                    </w:rPr>
                    <w:t>t</w:t>
                  </w:r>
                </w:p>
              </w:tc>
              <w:tc>
                <w:tcPr>
                  <w:tcW w:w="528" w:type="pct"/>
                  <w:vMerge w:val="continue"/>
                  <w:vAlign w:val="center"/>
                </w:tcPr>
                <w:p w14:paraId="3DE1E767">
                  <w:pPr>
                    <w:pStyle w:val="87"/>
                    <w:rPr>
                      <w:rFonts w:hint="eastAsia" w:hAnsi="宋体"/>
                    </w:rPr>
                  </w:pPr>
                </w:p>
              </w:tc>
            </w:tr>
          </w:tbl>
          <w:p w14:paraId="5EF70FD1">
            <w:pPr>
              <w:rPr>
                <w:rFonts w:hint="eastAsia" w:ascii="宋体" w:hAnsi="宋体"/>
              </w:rPr>
            </w:pPr>
            <w:r>
              <w:rPr>
                <w:rFonts w:hint="eastAsia" w:ascii="宋体" w:hAnsi="宋体"/>
              </w:rPr>
              <w:t>注：本项目井场危废贮存点为移动式危废暂存间</w:t>
            </w:r>
          </w:p>
          <w:p w14:paraId="4726BE62">
            <w:pPr>
              <w:rPr>
                <w:rFonts w:hint="eastAsia" w:ascii="宋体" w:hAnsi="宋体"/>
              </w:rPr>
            </w:pPr>
          </w:p>
          <w:p w14:paraId="3462A04D">
            <w:pPr>
              <w:pStyle w:val="12"/>
              <w:spacing w:before="120"/>
              <w:rPr>
                <w:rFonts w:hint="eastAsia" w:hAnsi="宋体"/>
              </w:rPr>
            </w:pPr>
            <w:bookmarkStart w:id="59" w:name="_Ref138689036"/>
            <w:bookmarkStart w:id="60" w:name="OLE_LINK22"/>
            <w:bookmarkStart w:id="61" w:name="OLE_LINK21"/>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34</w:t>
            </w:r>
            <w:r>
              <w:rPr>
                <w:rFonts w:hAnsi="宋体"/>
              </w:rPr>
              <w:fldChar w:fldCharType="end"/>
            </w:r>
            <w:bookmarkEnd w:id="59"/>
            <w:r>
              <w:rPr>
                <w:rFonts w:hAnsi="宋体"/>
              </w:rPr>
              <w:t xml:space="preserve">  </w:t>
            </w:r>
            <w:bookmarkEnd w:id="60"/>
            <w:bookmarkEnd w:id="61"/>
            <w:r>
              <w:rPr>
                <w:rFonts w:hint="eastAsia" w:hAnsi="宋体"/>
              </w:rPr>
              <w:t>本项目施工期固体废物产</w:t>
            </w:r>
            <w:r>
              <w:rPr>
                <w:rFonts w:hint="eastAsia" w:hAnsi="宋体"/>
                <w:kern w:val="0"/>
              </w:rPr>
              <w:t>生量统计表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2"/>
              <w:gridCol w:w="732"/>
              <w:gridCol w:w="636"/>
              <w:gridCol w:w="1670"/>
              <w:gridCol w:w="832"/>
              <w:gridCol w:w="1111"/>
              <w:gridCol w:w="1534"/>
              <w:gridCol w:w="614"/>
            </w:tblGrid>
            <w:tr w14:paraId="5887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46AC76A0">
                  <w:pPr>
                    <w:pStyle w:val="87"/>
                    <w:rPr>
                      <w:rFonts w:hint="eastAsia" w:hAnsi="宋体"/>
                      <w:kern w:val="0"/>
                      <w:sz w:val="18"/>
                      <w:szCs w:val="18"/>
                    </w:rPr>
                  </w:pPr>
                  <w:r>
                    <w:rPr>
                      <w:rFonts w:hint="eastAsia" w:hAnsi="宋体"/>
                      <w:sz w:val="18"/>
                      <w:szCs w:val="18"/>
                    </w:rPr>
                    <w:t>名称</w:t>
                  </w:r>
                </w:p>
              </w:tc>
              <w:tc>
                <w:tcPr>
                  <w:tcW w:w="469" w:type="pct"/>
                  <w:tcBorders>
                    <w:top w:val="single" w:color="auto" w:sz="4" w:space="0"/>
                    <w:left w:val="single" w:color="auto" w:sz="4" w:space="0"/>
                    <w:bottom w:val="single" w:color="auto" w:sz="4" w:space="0"/>
                    <w:right w:val="single" w:color="auto" w:sz="4" w:space="0"/>
                  </w:tcBorders>
                  <w:vAlign w:val="center"/>
                </w:tcPr>
                <w:p w14:paraId="614FAAFE">
                  <w:pPr>
                    <w:pStyle w:val="87"/>
                    <w:rPr>
                      <w:rFonts w:hint="eastAsia" w:hAnsi="宋体"/>
                      <w:sz w:val="18"/>
                      <w:szCs w:val="18"/>
                    </w:rPr>
                  </w:pPr>
                  <w:r>
                    <w:rPr>
                      <w:rFonts w:hint="eastAsia" w:hAnsi="宋体"/>
                      <w:sz w:val="18"/>
                      <w:szCs w:val="18"/>
                    </w:rPr>
                    <w:t>产生量</w:t>
                  </w:r>
                </w:p>
              </w:tc>
              <w:tc>
                <w:tcPr>
                  <w:tcW w:w="408" w:type="pct"/>
                  <w:tcBorders>
                    <w:top w:val="single" w:color="auto" w:sz="4" w:space="0"/>
                    <w:left w:val="single" w:color="auto" w:sz="4" w:space="0"/>
                    <w:bottom w:val="single" w:color="auto" w:sz="4" w:space="0"/>
                    <w:right w:val="single" w:color="auto" w:sz="4" w:space="0"/>
                  </w:tcBorders>
                  <w:vAlign w:val="center"/>
                </w:tcPr>
                <w:p w14:paraId="485FCE6E">
                  <w:pPr>
                    <w:pStyle w:val="87"/>
                    <w:rPr>
                      <w:rFonts w:hint="eastAsia" w:hAnsi="宋体"/>
                      <w:sz w:val="18"/>
                      <w:szCs w:val="18"/>
                    </w:rPr>
                  </w:pPr>
                  <w:r>
                    <w:rPr>
                      <w:rFonts w:hint="eastAsia" w:hAnsi="宋体"/>
                      <w:sz w:val="18"/>
                      <w:szCs w:val="18"/>
                    </w:rPr>
                    <w:t>主要</w:t>
                  </w:r>
                </w:p>
                <w:p w14:paraId="1E7F2AFA">
                  <w:pPr>
                    <w:pStyle w:val="87"/>
                    <w:rPr>
                      <w:rFonts w:hint="eastAsia" w:hAnsi="宋体"/>
                      <w:sz w:val="18"/>
                      <w:szCs w:val="18"/>
                    </w:rPr>
                  </w:pPr>
                  <w:r>
                    <w:rPr>
                      <w:rFonts w:hint="eastAsia" w:hAnsi="宋体"/>
                      <w:sz w:val="18"/>
                      <w:szCs w:val="18"/>
                    </w:rPr>
                    <w:t>成分</w:t>
                  </w:r>
                </w:p>
              </w:tc>
              <w:tc>
                <w:tcPr>
                  <w:tcW w:w="1071" w:type="pct"/>
                  <w:tcBorders>
                    <w:top w:val="single" w:color="auto" w:sz="4" w:space="0"/>
                    <w:left w:val="single" w:color="auto" w:sz="4" w:space="0"/>
                    <w:bottom w:val="single" w:color="auto" w:sz="4" w:space="0"/>
                    <w:right w:val="single" w:color="auto" w:sz="4" w:space="0"/>
                  </w:tcBorders>
                  <w:vAlign w:val="center"/>
                </w:tcPr>
                <w:p w14:paraId="0FA08A92">
                  <w:pPr>
                    <w:pStyle w:val="87"/>
                    <w:rPr>
                      <w:rFonts w:hint="eastAsia" w:hAnsi="宋体"/>
                      <w:sz w:val="18"/>
                      <w:szCs w:val="18"/>
                    </w:rPr>
                  </w:pPr>
                  <w:r>
                    <w:rPr>
                      <w:rFonts w:hint="eastAsia" w:hAnsi="宋体"/>
                      <w:sz w:val="18"/>
                      <w:szCs w:val="18"/>
                    </w:rPr>
                    <w:t>处置方式</w:t>
                  </w:r>
                </w:p>
              </w:tc>
              <w:tc>
                <w:tcPr>
                  <w:tcW w:w="534" w:type="pct"/>
                  <w:tcBorders>
                    <w:top w:val="single" w:color="auto" w:sz="4" w:space="0"/>
                    <w:left w:val="single" w:color="auto" w:sz="4" w:space="0"/>
                    <w:bottom w:val="single" w:color="auto" w:sz="4" w:space="0"/>
                    <w:right w:val="single" w:color="auto" w:sz="4" w:space="0"/>
                  </w:tcBorders>
                  <w:vAlign w:val="center"/>
                </w:tcPr>
                <w:p w14:paraId="1CF0BD09">
                  <w:pPr>
                    <w:pStyle w:val="87"/>
                    <w:rPr>
                      <w:rFonts w:hint="eastAsia" w:hAnsi="宋体"/>
                      <w:sz w:val="18"/>
                      <w:szCs w:val="18"/>
                    </w:rPr>
                  </w:pPr>
                  <w:r>
                    <w:rPr>
                      <w:rFonts w:hint="eastAsia" w:hAnsi="宋体"/>
                      <w:sz w:val="18"/>
                      <w:szCs w:val="18"/>
                    </w:rPr>
                    <w:t>排放量（t）</w:t>
                  </w:r>
                </w:p>
              </w:tc>
              <w:tc>
                <w:tcPr>
                  <w:tcW w:w="713" w:type="pct"/>
                  <w:tcBorders>
                    <w:top w:val="single" w:color="auto" w:sz="4" w:space="0"/>
                    <w:left w:val="single" w:color="auto" w:sz="4" w:space="0"/>
                    <w:bottom w:val="single" w:color="auto" w:sz="4" w:space="0"/>
                    <w:right w:val="single" w:color="auto" w:sz="4" w:space="0"/>
                  </w:tcBorders>
                  <w:vAlign w:val="center"/>
                </w:tcPr>
                <w:p w14:paraId="5A90CC5F">
                  <w:pPr>
                    <w:pStyle w:val="87"/>
                    <w:rPr>
                      <w:rFonts w:hint="eastAsia" w:hAnsi="宋体"/>
                      <w:sz w:val="18"/>
                      <w:szCs w:val="18"/>
                    </w:rPr>
                  </w:pPr>
                  <w:r>
                    <w:rPr>
                      <w:rFonts w:hint="eastAsia" w:hAnsi="宋体"/>
                      <w:sz w:val="18"/>
                      <w:szCs w:val="18"/>
                    </w:rPr>
                    <w:t>危险废物</w:t>
                  </w:r>
                </w:p>
                <w:p w14:paraId="7FFD4B00">
                  <w:pPr>
                    <w:pStyle w:val="87"/>
                    <w:rPr>
                      <w:rFonts w:hint="eastAsia" w:hAnsi="宋体"/>
                      <w:sz w:val="18"/>
                      <w:szCs w:val="18"/>
                    </w:rPr>
                  </w:pPr>
                  <w:r>
                    <w:rPr>
                      <w:rFonts w:hint="eastAsia" w:hAnsi="宋体"/>
                      <w:sz w:val="18"/>
                      <w:szCs w:val="18"/>
                    </w:rPr>
                    <w:t>类别</w:t>
                  </w:r>
                </w:p>
              </w:tc>
              <w:tc>
                <w:tcPr>
                  <w:tcW w:w="984" w:type="pct"/>
                  <w:tcBorders>
                    <w:top w:val="single" w:color="auto" w:sz="4" w:space="0"/>
                    <w:left w:val="single" w:color="auto" w:sz="4" w:space="0"/>
                    <w:bottom w:val="single" w:color="auto" w:sz="4" w:space="0"/>
                    <w:right w:val="single" w:color="auto" w:sz="4" w:space="0"/>
                  </w:tcBorders>
                  <w:vAlign w:val="center"/>
                </w:tcPr>
                <w:p w14:paraId="33332DD2">
                  <w:pPr>
                    <w:pStyle w:val="87"/>
                    <w:rPr>
                      <w:rFonts w:hint="eastAsia" w:hAnsi="宋体"/>
                      <w:sz w:val="18"/>
                      <w:szCs w:val="18"/>
                    </w:rPr>
                  </w:pPr>
                  <w:r>
                    <w:rPr>
                      <w:rFonts w:hint="eastAsia" w:hAnsi="宋体"/>
                      <w:sz w:val="18"/>
                      <w:szCs w:val="18"/>
                    </w:rPr>
                    <w:t>一般固废代码</w:t>
                  </w:r>
                </w:p>
                <w:p w14:paraId="4D719DA4">
                  <w:pPr>
                    <w:pStyle w:val="87"/>
                    <w:rPr>
                      <w:rFonts w:hint="eastAsia" w:hAnsi="宋体"/>
                      <w:sz w:val="18"/>
                      <w:szCs w:val="18"/>
                    </w:rPr>
                  </w:pPr>
                  <w:r>
                    <w:rPr>
                      <w:rFonts w:hint="eastAsia" w:hAnsi="宋体"/>
                      <w:sz w:val="18"/>
                      <w:szCs w:val="18"/>
                    </w:rPr>
                    <w:t>/危险废物代码</w:t>
                  </w:r>
                </w:p>
              </w:tc>
              <w:tc>
                <w:tcPr>
                  <w:tcW w:w="394" w:type="pct"/>
                  <w:tcBorders>
                    <w:top w:val="single" w:color="auto" w:sz="4" w:space="0"/>
                    <w:left w:val="single" w:color="auto" w:sz="4" w:space="0"/>
                    <w:bottom w:val="single" w:color="auto" w:sz="4" w:space="0"/>
                    <w:right w:val="single" w:color="auto" w:sz="4" w:space="0"/>
                  </w:tcBorders>
                  <w:vAlign w:val="center"/>
                </w:tcPr>
                <w:p w14:paraId="1AB979F1">
                  <w:pPr>
                    <w:pStyle w:val="87"/>
                    <w:rPr>
                      <w:rFonts w:hint="eastAsia" w:hAnsi="宋体"/>
                      <w:sz w:val="18"/>
                      <w:szCs w:val="18"/>
                    </w:rPr>
                  </w:pPr>
                  <w:r>
                    <w:rPr>
                      <w:rFonts w:hint="eastAsia" w:hAnsi="宋体"/>
                      <w:sz w:val="18"/>
                      <w:szCs w:val="18"/>
                    </w:rPr>
                    <w:t>危险特性</w:t>
                  </w:r>
                </w:p>
              </w:tc>
            </w:tr>
            <w:tr w14:paraId="208C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6DA1F6BF">
                  <w:pPr>
                    <w:pStyle w:val="87"/>
                    <w:rPr>
                      <w:rFonts w:hint="eastAsia" w:hAnsi="宋体"/>
                      <w:sz w:val="18"/>
                      <w:szCs w:val="18"/>
                    </w:rPr>
                  </w:pPr>
                  <w:r>
                    <w:rPr>
                      <w:rFonts w:hint="eastAsia" w:hAnsi="宋体"/>
                      <w:sz w:val="18"/>
                      <w:szCs w:val="18"/>
                    </w:rPr>
                    <w:t>导管、一开和二开段钻井固废</w:t>
                  </w:r>
                </w:p>
              </w:tc>
              <w:tc>
                <w:tcPr>
                  <w:tcW w:w="469" w:type="pct"/>
                  <w:tcBorders>
                    <w:top w:val="single" w:color="auto" w:sz="4" w:space="0"/>
                    <w:left w:val="single" w:color="auto" w:sz="4" w:space="0"/>
                    <w:bottom w:val="single" w:color="auto" w:sz="4" w:space="0"/>
                    <w:right w:val="single" w:color="auto" w:sz="4" w:space="0"/>
                  </w:tcBorders>
                  <w:vAlign w:val="center"/>
                </w:tcPr>
                <w:p w14:paraId="7983DD38">
                  <w:pPr>
                    <w:pStyle w:val="87"/>
                    <w:rPr>
                      <w:rFonts w:hint="eastAsia" w:hAnsi="宋体"/>
                      <w:sz w:val="18"/>
                      <w:szCs w:val="18"/>
                    </w:rPr>
                  </w:pPr>
                  <w:r>
                    <w:rPr>
                      <w:rFonts w:hint="eastAsia" w:hAnsi="宋体"/>
                      <w:sz w:val="18"/>
                      <w:szCs w:val="18"/>
                    </w:rPr>
                    <w:t>5247.0t</w:t>
                  </w:r>
                </w:p>
              </w:tc>
              <w:tc>
                <w:tcPr>
                  <w:tcW w:w="408" w:type="pct"/>
                  <w:tcBorders>
                    <w:top w:val="single" w:color="auto" w:sz="4" w:space="0"/>
                    <w:left w:val="single" w:color="auto" w:sz="4" w:space="0"/>
                    <w:bottom w:val="single" w:color="auto" w:sz="4" w:space="0"/>
                    <w:right w:val="single" w:color="auto" w:sz="4" w:space="0"/>
                  </w:tcBorders>
                  <w:vAlign w:val="center"/>
                </w:tcPr>
                <w:p w14:paraId="52CA9378">
                  <w:pPr>
                    <w:pStyle w:val="87"/>
                    <w:rPr>
                      <w:rFonts w:hint="eastAsia" w:hAnsi="宋体"/>
                      <w:sz w:val="18"/>
                      <w:szCs w:val="18"/>
                    </w:rPr>
                  </w:pPr>
                  <w:r>
                    <w:rPr>
                      <w:rFonts w:hint="eastAsia" w:hAnsi="宋体"/>
                      <w:sz w:val="18"/>
                      <w:szCs w:val="18"/>
                    </w:rPr>
                    <w:t>岩屑、泥浆</w:t>
                  </w:r>
                </w:p>
              </w:tc>
              <w:tc>
                <w:tcPr>
                  <w:tcW w:w="1071" w:type="pct"/>
                  <w:tcBorders>
                    <w:top w:val="single" w:color="auto" w:sz="4" w:space="0"/>
                    <w:left w:val="single" w:color="auto" w:sz="4" w:space="0"/>
                    <w:bottom w:val="single" w:color="auto" w:sz="4" w:space="0"/>
                    <w:right w:val="single" w:color="auto" w:sz="4" w:space="0"/>
                  </w:tcBorders>
                  <w:vAlign w:val="center"/>
                </w:tcPr>
                <w:p w14:paraId="4088529D">
                  <w:pPr>
                    <w:pStyle w:val="87"/>
                    <w:rPr>
                      <w:rFonts w:hint="eastAsia" w:hAnsi="宋体"/>
                      <w:sz w:val="18"/>
                      <w:szCs w:val="18"/>
                    </w:rPr>
                  </w:pPr>
                  <w:r>
                    <w:rPr>
                      <w:rFonts w:hint="eastAsia" w:hAnsi="宋体"/>
                      <w:sz w:val="18"/>
                      <w:szCs w:val="18"/>
                    </w:rPr>
                    <w:t>钻井固废处理后用于修路、铺垫井场</w:t>
                  </w:r>
                </w:p>
              </w:tc>
              <w:tc>
                <w:tcPr>
                  <w:tcW w:w="534" w:type="pct"/>
                  <w:tcBorders>
                    <w:top w:val="single" w:color="auto" w:sz="4" w:space="0"/>
                    <w:left w:val="single" w:color="auto" w:sz="4" w:space="0"/>
                    <w:bottom w:val="single" w:color="auto" w:sz="4" w:space="0"/>
                    <w:right w:val="single" w:color="auto" w:sz="4" w:space="0"/>
                  </w:tcBorders>
                  <w:vAlign w:val="center"/>
                </w:tcPr>
                <w:p w14:paraId="48D619B7">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58A562A9">
                  <w:pPr>
                    <w:pStyle w:val="87"/>
                    <w:rPr>
                      <w:rFonts w:hint="eastAsia" w:hAnsi="宋体"/>
                      <w:sz w:val="18"/>
                      <w:szCs w:val="18"/>
                    </w:rPr>
                  </w:pPr>
                  <w:r>
                    <w:rPr>
                      <w:rFonts w:hint="eastAsia" w:hAnsi="宋体"/>
                      <w:sz w:val="18"/>
                      <w:szCs w:val="18"/>
                    </w:rPr>
                    <w:t>/</w:t>
                  </w:r>
                </w:p>
              </w:tc>
              <w:tc>
                <w:tcPr>
                  <w:tcW w:w="984" w:type="pct"/>
                  <w:tcBorders>
                    <w:top w:val="single" w:color="auto" w:sz="4" w:space="0"/>
                    <w:left w:val="single" w:color="auto" w:sz="4" w:space="0"/>
                    <w:bottom w:val="single" w:color="auto" w:sz="4" w:space="0"/>
                    <w:right w:val="single" w:color="auto" w:sz="4" w:space="0"/>
                  </w:tcBorders>
                  <w:vAlign w:val="center"/>
                </w:tcPr>
                <w:p w14:paraId="5BC6DDC9">
                  <w:pPr>
                    <w:pStyle w:val="87"/>
                    <w:rPr>
                      <w:rFonts w:hint="eastAsia" w:hAnsi="宋体" w:cs="仿宋_GB2312"/>
                      <w:bCs/>
                      <w:sz w:val="18"/>
                      <w:szCs w:val="18"/>
                    </w:rPr>
                  </w:pPr>
                  <w:r>
                    <w:rPr>
                      <w:rFonts w:hAnsi="宋体" w:cs="仿宋_GB2312"/>
                      <w:bCs/>
                      <w:sz w:val="18"/>
                      <w:szCs w:val="18"/>
                    </w:rPr>
                    <w:t>/</w:t>
                  </w:r>
                </w:p>
              </w:tc>
              <w:tc>
                <w:tcPr>
                  <w:tcW w:w="394" w:type="pct"/>
                  <w:tcBorders>
                    <w:top w:val="single" w:color="auto" w:sz="4" w:space="0"/>
                    <w:left w:val="single" w:color="auto" w:sz="4" w:space="0"/>
                    <w:bottom w:val="single" w:color="auto" w:sz="4" w:space="0"/>
                    <w:right w:val="single" w:color="auto" w:sz="4" w:space="0"/>
                  </w:tcBorders>
                  <w:vAlign w:val="center"/>
                </w:tcPr>
                <w:p w14:paraId="7737538A">
                  <w:pPr>
                    <w:pStyle w:val="87"/>
                    <w:rPr>
                      <w:rFonts w:hint="eastAsia" w:hAnsi="宋体"/>
                      <w:sz w:val="18"/>
                      <w:szCs w:val="18"/>
                    </w:rPr>
                  </w:pPr>
                  <w:r>
                    <w:rPr>
                      <w:rFonts w:hint="eastAsia" w:hAnsi="宋体"/>
                      <w:sz w:val="18"/>
                      <w:szCs w:val="18"/>
                    </w:rPr>
                    <w:t>/</w:t>
                  </w:r>
                </w:p>
              </w:tc>
            </w:tr>
            <w:tr w14:paraId="3788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53E44CF4">
                  <w:pPr>
                    <w:pStyle w:val="87"/>
                    <w:rPr>
                      <w:rFonts w:hint="eastAsia" w:hAnsi="宋体"/>
                      <w:sz w:val="18"/>
                      <w:szCs w:val="18"/>
                    </w:rPr>
                  </w:pPr>
                  <w:r>
                    <w:rPr>
                      <w:rFonts w:hint="eastAsia" w:hAnsi="宋体"/>
                      <w:sz w:val="18"/>
                      <w:szCs w:val="18"/>
                    </w:rPr>
                    <w:t>废防渗材料</w:t>
                  </w:r>
                </w:p>
              </w:tc>
              <w:tc>
                <w:tcPr>
                  <w:tcW w:w="469" w:type="pct"/>
                  <w:tcBorders>
                    <w:top w:val="single" w:color="auto" w:sz="4" w:space="0"/>
                    <w:left w:val="single" w:color="auto" w:sz="4" w:space="0"/>
                    <w:bottom w:val="single" w:color="auto" w:sz="4" w:space="0"/>
                    <w:right w:val="single" w:color="auto" w:sz="4" w:space="0"/>
                  </w:tcBorders>
                  <w:vAlign w:val="center"/>
                </w:tcPr>
                <w:p w14:paraId="7869147D">
                  <w:pPr>
                    <w:pStyle w:val="87"/>
                    <w:rPr>
                      <w:rFonts w:hint="eastAsia" w:hAnsi="宋体"/>
                      <w:sz w:val="18"/>
                      <w:szCs w:val="18"/>
                    </w:rPr>
                  </w:pPr>
                  <w:r>
                    <w:rPr>
                      <w:rFonts w:hint="eastAsia" w:hAnsi="宋体"/>
                      <w:sz w:val="18"/>
                      <w:szCs w:val="18"/>
                    </w:rPr>
                    <w:t>0.5t</w:t>
                  </w:r>
                </w:p>
              </w:tc>
              <w:tc>
                <w:tcPr>
                  <w:tcW w:w="408" w:type="pct"/>
                  <w:tcBorders>
                    <w:top w:val="single" w:color="auto" w:sz="4" w:space="0"/>
                    <w:left w:val="single" w:color="auto" w:sz="4" w:space="0"/>
                    <w:bottom w:val="single" w:color="auto" w:sz="4" w:space="0"/>
                    <w:right w:val="single" w:color="auto" w:sz="4" w:space="0"/>
                  </w:tcBorders>
                  <w:vAlign w:val="center"/>
                </w:tcPr>
                <w:p w14:paraId="7243F62B">
                  <w:pPr>
                    <w:pStyle w:val="87"/>
                    <w:rPr>
                      <w:rFonts w:hint="eastAsia" w:hAnsi="宋体"/>
                      <w:sz w:val="18"/>
                      <w:szCs w:val="18"/>
                    </w:rPr>
                  </w:pPr>
                  <w:r>
                    <w:rPr>
                      <w:rFonts w:hint="eastAsia" w:hAnsi="宋体"/>
                      <w:sz w:val="18"/>
                      <w:szCs w:val="18"/>
                    </w:rPr>
                    <w:t>矿物油、防渗材料</w:t>
                  </w:r>
                </w:p>
              </w:tc>
              <w:tc>
                <w:tcPr>
                  <w:tcW w:w="1071" w:type="pct"/>
                  <w:tcBorders>
                    <w:top w:val="single" w:color="auto" w:sz="4" w:space="0"/>
                    <w:left w:val="single" w:color="auto" w:sz="4" w:space="0"/>
                    <w:bottom w:val="single" w:color="auto" w:sz="4" w:space="0"/>
                    <w:right w:val="single" w:color="auto" w:sz="4" w:space="0"/>
                  </w:tcBorders>
                  <w:vAlign w:val="center"/>
                </w:tcPr>
                <w:p w14:paraId="3447CC14">
                  <w:pPr>
                    <w:pStyle w:val="87"/>
                    <w:rPr>
                      <w:rFonts w:hint="eastAsia" w:hAnsi="宋体"/>
                      <w:sz w:val="18"/>
                      <w:szCs w:val="18"/>
                    </w:rPr>
                  </w:pPr>
                  <w:r>
                    <w:rPr>
                      <w:rFonts w:hint="eastAsia" w:hAnsi="宋体"/>
                      <w:sz w:val="18"/>
                      <w:szCs w:val="18"/>
                    </w:rPr>
                    <w:t>委托有相应危废处理资质的单位进行安全处置</w:t>
                  </w:r>
                </w:p>
              </w:tc>
              <w:tc>
                <w:tcPr>
                  <w:tcW w:w="534" w:type="pct"/>
                  <w:tcBorders>
                    <w:top w:val="single" w:color="auto" w:sz="4" w:space="0"/>
                    <w:left w:val="single" w:color="auto" w:sz="4" w:space="0"/>
                    <w:bottom w:val="single" w:color="auto" w:sz="4" w:space="0"/>
                    <w:right w:val="single" w:color="auto" w:sz="4" w:space="0"/>
                  </w:tcBorders>
                  <w:vAlign w:val="center"/>
                </w:tcPr>
                <w:p w14:paraId="416CE9DE">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0A54B1E2">
                  <w:pPr>
                    <w:pStyle w:val="87"/>
                    <w:rPr>
                      <w:rFonts w:hint="eastAsia" w:hAnsi="宋体"/>
                      <w:sz w:val="18"/>
                      <w:szCs w:val="18"/>
                    </w:rPr>
                  </w:pPr>
                  <w:r>
                    <w:rPr>
                      <w:rFonts w:hint="eastAsia" w:hAnsi="宋体"/>
                      <w:sz w:val="18"/>
                      <w:szCs w:val="18"/>
                    </w:rPr>
                    <w:t>HW08 废矿物油与含矿物油废物</w:t>
                  </w:r>
                </w:p>
              </w:tc>
              <w:tc>
                <w:tcPr>
                  <w:tcW w:w="984" w:type="pct"/>
                  <w:tcBorders>
                    <w:top w:val="single" w:color="auto" w:sz="4" w:space="0"/>
                    <w:left w:val="single" w:color="auto" w:sz="4" w:space="0"/>
                    <w:bottom w:val="single" w:color="auto" w:sz="4" w:space="0"/>
                    <w:right w:val="single" w:color="auto" w:sz="4" w:space="0"/>
                  </w:tcBorders>
                  <w:vAlign w:val="center"/>
                </w:tcPr>
                <w:p w14:paraId="6E38E279">
                  <w:pPr>
                    <w:pStyle w:val="87"/>
                    <w:rPr>
                      <w:rFonts w:hint="eastAsia" w:hAnsi="宋体"/>
                      <w:sz w:val="18"/>
                      <w:szCs w:val="18"/>
                    </w:rPr>
                  </w:pPr>
                  <w:r>
                    <w:rPr>
                      <w:rFonts w:hint="eastAsia" w:hAnsi="宋体"/>
                      <w:sz w:val="18"/>
                      <w:szCs w:val="18"/>
                    </w:rPr>
                    <w:t>900-249-08其他生产、销售、使用过程中产生的废矿物油及沾染矿物油的废弃包装物</w:t>
                  </w:r>
                </w:p>
              </w:tc>
              <w:tc>
                <w:tcPr>
                  <w:tcW w:w="394" w:type="pct"/>
                  <w:tcBorders>
                    <w:top w:val="single" w:color="auto" w:sz="4" w:space="0"/>
                    <w:left w:val="single" w:color="auto" w:sz="4" w:space="0"/>
                    <w:bottom w:val="single" w:color="auto" w:sz="4" w:space="0"/>
                    <w:right w:val="single" w:color="auto" w:sz="4" w:space="0"/>
                  </w:tcBorders>
                  <w:vAlign w:val="center"/>
                </w:tcPr>
                <w:p w14:paraId="17551EB7">
                  <w:pPr>
                    <w:pStyle w:val="87"/>
                    <w:rPr>
                      <w:rFonts w:hint="eastAsia" w:hAnsi="宋体"/>
                      <w:sz w:val="18"/>
                      <w:szCs w:val="18"/>
                    </w:rPr>
                  </w:pPr>
                  <w:r>
                    <w:rPr>
                      <w:rFonts w:hint="eastAsia" w:hAnsi="宋体"/>
                      <w:sz w:val="18"/>
                      <w:szCs w:val="18"/>
                    </w:rPr>
                    <w:t>T，I</w:t>
                  </w:r>
                </w:p>
              </w:tc>
            </w:tr>
            <w:tr w14:paraId="7307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7AAF3EC6">
                  <w:pPr>
                    <w:pStyle w:val="87"/>
                    <w:rPr>
                      <w:rFonts w:hint="eastAsia" w:hAnsi="宋体"/>
                      <w:sz w:val="18"/>
                      <w:szCs w:val="18"/>
                    </w:rPr>
                  </w:pPr>
                  <w:r>
                    <w:rPr>
                      <w:rFonts w:hint="eastAsia" w:hAnsi="宋体"/>
                      <w:sz w:val="18"/>
                      <w:szCs w:val="18"/>
                    </w:rPr>
                    <w:t>生活垃圾</w:t>
                  </w:r>
                </w:p>
              </w:tc>
              <w:tc>
                <w:tcPr>
                  <w:tcW w:w="469" w:type="pct"/>
                  <w:tcBorders>
                    <w:top w:val="single" w:color="auto" w:sz="4" w:space="0"/>
                    <w:left w:val="single" w:color="auto" w:sz="4" w:space="0"/>
                    <w:bottom w:val="single" w:color="auto" w:sz="4" w:space="0"/>
                    <w:right w:val="single" w:color="auto" w:sz="4" w:space="0"/>
                  </w:tcBorders>
                  <w:vAlign w:val="center"/>
                </w:tcPr>
                <w:p w14:paraId="3008247F">
                  <w:pPr>
                    <w:pStyle w:val="87"/>
                    <w:rPr>
                      <w:rFonts w:hint="eastAsia" w:hAnsi="宋体"/>
                      <w:sz w:val="18"/>
                      <w:szCs w:val="18"/>
                    </w:rPr>
                  </w:pPr>
                  <w:r>
                    <w:rPr>
                      <w:rFonts w:hint="eastAsia" w:hAnsi="宋体"/>
                      <w:sz w:val="18"/>
                      <w:szCs w:val="18"/>
                    </w:rPr>
                    <w:t>少量</w:t>
                  </w:r>
                </w:p>
              </w:tc>
              <w:tc>
                <w:tcPr>
                  <w:tcW w:w="408" w:type="pct"/>
                  <w:tcBorders>
                    <w:top w:val="single" w:color="auto" w:sz="4" w:space="0"/>
                    <w:left w:val="single" w:color="auto" w:sz="4" w:space="0"/>
                    <w:bottom w:val="single" w:color="auto" w:sz="4" w:space="0"/>
                    <w:right w:val="single" w:color="auto" w:sz="4" w:space="0"/>
                  </w:tcBorders>
                  <w:vAlign w:val="center"/>
                </w:tcPr>
                <w:p w14:paraId="436CEBA3">
                  <w:pPr>
                    <w:pStyle w:val="87"/>
                    <w:rPr>
                      <w:rFonts w:hint="eastAsia" w:hAnsi="宋体"/>
                      <w:sz w:val="18"/>
                      <w:szCs w:val="18"/>
                    </w:rPr>
                  </w:pPr>
                  <w:r>
                    <w:rPr>
                      <w:rFonts w:hint="eastAsia" w:hAnsi="宋体"/>
                      <w:sz w:val="18"/>
                      <w:szCs w:val="18"/>
                    </w:rPr>
                    <w:t>生活垃圾</w:t>
                  </w:r>
                </w:p>
              </w:tc>
              <w:tc>
                <w:tcPr>
                  <w:tcW w:w="1071" w:type="pct"/>
                  <w:tcBorders>
                    <w:top w:val="single" w:color="auto" w:sz="4" w:space="0"/>
                    <w:left w:val="single" w:color="auto" w:sz="4" w:space="0"/>
                    <w:bottom w:val="single" w:color="auto" w:sz="4" w:space="0"/>
                    <w:right w:val="single" w:color="auto" w:sz="4" w:space="0"/>
                  </w:tcBorders>
                  <w:vAlign w:val="center"/>
                </w:tcPr>
                <w:p w14:paraId="44989B57">
                  <w:pPr>
                    <w:pStyle w:val="87"/>
                    <w:rPr>
                      <w:rFonts w:hint="eastAsia" w:hAnsi="宋体"/>
                      <w:sz w:val="18"/>
                      <w:szCs w:val="18"/>
                    </w:rPr>
                  </w:pPr>
                  <w:r>
                    <w:rPr>
                      <w:rFonts w:hint="eastAsia" w:hAnsi="宋体"/>
                      <w:snapToGrid w:val="0"/>
                      <w:sz w:val="18"/>
                      <w:szCs w:val="18"/>
                    </w:rPr>
                    <w:t>生活垃圾集中在生活垃圾收集箱内，定期</w:t>
                  </w:r>
                  <w:r>
                    <w:rPr>
                      <w:rFonts w:hint="eastAsia" w:hAnsi="宋体"/>
                      <w:sz w:val="18"/>
                      <w:szCs w:val="18"/>
                    </w:rPr>
                    <w:t>由</w:t>
                  </w:r>
                  <w:r>
                    <w:rPr>
                      <w:rFonts w:hint="eastAsia" w:hAnsi="宋体"/>
                      <w:snapToGrid w:val="0"/>
                      <w:sz w:val="18"/>
                      <w:szCs w:val="18"/>
                    </w:rPr>
                    <w:t>环卫部门进行统一处理</w:t>
                  </w:r>
                </w:p>
              </w:tc>
              <w:tc>
                <w:tcPr>
                  <w:tcW w:w="534" w:type="pct"/>
                  <w:tcBorders>
                    <w:top w:val="single" w:color="auto" w:sz="4" w:space="0"/>
                    <w:left w:val="single" w:color="auto" w:sz="4" w:space="0"/>
                    <w:bottom w:val="single" w:color="auto" w:sz="4" w:space="0"/>
                    <w:right w:val="single" w:color="auto" w:sz="4" w:space="0"/>
                  </w:tcBorders>
                  <w:vAlign w:val="center"/>
                </w:tcPr>
                <w:p w14:paraId="2D8C2B41">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75641D80">
                  <w:pPr>
                    <w:pStyle w:val="87"/>
                    <w:rPr>
                      <w:rFonts w:hint="eastAsia" w:hAnsi="宋体"/>
                      <w:sz w:val="18"/>
                      <w:szCs w:val="18"/>
                    </w:rPr>
                  </w:pPr>
                  <w:r>
                    <w:rPr>
                      <w:rFonts w:hint="eastAsia" w:hAnsi="宋体"/>
                      <w:sz w:val="18"/>
                      <w:szCs w:val="18"/>
                    </w:rPr>
                    <w:t>/</w:t>
                  </w:r>
                </w:p>
              </w:tc>
              <w:tc>
                <w:tcPr>
                  <w:tcW w:w="984" w:type="pct"/>
                  <w:tcBorders>
                    <w:top w:val="single" w:color="auto" w:sz="4" w:space="0"/>
                    <w:left w:val="single" w:color="auto" w:sz="4" w:space="0"/>
                    <w:bottom w:val="single" w:color="auto" w:sz="4" w:space="0"/>
                    <w:right w:val="single" w:color="auto" w:sz="4" w:space="0"/>
                  </w:tcBorders>
                  <w:vAlign w:val="center"/>
                </w:tcPr>
                <w:p w14:paraId="1CCC9CE1">
                  <w:pPr>
                    <w:pStyle w:val="87"/>
                    <w:rPr>
                      <w:rFonts w:hint="eastAsia" w:hAnsi="宋体"/>
                      <w:sz w:val="18"/>
                      <w:szCs w:val="18"/>
                    </w:rPr>
                  </w:pPr>
                  <w:r>
                    <w:rPr>
                      <w:rFonts w:hint="eastAsia" w:hAnsi="宋体"/>
                      <w:sz w:val="18"/>
                      <w:szCs w:val="18"/>
                    </w:rPr>
                    <w:t>/</w:t>
                  </w:r>
                </w:p>
              </w:tc>
              <w:tc>
                <w:tcPr>
                  <w:tcW w:w="394" w:type="pct"/>
                  <w:tcBorders>
                    <w:top w:val="single" w:color="auto" w:sz="4" w:space="0"/>
                    <w:left w:val="single" w:color="auto" w:sz="4" w:space="0"/>
                    <w:bottom w:val="single" w:color="auto" w:sz="4" w:space="0"/>
                    <w:right w:val="single" w:color="auto" w:sz="4" w:space="0"/>
                  </w:tcBorders>
                  <w:vAlign w:val="center"/>
                </w:tcPr>
                <w:p w14:paraId="70AB346F">
                  <w:pPr>
                    <w:pStyle w:val="87"/>
                    <w:rPr>
                      <w:rFonts w:hint="eastAsia" w:hAnsi="宋体"/>
                      <w:sz w:val="18"/>
                      <w:szCs w:val="18"/>
                    </w:rPr>
                  </w:pPr>
                  <w:r>
                    <w:rPr>
                      <w:rFonts w:hint="eastAsia" w:hAnsi="宋体"/>
                      <w:sz w:val="18"/>
                      <w:szCs w:val="18"/>
                    </w:rPr>
                    <w:t>/</w:t>
                  </w:r>
                </w:p>
              </w:tc>
            </w:tr>
            <w:tr w14:paraId="244E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009BB36C">
                  <w:pPr>
                    <w:pStyle w:val="87"/>
                    <w:rPr>
                      <w:rFonts w:hint="eastAsia" w:hAnsi="宋体"/>
                      <w:sz w:val="18"/>
                      <w:szCs w:val="18"/>
                    </w:rPr>
                  </w:pPr>
                  <w:r>
                    <w:rPr>
                      <w:rFonts w:hint="eastAsia" w:hAnsi="宋体"/>
                      <w:sz w:val="18"/>
                      <w:szCs w:val="18"/>
                    </w:rPr>
                    <w:t>废润滑油</w:t>
                  </w:r>
                </w:p>
              </w:tc>
              <w:tc>
                <w:tcPr>
                  <w:tcW w:w="469" w:type="pct"/>
                  <w:tcBorders>
                    <w:top w:val="single" w:color="auto" w:sz="4" w:space="0"/>
                    <w:left w:val="single" w:color="auto" w:sz="4" w:space="0"/>
                    <w:bottom w:val="single" w:color="auto" w:sz="4" w:space="0"/>
                    <w:right w:val="single" w:color="auto" w:sz="4" w:space="0"/>
                  </w:tcBorders>
                  <w:vAlign w:val="center"/>
                </w:tcPr>
                <w:p w14:paraId="703ED6D3">
                  <w:pPr>
                    <w:pStyle w:val="87"/>
                    <w:rPr>
                      <w:rFonts w:hint="eastAsia" w:hAnsi="宋体"/>
                      <w:sz w:val="18"/>
                      <w:szCs w:val="18"/>
                    </w:rPr>
                  </w:pPr>
                  <w:r>
                    <w:rPr>
                      <w:rFonts w:hAnsi="宋体"/>
                      <w:sz w:val="18"/>
                      <w:szCs w:val="18"/>
                    </w:rPr>
                    <w:t>0.</w:t>
                  </w:r>
                  <w:r>
                    <w:rPr>
                      <w:rFonts w:hint="eastAsia" w:hAnsi="宋体"/>
                      <w:sz w:val="18"/>
                      <w:szCs w:val="18"/>
                    </w:rPr>
                    <w:t>05t</w:t>
                  </w:r>
                </w:p>
              </w:tc>
              <w:tc>
                <w:tcPr>
                  <w:tcW w:w="408" w:type="pct"/>
                  <w:tcBorders>
                    <w:top w:val="single" w:color="auto" w:sz="4" w:space="0"/>
                    <w:left w:val="single" w:color="auto" w:sz="4" w:space="0"/>
                    <w:bottom w:val="single" w:color="auto" w:sz="4" w:space="0"/>
                    <w:right w:val="single" w:color="auto" w:sz="4" w:space="0"/>
                  </w:tcBorders>
                  <w:vAlign w:val="center"/>
                </w:tcPr>
                <w:p w14:paraId="35C45D62">
                  <w:pPr>
                    <w:pStyle w:val="87"/>
                    <w:rPr>
                      <w:rFonts w:hint="eastAsia" w:hAnsi="宋体"/>
                      <w:sz w:val="18"/>
                      <w:szCs w:val="18"/>
                    </w:rPr>
                  </w:pPr>
                  <w:r>
                    <w:rPr>
                      <w:rFonts w:hint="eastAsia" w:hAnsi="宋体"/>
                      <w:sz w:val="18"/>
                      <w:szCs w:val="18"/>
                    </w:rPr>
                    <w:t>矿物油</w:t>
                  </w:r>
                </w:p>
              </w:tc>
              <w:tc>
                <w:tcPr>
                  <w:tcW w:w="1071" w:type="pct"/>
                  <w:tcBorders>
                    <w:top w:val="single" w:color="auto" w:sz="4" w:space="0"/>
                    <w:left w:val="single" w:color="auto" w:sz="4" w:space="0"/>
                    <w:bottom w:val="single" w:color="auto" w:sz="4" w:space="0"/>
                    <w:right w:val="single" w:color="auto" w:sz="4" w:space="0"/>
                  </w:tcBorders>
                  <w:vAlign w:val="center"/>
                </w:tcPr>
                <w:p w14:paraId="493F39DD">
                  <w:pPr>
                    <w:pStyle w:val="87"/>
                    <w:rPr>
                      <w:rFonts w:hint="eastAsia" w:hAnsi="宋体"/>
                      <w:sz w:val="18"/>
                      <w:szCs w:val="18"/>
                    </w:rPr>
                  </w:pPr>
                  <w:r>
                    <w:rPr>
                      <w:rFonts w:hint="eastAsia" w:hAnsi="宋体"/>
                      <w:sz w:val="18"/>
                      <w:szCs w:val="18"/>
                    </w:rPr>
                    <w:t>委托有相应危废处理资质的单位进行安全处置</w:t>
                  </w:r>
                </w:p>
              </w:tc>
              <w:tc>
                <w:tcPr>
                  <w:tcW w:w="534" w:type="pct"/>
                  <w:tcBorders>
                    <w:top w:val="single" w:color="auto" w:sz="4" w:space="0"/>
                    <w:left w:val="single" w:color="auto" w:sz="4" w:space="0"/>
                    <w:bottom w:val="single" w:color="auto" w:sz="4" w:space="0"/>
                    <w:right w:val="single" w:color="auto" w:sz="4" w:space="0"/>
                  </w:tcBorders>
                  <w:vAlign w:val="center"/>
                </w:tcPr>
                <w:p w14:paraId="199BB525">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05810876">
                  <w:pPr>
                    <w:pStyle w:val="87"/>
                    <w:rPr>
                      <w:rFonts w:hint="eastAsia" w:hAnsi="宋体"/>
                      <w:sz w:val="18"/>
                      <w:szCs w:val="18"/>
                    </w:rPr>
                  </w:pPr>
                  <w:r>
                    <w:rPr>
                      <w:rFonts w:hint="eastAsia" w:hAnsi="宋体"/>
                      <w:sz w:val="18"/>
                      <w:szCs w:val="18"/>
                    </w:rPr>
                    <w:t>HW08 废矿物油与含矿物油废物</w:t>
                  </w:r>
                </w:p>
              </w:tc>
              <w:tc>
                <w:tcPr>
                  <w:tcW w:w="984" w:type="pct"/>
                  <w:tcBorders>
                    <w:top w:val="single" w:color="auto" w:sz="4" w:space="0"/>
                    <w:left w:val="single" w:color="auto" w:sz="4" w:space="0"/>
                    <w:bottom w:val="single" w:color="auto" w:sz="4" w:space="0"/>
                    <w:right w:val="single" w:color="auto" w:sz="4" w:space="0"/>
                  </w:tcBorders>
                  <w:vAlign w:val="center"/>
                </w:tcPr>
                <w:p w14:paraId="422E5D4D">
                  <w:pPr>
                    <w:pStyle w:val="87"/>
                    <w:rPr>
                      <w:rFonts w:hint="eastAsia" w:hAnsi="宋体"/>
                      <w:sz w:val="18"/>
                      <w:szCs w:val="18"/>
                    </w:rPr>
                  </w:pPr>
                  <w:r>
                    <w:rPr>
                      <w:rFonts w:hint="eastAsia" w:hAnsi="宋体"/>
                      <w:sz w:val="18"/>
                      <w:szCs w:val="18"/>
                    </w:rPr>
                    <w:t>900-217-08使用工业齿轮油进行机械设备润滑过程中产生的废润滑油</w:t>
                  </w:r>
                </w:p>
              </w:tc>
              <w:tc>
                <w:tcPr>
                  <w:tcW w:w="394" w:type="pct"/>
                  <w:tcBorders>
                    <w:top w:val="single" w:color="auto" w:sz="4" w:space="0"/>
                    <w:left w:val="single" w:color="auto" w:sz="4" w:space="0"/>
                    <w:bottom w:val="single" w:color="auto" w:sz="4" w:space="0"/>
                    <w:right w:val="single" w:color="auto" w:sz="4" w:space="0"/>
                  </w:tcBorders>
                  <w:vAlign w:val="center"/>
                </w:tcPr>
                <w:p w14:paraId="07BE22ED">
                  <w:pPr>
                    <w:pStyle w:val="87"/>
                    <w:rPr>
                      <w:rFonts w:hint="eastAsia" w:hAnsi="宋体"/>
                      <w:sz w:val="18"/>
                      <w:szCs w:val="18"/>
                    </w:rPr>
                  </w:pPr>
                  <w:r>
                    <w:rPr>
                      <w:rFonts w:hint="eastAsia" w:hAnsi="宋体"/>
                      <w:sz w:val="18"/>
                      <w:szCs w:val="18"/>
                    </w:rPr>
                    <w:t>T，I</w:t>
                  </w:r>
                </w:p>
              </w:tc>
            </w:tr>
            <w:tr w14:paraId="26A5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741CB29E">
                  <w:pPr>
                    <w:pStyle w:val="87"/>
                    <w:rPr>
                      <w:rFonts w:hint="eastAsia" w:hAnsi="宋体"/>
                      <w:sz w:val="18"/>
                      <w:szCs w:val="18"/>
                    </w:rPr>
                  </w:pPr>
                  <w:r>
                    <w:rPr>
                      <w:rFonts w:hint="eastAsia" w:hAnsi="宋体"/>
                      <w:sz w:val="18"/>
                      <w:szCs w:val="18"/>
                    </w:rPr>
                    <w:t>废润滑油桶</w:t>
                  </w:r>
                </w:p>
              </w:tc>
              <w:tc>
                <w:tcPr>
                  <w:tcW w:w="469" w:type="pct"/>
                  <w:tcBorders>
                    <w:top w:val="single" w:color="auto" w:sz="4" w:space="0"/>
                    <w:left w:val="single" w:color="auto" w:sz="4" w:space="0"/>
                    <w:bottom w:val="single" w:color="auto" w:sz="4" w:space="0"/>
                    <w:right w:val="single" w:color="auto" w:sz="4" w:space="0"/>
                  </w:tcBorders>
                  <w:vAlign w:val="center"/>
                </w:tcPr>
                <w:p w14:paraId="0BFD40E7">
                  <w:pPr>
                    <w:pStyle w:val="87"/>
                    <w:rPr>
                      <w:rFonts w:hint="eastAsia" w:hAnsi="宋体"/>
                      <w:sz w:val="18"/>
                      <w:szCs w:val="18"/>
                    </w:rPr>
                  </w:pPr>
                  <w:r>
                    <w:rPr>
                      <w:rFonts w:hint="eastAsia" w:hAnsi="宋体"/>
                      <w:sz w:val="18"/>
                      <w:szCs w:val="18"/>
                    </w:rPr>
                    <w:t>0.02t</w:t>
                  </w:r>
                </w:p>
              </w:tc>
              <w:tc>
                <w:tcPr>
                  <w:tcW w:w="408" w:type="pct"/>
                  <w:tcBorders>
                    <w:top w:val="single" w:color="auto" w:sz="4" w:space="0"/>
                    <w:left w:val="single" w:color="auto" w:sz="4" w:space="0"/>
                    <w:bottom w:val="single" w:color="auto" w:sz="4" w:space="0"/>
                    <w:right w:val="single" w:color="auto" w:sz="4" w:space="0"/>
                  </w:tcBorders>
                  <w:vAlign w:val="center"/>
                </w:tcPr>
                <w:p w14:paraId="0DAF87CE">
                  <w:pPr>
                    <w:pStyle w:val="87"/>
                    <w:rPr>
                      <w:rFonts w:hint="eastAsia" w:hAnsi="宋体"/>
                      <w:sz w:val="18"/>
                      <w:szCs w:val="18"/>
                    </w:rPr>
                  </w:pPr>
                  <w:r>
                    <w:rPr>
                      <w:rFonts w:hint="eastAsia" w:hAnsi="宋体"/>
                      <w:sz w:val="18"/>
                      <w:szCs w:val="18"/>
                    </w:rPr>
                    <w:t>矿物油、油桶</w:t>
                  </w:r>
                </w:p>
              </w:tc>
              <w:tc>
                <w:tcPr>
                  <w:tcW w:w="1071" w:type="pct"/>
                  <w:tcBorders>
                    <w:top w:val="single" w:color="auto" w:sz="4" w:space="0"/>
                    <w:left w:val="single" w:color="auto" w:sz="4" w:space="0"/>
                    <w:bottom w:val="single" w:color="auto" w:sz="4" w:space="0"/>
                    <w:right w:val="single" w:color="auto" w:sz="4" w:space="0"/>
                  </w:tcBorders>
                  <w:vAlign w:val="center"/>
                </w:tcPr>
                <w:p w14:paraId="21F9B1EB">
                  <w:pPr>
                    <w:pStyle w:val="87"/>
                    <w:rPr>
                      <w:rFonts w:hint="eastAsia" w:hAnsi="宋体"/>
                      <w:sz w:val="18"/>
                      <w:szCs w:val="18"/>
                    </w:rPr>
                  </w:pPr>
                  <w:r>
                    <w:rPr>
                      <w:rFonts w:hint="eastAsia" w:hAnsi="宋体"/>
                      <w:sz w:val="18"/>
                      <w:szCs w:val="18"/>
                    </w:rPr>
                    <w:t>委托有相应危废处理资质的单位进行安全处置</w:t>
                  </w:r>
                </w:p>
              </w:tc>
              <w:tc>
                <w:tcPr>
                  <w:tcW w:w="534" w:type="pct"/>
                  <w:tcBorders>
                    <w:top w:val="single" w:color="auto" w:sz="4" w:space="0"/>
                    <w:left w:val="single" w:color="auto" w:sz="4" w:space="0"/>
                    <w:bottom w:val="single" w:color="auto" w:sz="4" w:space="0"/>
                    <w:right w:val="single" w:color="auto" w:sz="4" w:space="0"/>
                  </w:tcBorders>
                  <w:vAlign w:val="center"/>
                </w:tcPr>
                <w:p w14:paraId="032B542C">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3048E09F">
                  <w:pPr>
                    <w:pStyle w:val="87"/>
                    <w:rPr>
                      <w:rFonts w:hint="eastAsia" w:hAnsi="宋体"/>
                      <w:sz w:val="18"/>
                      <w:szCs w:val="18"/>
                    </w:rPr>
                  </w:pPr>
                  <w:r>
                    <w:rPr>
                      <w:rFonts w:hint="eastAsia" w:hAnsi="宋体"/>
                      <w:sz w:val="18"/>
                      <w:szCs w:val="18"/>
                    </w:rPr>
                    <w:t>HW49其他废物</w:t>
                  </w:r>
                </w:p>
              </w:tc>
              <w:tc>
                <w:tcPr>
                  <w:tcW w:w="984" w:type="pct"/>
                  <w:tcBorders>
                    <w:top w:val="single" w:color="auto" w:sz="4" w:space="0"/>
                    <w:left w:val="single" w:color="auto" w:sz="4" w:space="0"/>
                    <w:bottom w:val="single" w:color="auto" w:sz="4" w:space="0"/>
                    <w:right w:val="single" w:color="auto" w:sz="4" w:space="0"/>
                  </w:tcBorders>
                  <w:vAlign w:val="center"/>
                </w:tcPr>
                <w:p w14:paraId="76DDF5EC">
                  <w:pPr>
                    <w:pStyle w:val="87"/>
                    <w:rPr>
                      <w:rFonts w:hint="eastAsia" w:hAnsi="宋体"/>
                      <w:sz w:val="18"/>
                      <w:szCs w:val="18"/>
                    </w:rPr>
                  </w:pPr>
                  <w:r>
                    <w:rPr>
                      <w:rFonts w:hint="eastAsia" w:hAnsi="宋体"/>
                      <w:sz w:val="18"/>
                      <w:szCs w:val="18"/>
                    </w:rPr>
                    <w:t xml:space="preserve">900-041-49 </w:t>
                  </w:r>
                </w:p>
              </w:tc>
              <w:tc>
                <w:tcPr>
                  <w:tcW w:w="394" w:type="pct"/>
                  <w:tcBorders>
                    <w:top w:val="single" w:color="auto" w:sz="4" w:space="0"/>
                    <w:left w:val="single" w:color="auto" w:sz="4" w:space="0"/>
                    <w:bottom w:val="single" w:color="auto" w:sz="4" w:space="0"/>
                    <w:right w:val="single" w:color="auto" w:sz="4" w:space="0"/>
                  </w:tcBorders>
                  <w:vAlign w:val="center"/>
                </w:tcPr>
                <w:p w14:paraId="3C305E7D">
                  <w:pPr>
                    <w:pStyle w:val="87"/>
                    <w:rPr>
                      <w:rFonts w:hint="eastAsia" w:hAnsi="宋体"/>
                      <w:sz w:val="18"/>
                      <w:szCs w:val="18"/>
                    </w:rPr>
                  </w:pPr>
                  <w:r>
                    <w:rPr>
                      <w:rFonts w:hint="eastAsia" w:hAnsi="宋体"/>
                      <w:sz w:val="18"/>
                      <w:szCs w:val="18"/>
                    </w:rPr>
                    <w:t>T，I</w:t>
                  </w:r>
                </w:p>
              </w:tc>
            </w:tr>
            <w:tr w14:paraId="2460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vMerge w:val="restart"/>
                  <w:tcBorders>
                    <w:top w:val="single" w:color="auto" w:sz="4" w:space="0"/>
                    <w:left w:val="single" w:color="auto" w:sz="4" w:space="0"/>
                    <w:right w:val="single" w:color="auto" w:sz="4" w:space="0"/>
                  </w:tcBorders>
                  <w:vAlign w:val="center"/>
                </w:tcPr>
                <w:p w14:paraId="3D52ABD7">
                  <w:pPr>
                    <w:pStyle w:val="87"/>
                    <w:rPr>
                      <w:rFonts w:hint="eastAsia" w:hAnsi="宋体"/>
                      <w:sz w:val="18"/>
                      <w:szCs w:val="18"/>
                    </w:rPr>
                  </w:pPr>
                  <w:r>
                    <w:rPr>
                      <w:rFonts w:hint="eastAsia" w:hAnsi="宋体"/>
                      <w:sz w:val="18"/>
                      <w:szCs w:val="18"/>
                    </w:rPr>
                    <w:t>废弃包装物</w:t>
                  </w:r>
                </w:p>
              </w:tc>
              <w:tc>
                <w:tcPr>
                  <w:tcW w:w="731" w:type="dxa"/>
                  <w:tcBorders>
                    <w:top w:val="single" w:color="auto" w:sz="4" w:space="0"/>
                    <w:left w:val="single" w:color="auto" w:sz="4" w:space="0"/>
                    <w:bottom w:val="single" w:color="auto" w:sz="4" w:space="0"/>
                    <w:right w:val="single" w:color="auto" w:sz="4" w:space="0"/>
                  </w:tcBorders>
                  <w:vAlign w:val="center"/>
                </w:tcPr>
                <w:p w14:paraId="27971EF7">
                  <w:pPr>
                    <w:pStyle w:val="87"/>
                    <w:rPr>
                      <w:rFonts w:hint="eastAsia" w:hAnsi="宋体"/>
                      <w:sz w:val="18"/>
                      <w:szCs w:val="18"/>
                    </w:rPr>
                  </w:pPr>
                  <w:r>
                    <w:rPr>
                      <w:rFonts w:hint="eastAsia" w:hAnsi="宋体"/>
                      <w:sz w:val="18"/>
                      <w:szCs w:val="18"/>
                    </w:rPr>
                    <w:t>0.2t</w:t>
                  </w:r>
                </w:p>
              </w:tc>
              <w:tc>
                <w:tcPr>
                  <w:tcW w:w="636" w:type="dxa"/>
                  <w:vMerge w:val="restart"/>
                  <w:tcBorders>
                    <w:top w:val="single" w:color="auto" w:sz="4" w:space="0"/>
                    <w:left w:val="single" w:color="auto" w:sz="4" w:space="0"/>
                    <w:bottom w:val="single" w:color="auto" w:sz="4" w:space="0"/>
                    <w:right w:val="single" w:color="auto" w:sz="4" w:space="0"/>
                  </w:tcBorders>
                  <w:vAlign w:val="center"/>
                </w:tcPr>
                <w:p w14:paraId="6B8BA49F">
                  <w:pPr>
                    <w:pStyle w:val="87"/>
                    <w:rPr>
                      <w:rFonts w:hint="eastAsia" w:hAnsi="宋体"/>
                      <w:sz w:val="18"/>
                      <w:szCs w:val="18"/>
                    </w:rPr>
                  </w:pPr>
                  <w:r>
                    <w:rPr>
                      <w:rFonts w:hint="eastAsia" w:hAnsi="宋体"/>
                      <w:sz w:val="18"/>
                      <w:szCs w:val="18"/>
                    </w:rPr>
                    <w:t>废包装材料</w:t>
                  </w:r>
                </w:p>
              </w:tc>
              <w:tc>
                <w:tcPr>
                  <w:tcW w:w="1670" w:type="dxa"/>
                  <w:tcBorders>
                    <w:top w:val="single" w:color="auto" w:sz="4" w:space="0"/>
                    <w:left w:val="single" w:color="auto" w:sz="4" w:space="0"/>
                    <w:bottom w:val="single" w:color="auto" w:sz="4" w:space="0"/>
                    <w:right w:val="single" w:color="auto" w:sz="4" w:space="0"/>
                  </w:tcBorders>
                  <w:vAlign w:val="center"/>
                </w:tcPr>
                <w:p w14:paraId="67375F1F">
                  <w:pPr>
                    <w:pStyle w:val="87"/>
                    <w:rPr>
                      <w:rFonts w:hint="eastAsia" w:hAnsi="宋体"/>
                      <w:sz w:val="18"/>
                      <w:szCs w:val="18"/>
                    </w:rPr>
                  </w:pPr>
                  <w:r>
                    <w:rPr>
                      <w:rFonts w:hint="eastAsia" w:hAnsi="宋体"/>
                      <w:sz w:val="18"/>
                      <w:szCs w:val="18"/>
                    </w:rPr>
                    <w:t>委托有相应危废处理资质的单位进行安全处置</w:t>
                  </w:r>
                </w:p>
              </w:tc>
              <w:tc>
                <w:tcPr>
                  <w:tcW w:w="833" w:type="dxa"/>
                  <w:vMerge w:val="restart"/>
                  <w:tcBorders>
                    <w:top w:val="single" w:color="auto" w:sz="4" w:space="0"/>
                    <w:left w:val="single" w:color="auto" w:sz="4" w:space="0"/>
                    <w:bottom w:val="single" w:color="auto" w:sz="4" w:space="0"/>
                    <w:right w:val="single" w:color="auto" w:sz="4" w:space="0"/>
                  </w:tcBorders>
                  <w:vAlign w:val="center"/>
                </w:tcPr>
                <w:p w14:paraId="52490FBD">
                  <w:pPr>
                    <w:pStyle w:val="87"/>
                    <w:rPr>
                      <w:rFonts w:hint="eastAsia" w:hAnsi="宋体"/>
                      <w:sz w:val="18"/>
                      <w:szCs w:val="18"/>
                    </w:rPr>
                  </w:pPr>
                  <w:r>
                    <w:rPr>
                      <w:rFonts w:hint="eastAsia" w:hAnsi="宋体"/>
                      <w:sz w:val="18"/>
                      <w:szCs w:val="18"/>
                    </w:rPr>
                    <w:t>0</w:t>
                  </w:r>
                </w:p>
              </w:tc>
              <w:tc>
                <w:tcPr>
                  <w:tcW w:w="1112" w:type="dxa"/>
                  <w:tcBorders>
                    <w:top w:val="single" w:color="auto" w:sz="4" w:space="0"/>
                    <w:left w:val="single" w:color="auto" w:sz="4" w:space="0"/>
                    <w:bottom w:val="single" w:color="auto" w:sz="4" w:space="0"/>
                    <w:right w:val="single" w:color="auto" w:sz="4" w:space="0"/>
                  </w:tcBorders>
                  <w:vAlign w:val="center"/>
                </w:tcPr>
                <w:p w14:paraId="57ED9994">
                  <w:pPr>
                    <w:pStyle w:val="87"/>
                    <w:rPr>
                      <w:rFonts w:hint="eastAsia" w:hAnsi="宋体"/>
                      <w:sz w:val="18"/>
                      <w:szCs w:val="18"/>
                    </w:rPr>
                  </w:pPr>
                  <w:r>
                    <w:rPr>
                      <w:rFonts w:hint="eastAsia" w:hAnsi="宋体"/>
                      <w:sz w:val="18"/>
                      <w:szCs w:val="18"/>
                    </w:rPr>
                    <w:t>HW49其他废物</w:t>
                  </w:r>
                </w:p>
              </w:tc>
              <w:tc>
                <w:tcPr>
                  <w:tcW w:w="1534" w:type="dxa"/>
                  <w:tcBorders>
                    <w:top w:val="single" w:color="auto" w:sz="4" w:space="0"/>
                    <w:left w:val="single" w:color="auto" w:sz="4" w:space="0"/>
                    <w:bottom w:val="single" w:color="auto" w:sz="4" w:space="0"/>
                    <w:right w:val="single" w:color="auto" w:sz="4" w:space="0"/>
                  </w:tcBorders>
                  <w:vAlign w:val="center"/>
                </w:tcPr>
                <w:p w14:paraId="5129AD63">
                  <w:pPr>
                    <w:pStyle w:val="87"/>
                    <w:rPr>
                      <w:rFonts w:hint="eastAsia" w:hAnsi="宋体"/>
                      <w:sz w:val="18"/>
                      <w:szCs w:val="18"/>
                    </w:rPr>
                  </w:pPr>
                  <w:r>
                    <w:rPr>
                      <w:rFonts w:hint="eastAsia" w:hAnsi="宋体"/>
                      <w:sz w:val="18"/>
                      <w:szCs w:val="18"/>
                    </w:rPr>
                    <w:t xml:space="preserve">900-041-49 </w:t>
                  </w:r>
                </w:p>
              </w:tc>
              <w:tc>
                <w:tcPr>
                  <w:tcW w:w="615" w:type="dxa"/>
                  <w:tcBorders>
                    <w:top w:val="single" w:color="auto" w:sz="4" w:space="0"/>
                    <w:left w:val="single" w:color="auto" w:sz="4" w:space="0"/>
                    <w:bottom w:val="single" w:color="auto" w:sz="4" w:space="0"/>
                    <w:right w:val="single" w:color="auto" w:sz="4" w:space="0"/>
                  </w:tcBorders>
                  <w:vAlign w:val="center"/>
                </w:tcPr>
                <w:p w14:paraId="46ED9B03">
                  <w:pPr>
                    <w:pStyle w:val="87"/>
                    <w:rPr>
                      <w:rFonts w:hint="eastAsia" w:hAnsi="宋体"/>
                      <w:sz w:val="18"/>
                      <w:szCs w:val="18"/>
                    </w:rPr>
                  </w:pPr>
                  <w:r>
                    <w:rPr>
                      <w:rFonts w:hint="eastAsia" w:hAnsi="宋体"/>
                      <w:sz w:val="18"/>
                      <w:szCs w:val="18"/>
                    </w:rPr>
                    <w:t>T，I</w:t>
                  </w:r>
                </w:p>
              </w:tc>
            </w:tr>
            <w:tr w14:paraId="1EF9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1" w:type="dxa"/>
                  <w:vMerge w:val="continue"/>
                  <w:tcBorders>
                    <w:left w:val="single" w:color="auto" w:sz="4" w:space="0"/>
                    <w:bottom w:val="single" w:color="auto" w:sz="4" w:space="0"/>
                    <w:right w:val="single" w:color="auto" w:sz="4" w:space="0"/>
                  </w:tcBorders>
                  <w:vAlign w:val="center"/>
                </w:tcPr>
                <w:p w14:paraId="28DD900D">
                  <w:pPr>
                    <w:widowControl/>
                    <w:jc w:val="left"/>
                    <w:rPr>
                      <w:rFonts w:hint="eastAsia" w:hAnsi="宋体"/>
                      <w:sz w:val="18"/>
                      <w:szCs w:val="18"/>
                    </w:rPr>
                  </w:pPr>
                </w:p>
              </w:tc>
              <w:tc>
                <w:tcPr>
                  <w:tcW w:w="731" w:type="dxa"/>
                  <w:tcBorders>
                    <w:top w:val="single" w:color="auto" w:sz="4" w:space="0"/>
                    <w:left w:val="single" w:color="auto" w:sz="4" w:space="0"/>
                    <w:bottom w:val="single" w:color="auto" w:sz="4" w:space="0"/>
                    <w:right w:val="single" w:color="auto" w:sz="4" w:space="0"/>
                  </w:tcBorders>
                  <w:vAlign w:val="center"/>
                </w:tcPr>
                <w:p w14:paraId="56EBF8E5">
                  <w:pPr>
                    <w:pStyle w:val="87"/>
                    <w:rPr>
                      <w:rFonts w:hint="eastAsia" w:hAnsi="宋体"/>
                      <w:sz w:val="18"/>
                      <w:szCs w:val="18"/>
                    </w:rPr>
                  </w:pPr>
                  <w:r>
                    <w:rPr>
                      <w:rFonts w:hint="eastAsia" w:hAnsi="宋体"/>
                      <w:sz w:val="18"/>
                      <w:szCs w:val="18"/>
                    </w:rPr>
                    <w:t>1.5t</w:t>
                  </w: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5B84F8B">
                  <w:pPr>
                    <w:widowControl/>
                    <w:jc w:val="left"/>
                    <w:rPr>
                      <w:rFonts w:hint="eastAsia" w:hAnsi="宋体"/>
                      <w:sz w:val="18"/>
                      <w:szCs w:val="18"/>
                    </w:rPr>
                  </w:pPr>
                </w:p>
              </w:tc>
              <w:tc>
                <w:tcPr>
                  <w:tcW w:w="1670" w:type="dxa"/>
                  <w:tcBorders>
                    <w:top w:val="single" w:color="auto" w:sz="4" w:space="0"/>
                    <w:left w:val="single" w:color="auto" w:sz="4" w:space="0"/>
                    <w:bottom w:val="single" w:color="auto" w:sz="4" w:space="0"/>
                    <w:right w:val="single" w:color="auto" w:sz="4" w:space="0"/>
                  </w:tcBorders>
                  <w:vAlign w:val="center"/>
                </w:tcPr>
                <w:p w14:paraId="7AD065FA">
                  <w:pPr>
                    <w:pStyle w:val="87"/>
                    <w:rPr>
                      <w:rFonts w:hint="eastAsia" w:hAnsi="宋体"/>
                      <w:sz w:val="18"/>
                      <w:szCs w:val="18"/>
                    </w:rPr>
                  </w:pPr>
                  <w:r>
                    <w:rPr>
                      <w:rFonts w:hint="eastAsia" w:hAnsi="宋体"/>
                      <w:sz w:val="18"/>
                      <w:szCs w:val="18"/>
                    </w:rPr>
                    <w:t>委托供货厂家回收利用</w:t>
                  </w:r>
                </w:p>
              </w:tc>
              <w:tc>
                <w:tcPr>
                  <w:tcW w:w="833" w:type="dxa"/>
                  <w:vMerge w:val="continue"/>
                  <w:tcBorders>
                    <w:top w:val="single" w:color="auto" w:sz="4" w:space="0"/>
                    <w:left w:val="single" w:color="auto" w:sz="4" w:space="0"/>
                    <w:bottom w:val="single" w:color="auto" w:sz="4" w:space="0"/>
                    <w:right w:val="single" w:color="auto" w:sz="4" w:space="0"/>
                  </w:tcBorders>
                  <w:vAlign w:val="center"/>
                </w:tcPr>
                <w:p w14:paraId="27E529E6">
                  <w:pPr>
                    <w:widowControl/>
                    <w:jc w:val="left"/>
                    <w:rPr>
                      <w:rFonts w:hint="eastAsia" w:hAnsi="宋体"/>
                      <w:sz w:val="18"/>
                      <w:szCs w:val="18"/>
                    </w:rPr>
                  </w:pPr>
                </w:p>
              </w:tc>
              <w:tc>
                <w:tcPr>
                  <w:tcW w:w="1112" w:type="dxa"/>
                  <w:tcBorders>
                    <w:top w:val="single" w:color="auto" w:sz="4" w:space="0"/>
                    <w:left w:val="single" w:color="auto" w:sz="4" w:space="0"/>
                    <w:bottom w:val="single" w:color="auto" w:sz="4" w:space="0"/>
                    <w:right w:val="single" w:color="auto" w:sz="4" w:space="0"/>
                  </w:tcBorders>
                  <w:vAlign w:val="center"/>
                </w:tcPr>
                <w:p w14:paraId="1D851C9F">
                  <w:pPr>
                    <w:pStyle w:val="87"/>
                    <w:rPr>
                      <w:rFonts w:hint="eastAsia" w:hAnsi="宋体"/>
                      <w:sz w:val="18"/>
                      <w:szCs w:val="18"/>
                    </w:rPr>
                  </w:pPr>
                  <w:r>
                    <w:rPr>
                      <w:rFonts w:hint="eastAsia" w:hAnsi="宋体"/>
                      <w:sz w:val="18"/>
                      <w:szCs w:val="18"/>
                    </w:rPr>
                    <w:t>/</w:t>
                  </w:r>
                </w:p>
              </w:tc>
              <w:tc>
                <w:tcPr>
                  <w:tcW w:w="1534" w:type="dxa"/>
                  <w:tcBorders>
                    <w:top w:val="single" w:color="auto" w:sz="4" w:space="0"/>
                    <w:left w:val="single" w:color="auto" w:sz="4" w:space="0"/>
                    <w:bottom w:val="single" w:color="auto" w:sz="4" w:space="0"/>
                    <w:right w:val="single" w:color="auto" w:sz="4" w:space="0"/>
                  </w:tcBorders>
                  <w:vAlign w:val="center"/>
                </w:tcPr>
                <w:p w14:paraId="16A7BEDB">
                  <w:pPr>
                    <w:pStyle w:val="87"/>
                    <w:rPr>
                      <w:rFonts w:hint="eastAsia" w:hAnsi="宋体"/>
                      <w:sz w:val="18"/>
                      <w:szCs w:val="18"/>
                    </w:rPr>
                  </w:pPr>
                  <w:r>
                    <w:rPr>
                      <w:rFonts w:hint="eastAsia" w:hAnsi="宋体"/>
                      <w:sz w:val="18"/>
                      <w:szCs w:val="18"/>
                    </w:rPr>
                    <w:t>900-003-S17</w:t>
                  </w:r>
                </w:p>
              </w:tc>
              <w:tc>
                <w:tcPr>
                  <w:tcW w:w="615" w:type="dxa"/>
                  <w:tcBorders>
                    <w:top w:val="single" w:color="auto" w:sz="4" w:space="0"/>
                    <w:left w:val="single" w:color="auto" w:sz="4" w:space="0"/>
                    <w:bottom w:val="single" w:color="auto" w:sz="4" w:space="0"/>
                    <w:right w:val="single" w:color="auto" w:sz="4" w:space="0"/>
                  </w:tcBorders>
                  <w:vAlign w:val="center"/>
                </w:tcPr>
                <w:p w14:paraId="3C5188C9">
                  <w:pPr>
                    <w:pStyle w:val="87"/>
                    <w:rPr>
                      <w:rFonts w:hint="eastAsia" w:hAnsi="宋体"/>
                      <w:sz w:val="18"/>
                      <w:szCs w:val="18"/>
                    </w:rPr>
                  </w:pPr>
                  <w:r>
                    <w:rPr>
                      <w:rFonts w:hint="eastAsia" w:hAnsi="宋体"/>
                      <w:sz w:val="18"/>
                      <w:szCs w:val="18"/>
                    </w:rPr>
                    <w:t>/</w:t>
                  </w:r>
                </w:p>
              </w:tc>
            </w:tr>
            <w:tr w14:paraId="6562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61F6F338">
                  <w:pPr>
                    <w:pStyle w:val="87"/>
                    <w:rPr>
                      <w:rFonts w:hint="eastAsia" w:hAnsi="宋体"/>
                      <w:sz w:val="18"/>
                      <w:szCs w:val="18"/>
                    </w:rPr>
                  </w:pPr>
                  <w:r>
                    <w:rPr>
                      <w:rFonts w:hAnsi="宋体"/>
                      <w:sz w:val="18"/>
                      <w:szCs w:val="18"/>
                    </w:rPr>
                    <w:t>废弃的含油抹布、劳保用品</w:t>
                  </w:r>
                </w:p>
              </w:tc>
              <w:tc>
                <w:tcPr>
                  <w:tcW w:w="469" w:type="pct"/>
                  <w:tcBorders>
                    <w:top w:val="single" w:color="auto" w:sz="4" w:space="0"/>
                    <w:left w:val="single" w:color="auto" w:sz="4" w:space="0"/>
                    <w:bottom w:val="single" w:color="auto" w:sz="4" w:space="0"/>
                    <w:right w:val="single" w:color="auto" w:sz="4" w:space="0"/>
                  </w:tcBorders>
                  <w:vAlign w:val="center"/>
                </w:tcPr>
                <w:p w14:paraId="59DD94B1">
                  <w:pPr>
                    <w:pStyle w:val="87"/>
                    <w:rPr>
                      <w:rFonts w:hint="eastAsia" w:hAnsi="宋体"/>
                      <w:sz w:val="18"/>
                      <w:szCs w:val="18"/>
                    </w:rPr>
                  </w:pPr>
                  <w:r>
                    <w:rPr>
                      <w:rFonts w:hint="eastAsia" w:hAnsi="宋体"/>
                      <w:sz w:val="18"/>
                      <w:szCs w:val="18"/>
                    </w:rPr>
                    <w:t>0</w:t>
                  </w:r>
                  <w:r>
                    <w:rPr>
                      <w:rFonts w:hAnsi="宋体"/>
                      <w:sz w:val="18"/>
                      <w:szCs w:val="18"/>
                    </w:rPr>
                    <w:t>.</w:t>
                  </w:r>
                  <w:r>
                    <w:rPr>
                      <w:rFonts w:hint="eastAsia" w:hAnsi="宋体"/>
                      <w:sz w:val="18"/>
                      <w:szCs w:val="18"/>
                    </w:rPr>
                    <w:t>0</w:t>
                  </w:r>
                  <w:r>
                    <w:rPr>
                      <w:rFonts w:hAnsi="宋体"/>
                      <w:sz w:val="18"/>
                      <w:szCs w:val="18"/>
                    </w:rPr>
                    <w:t>1</w:t>
                  </w:r>
                  <w:r>
                    <w:rPr>
                      <w:rFonts w:hint="eastAsia" w:hAnsi="宋体"/>
                      <w:sz w:val="18"/>
                      <w:szCs w:val="18"/>
                    </w:rPr>
                    <w:t>t</w:t>
                  </w:r>
                </w:p>
              </w:tc>
              <w:tc>
                <w:tcPr>
                  <w:tcW w:w="408" w:type="pct"/>
                  <w:tcBorders>
                    <w:top w:val="single" w:color="auto" w:sz="4" w:space="0"/>
                    <w:left w:val="single" w:color="auto" w:sz="4" w:space="0"/>
                    <w:bottom w:val="single" w:color="auto" w:sz="4" w:space="0"/>
                    <w:right w:val="single" w:color="auto" w:sz="4" w:space="0"/>
                  </w:tcBorders>
                  <w:vAlign w:val="center"/>
                </w:tcPr>
                <w:p w14:paraId="249E32FA">
                  <w:pPr>
                    <w:pStyle w:val="87"/>
                    <w:rPr>
                      <w:rFonts w:hint="eastAsia" w:hAnsi="宋体"/>
                      <w:sz w:val="18"/>
                      <w:szCs w:val="18"/>
                    </w:rPr>
                  </w:pPr>
                  <w:r>
                    <w:rPr>
                      <w:rFonts w:hint="eastAsia" w:hAnsi="宋体"/>
                      <w:sz w:val="18"/>
                      <w:szCs w:val="18"/>
                    </w:rPr>
                    <w:t>矿物油、手套、抹布</w:t>
                  </w:r>
                </w:p>
              </w:tc>
              <w:tc>
                <w:tcPr>
                  <w:tcW w:w="1071" w:type="pct"/>
                  <w:tcBorders>
                    <w:top w:val="single" w:color="auto" w:sz="4" w:space="0"/>
                    <w:left w:val="single" w:color="auto" w:sz="4" w:space="0"/>
                    <w:bottom w:val="single" w:color="auto" w:sz="4" w:space="0"/>
                    <w:right w:val="single" w:color="auto" w:sz="4" w:space="0"/>
                  </w:tcBorders>
                  <w:vAlign w:val="center"/>
                </w:tcPr>
                <w:p w14:paraId="64167124">
                  <w:pPr>
                    <w:pStyle w:val="87"/>
                    <w:rPr>
                      <w:rFonts w:hint="eastAsia" w:hAnsi="宋体"/>
                      <w:sz w:val="18"/>
                      <w:szCs w:val="18"/>
                    </w:rPr>
                  </w:pPr>
                  <w:r>
                    <w:rPr>
                      <w:rFonts w:hint="eastAsia" w:hAnsi="宋体"/>
                      <w:sz w:val="18"/>
                      <w:szCs w:val="18"/>
                    </w:rPr>
                    <w:t>委托有相应危废处理资质的单位进行安全处置</w:t>
                  </w:r>
                </w:p>
              </w:tc>
              <w:tc>
                <w:tcPr>
                  <w:tcW w:w="534" w:type="pct"/>
                  <w:tcBorders>
                    <w:top w:val="single" w:color="auto" w:sz="4" w:space="0"/>
                    <w:left w:val="single" w:color="auto" w:sz="4" w:space="0"/>
                    <w:bottom w:val="single" w:color="auto" w:sz="4" w:space="0"/>
                    <w:right w:val="single" w:color="auto" w:sz="4" w:space="0"/>
                  </w:tcBorders>
                  <w:vAlign w:val="center"/>
                </w:tcPr>
                <w:p w14:paraId="4BFF677E">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20321874">
                  <w:pPr>
                    <w:pStyle w:val="87"/>
                    <w:rPr>
                      <w:rFonts w:hint="eastAsia" w:hAnsi="宋体"/>
                      <w:sz w:val="18"/>
                      <w:szCs w:val="18"/>
                    </w:rPr>
                  </w:pPr>
                  <w:r>
                    <w:rPr>
                      <w:rFonts w:hint="eastAsia" w:hAnsi="宋体"/>
                      <w:sz w:val="18"/>
                      <w:szCs w:val="18"/>
                    </w:rPr>
                    <w:t>HW49其他废物</w:t>
                  </w:r>
                </w:p>
              </w:tc>
              <w:tc>
                <w:tcPr>
                  <w:tcW w:w="984" w:type="pct"/>
                  <w:tcBorders>
                    <w:top w:val="single" w:color="auto" w:sz="4" w:space="0"/>
                    <w:left w:val="single" w:color="auto" w:sz="4" w:space="0"/>
                    <w:bottom w:val="single" w:color="auto" w:sz="4" w:space="0"/>
                    <w:right w:val="single" w:color="auto" w:sz="4" w:space="0"/>
                  </w:tcBorders>
                  <w:vAlign w:val="center"/>
                </w:tcPr>
                <w:p w14:paraId="3CE0DF26">
                  <w:pPr>
                    <w:pStyle w:val="87"/>
                    <w:rPr>
                      <w:rFonts w:hint="eastAsia" w:hAnsi="宋体"/>
                      <w:sz w:val="18"/>
                      <w:szCs w:val="18"/>
                    </w:rPr>
                  </w:pPr>
                  <w:r>
                    <w:rPr>
                      <w:rFonts w:hint="eastAsia" w:hAnsi="宋体"/>
                      <w:sz w:val="18"/>
                      <w:szCs w:val="18"/>
                    </w:rPr>
                    <w:t>900-041-49含有或沾染毒性、感染性危险废物的废弃包装物、容器、过滤吸附介质</w:t>
                  </w:r>
                </w:p>
              </w:tc>
              <w:tc>
                <w:tcPr>
                  <w:tcW w:w="394" w:type="pct"/>
                  <w:tcBorders>
                    <w:top w:val="single" w:color="auto" w:sz="4" w:space="0"/>
                    <w:left w:val="single" w:color="auto" w:sz="4" w:space="0"/>
                    <w:bottom w:val="single" w:color="auto" w:sz="4" w:space="0"/>
                    <w:right w:val="single" w:color="auto" w:sz="4" w:space="0"/>
                  </w:tcBorders>
                  <w:vAlign w:val="center"/>
                </w:tcPr>
                <w:p w14:paraId="19DD99D0">
                  <w:pPr>
                    <w:pStyle w:val="87"/>
                    <w:rPr>
                      <w:rFonts w:hint="eastAsia" w:hAnsi="宋体"/>
                      <w:sz w:val="18"/>
                      <w:szCs w:val="18"/>
                    </w:rPr>
                  </w:pPr>
                  <w:r>
                    <w:rPr>
                      <w:rFonts w:hint="eastAsia" w:hAnsi="宋体"/>
                      <w:sz w:val="18"/>
                      <w:szCs w:val="18"/>
                    </w:rPr>
                    <w:t>T</w:t>
                  </w:r>
                </w:p>
              </w:tc>
            </w:tr>
            <w:tr w14:paraId="3C78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0C2FFF23">
                  <w:pPr>
                    <w:pStyle w:val="87"/>
                    <w:rPr>
                      <w:rFonts w:hint="eastAsia" w:hAnsi="宋体"/>
                      <w:sz w:val="18"/>
                      <w:szCs w:val="18"/>
                    </w:rPr>
                  </w:pPr>
                  <w:r>
                    <w:rPr>
                      <w:rFonts w:hint="eastAsia" w:hAnsi="宋体"/>
                      <w:sz w:val="18"/>
                      <w:szCs w:val="18"/>
                    </w:rPr>
                    <w:t>锅炉炉渣</w:t>
                  </w:r>
                </w:p>
              </w:tc>
              <w:tc>
                <w:tcPr>
                  <w:tcW w:w="469" w:type="pct"/>
                  <w:tcBorders>
                    <w:top w:val="single" w:color="auto" w:sz="4" w:space="0"/>
                    <w:left w:val="single" w:color="auto" w:sz="4" w:space="0"/>
                    <w:bottom w:val="single" w:color="auto" w:sz="4" w:space="0"/>
                    <w:right w:val="single" w:color="auto" w:sz="4" w:space="0"/>
                  </w:tcBorders>
                  <w:vAlign w:val="center"/>
                </w:tcPr>
                <w:p w14:paraId="285B9B09">
                  <w:pPr>
                    <w:pStyle w:val="87"/>
                    <w:rPr>
                      <w:rFonts w:hint="eastAsia" w:hAnsi="宋体"/>
                      <w:sz w:val="18"/>
                      <w:szCs w:val="18"/>
                    </w:rPr>
                  </w:pPr>
                  <w:r>
                    <w:rPr>
                      <w:rFonts w:hint="eastAsia" w:hAnsi="宋体"/>
                      <w:sz w:val="18"/>
                      <w:szCs w:val="18"/>
                    </w:rPr>
                    <w:t>18.0t</w:t>
                  </w:r>
                </w:p>
              </w:tc>
              <w:tc>
                <w:tcPr>
                  <w:tcW w:w="408" w:type="pct"/>
                  <w:tcBorders>
                    <w:top w:val="single" w:color="auto" w:sz="4" w:space="0"/>
                    <w:left w:val="single" w:color="auto" w:sz="4" w:space="0"/>
                    <w:bottom w:val="single" w:color="auto" w:sz="4" w:space="0"/>
                    <w:right w:val="single" w:color="auto" w:sz="4" w:space="0"/>
                  </w:tcBorders>
                  <w:vAlign w:val="center"/>
                </w:tcPr>
                <w:p w14:paraId="5D578062">
                  <w:pPr>
                    <w:pStyle w:val="87"/>
                    <w:rPr>
                      <w:rFonts w:hint="eastAsia" w:hAnsi="宋体"/>
                      <w:sz w:val="18"/>
                      <w:szCs w:val="18"/>
                    </w:rPr>
                  </w:pPr>
                  <w:r>
                    <w:rPr>
                      <w:rFonts w:hint="eastAsia" w:hAnsi="宋体"/>
                      <w:sz w:val="18"/>
                      <w:szCs w:val="18"/>
                    </w:rPr>
                    <w:t>炉渣</w:t>
                  </w:r>
                </w:p>
              </w:tc>
              <w:tc>
                <w:tcPr>
                  <w:tcW w:w="1071" w:type="pct"/>
                  <w:tcBorders>
                    <w:top w:val="single" w:color="auto" w:sz="4" w:space="0"/>
                    <w:left w:val="single" w:color="auto" w:sz="4" w:space="0"/>
                    <w:bottom w:val="single" w:color="auto" w:sz="4" w:space="0"/>
                    <w:right w:val="single" w:color="auto" w:sz="4" w:space="0"/>
                  </w:tcBorders>
                  <w:vAlign w:val="center"/>
                </w:tcPr>
                <w:p w14:paraId="00E520D3">
                  <w:pPr>
                    <w:pStyle w:val="87"/>
                    <w:rPr>
                      <w:rFonts w:hint="eastAsia" w:hAnsi="宋体"/>
                      <w:sz w:val="18"/>
                      <w:szCs w:val="18"/>
                    </w:rPr>
                  </w:pPr>
                  <w:r>
                    <w:rPr>
                      <w:rFonts w:hint="eastAsia" w:hAnsi="宋体"/>
                      <w:sz w:val="18"/>
                      <w:szCs w:val="18"/>
                    </w:rPr>
                    <w:t>外售给有相关需求的厂家</w:t>
                  </w:r>
                </w:p>
              </w:tc>
              <w:tc>
                <w:tcPr>
                  <w:tcW w:w="534" w:type="pct"/>
                  <w:tcBorders>
                    <w:top w:val="single" w:color="auto" w:sz="4" w:space="0"/>
                    <w:left w:val="single" w:color="auto" w:sz="4" w:space="0"/>
                    <w:bottom w:val="single" w:color="auto" w:sz="4" w:space="0"/>
                    <w:right w:val="single" w:color="auto" w:sz="4" w:space="0"/>
                  </w:tcBorders>
                  <w:vAlign w:val="center"/>
                </w:tcPr>
                <w:p w14:paraId="7128DD5F">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47C1717C">
                  <w:pPr>
                    <w:pStyle w:val="87"/>
                    <w:rPr>
                      <w:rFonts w:hint="eastAsia" w:hAnsi="宋体"/>
                      <w:sz w:val="18"/>
                      <w:szCs w:val="18"/>
                    </w:rPr>
                  </w:pPr>
                  <w:r>
                    <w:rPr>
                      <w:rFonts w:hint="eastAsia" w:hAnsi="宋体"/>
                      <w:sz w:val="18"/>
                      <w:szCs w:val="18"/>
                    </w:rPr>
                    <w:t>/</w:t>
                  </w:r>
                </w:p>
              </w:tc>
              <w:tc>
                <w:tcPr>
                  <w:tcW w:w="984" w:type="pct"/>
                  <w:tcBorders>
                    <w:top w:val="single" w:color="auto" w:sz="4" w:space="0"/>
                    <w:left w:val="single" w:color="auto" w:sz="4" w:space="0"/>
                    <w:bottom w:val="single" w:color="auto" w:sz="4" w:space="0"/>
                    <w:right w:val="single" w:color="auto" w:sz="4" w:space="0"/>
                  </w:tcBorders>
                  <w:vAlign w:val="center"/>
                </w:tcPr>
                <w:p w14:paraId="632B7DAF">
                  <w:pPr>
                    <w:pStyle w:val="87"/>
                    <w:rPr>
                      <w:rFonts w:hint="eastAsia" w:hAnsi="宋体"/>
                      <w:sz w:val="18"/>
                      <w:szCs w:val="18"/>
                    </w:rPr>
                  </w:pPr>
                  <w:r>
                    <w:rPr>
                      <w:rFonts w:hint="eastAsia" w:hAnsi="宋体"/>
                      <w:sz w:val="18"/>
                      <w:szCs w:val="18"/>
                    </w:rPr>
                    <w:t>非特定行业生产</w:t>
                  </w:r>
                </w:p>
                <w:p w14:paraId="16818209">
                  <w:pPr>
                    <w:pStyle w:val="87"/>
                    <w:rPr>
                      <w:rFonts w:hint="eastAsia" w:hAnsi="宋体"/>
                      <w:sz w:val="18"/>
                      <w:szCs w:val="18"/>
                    </w:rPr>
                  </w:pPr>
                  <w:r>
                    <w:rPr>
                      <w:rFonts w:hint="eastAsia" w:hAnsi="宋体"/>
                      <w:sz w:val="18"/>
                      <w:szCs w:val="18"/>
                    </w:rPr>
                    <w:t>过程中产生的锅</w:t>
                  </w:r>
                </w:p>
                <w:p w14:paraId="0166567C">
                  <w:pPr>
                    <w:pStyle w:val="87"/>
                    <w:rPr>
                      <w:rFonts w:hint="eastAsia" w:hAnsi="宋体"/>
                      <w:sz w:val="18"/>
                      <w:szCs w:val="18"/>
                    </w:rPr>
                  </w:pPr>
                  <w:r>
                    <w:rPr>
                      <w:rFonts w:hint="eastAsia" w:hAnsi="宋体"/>
                      <w:sz w:val="18"/>
                      <w:szCs w:val="18"/>
                    </w:rPr>
                    <w:t>炉渣</w:t>
                  </w:r>
                </w:p>
                <w:p w14:paraId="4E1083E6">
                  <w:pPr>
                    <w:pStyle w:val="87"/>
                    <w:rPr>
                      <w:rFonts w:hint="eastAsia" w:hAnsi="宋体"/>
                      <w:sz w:val="18"/>
                      <w:szCs w:val="18"/>
                    </w:rPr>
                  </w:pPr>
                  <w:r>
                    <w:rPr>
                      <w:rFonts w:hint="eastAsia" w:hAnsi="宋体"/>
                      <w:sz w:val="18"/>
                      <w:szCs w:val="18"/>
                    </w:rPr>
                    <w:t>900-999-64</w:t>
                  </w:r>
                </w:p>
              </w:tc>
              <w:tc>
                <w:tcPr>
                  <w:tcW w:w="394" w:type="pct"/>
                  <w:tcBorders>
                    <w:top w:val="single" w:color="auto" w:sz="4" w:space="0"/>
                    <w:left w:val="single" w:color="auto" w:sz="4" w:space="0"/>
                    <w:bottom w:val="single" w:color="auto" w:sz="4" w:space="0"/>
                    <w:right w:val="single" w:color="auto" w:sz="4" w:space="0"/>
                  </w:tcBorders>
                  <w:vAlign w:val="center"/>
                </w:tcPr>
                <w:p w14:paraId="6AA0F8E0">
                  <w:pPr>
                    <w:pStyle w:val="87"/>
                    <w:rPr>
                      <w:rFonts w:hint="eastAsia" w:hAnsi="宋体"/>
                      <w:sz w:val="18"/>
                      <w:szCs w:val="18"/>
                    </w:rPr>
                  </w:pPr>
                  <w:r>
                    <w:rPr>
                      <w:rFonts w:hint="eastAsia" w:hAnsi="宋体"/>
                      <w:sz w:val="18"/>
                      <w:szCs w:val="18"/>
                    </w:rPr>
                    <w:t>/</w:t>
                  </w:r>
                </w:p>
              </w:tc>
            </w:tr>
            <w:tr w14:paraId="799D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7C536155">
                  <w:pPr>
                    <w:pStyle w:val="87"/>
                    <w:rPr>
                      <w:rFonts w:hint="eastAsia" w:hAnsi="宋体"/>
                      <w:sz w:val="18"/>
                      <w:szCs w:val="18"/>
                    </w:rPr>
                  </w:pPr>
                  <w:r>
                    <w:rPr>
                      <w:rFonts w:hint="eastAsia" w:hAnsi="宋体"/>
                      <w:sz w:val="18"/>
                      <w:szCs w:val="18"/>
                    </w:rPr>
                    <w:t>袋式除尘器截获的粉尘</w:t>
                  </w:r>
                </w:p>
              </w:tc>
              <w:tc>
                <w:tcPr>
                  <w:tcW w:w="469" w:type="pct"/>
                  <w:tcBorders>
                    <w:top w:val="single" w:color="auto" w:sz="4" w:space="0"/>
                    <w:left w:val="single" w:color="auto" w:sz="4" w:space="0"/>
                    <w:bottom w:val="single" w:color="auto" w:sz="4" w:space="0"/>
                    <w:right w:val="single" w:color="auto" w:sz="4" w:space="0"/>
                  </w:tcBorders>
                  <w:vAlign w:val="center"/>
                </w:tcPr>
                <w:p w14:paraId="25C9E374">
                  <w:pPr>
                    <w:pStyle w:val="87"/>
                    <w:rPr>
                      <w:rFonts w:hint="eastAsia" w:hAnsi="宋体"/>
                      <w:sz w:val="18"/>
                      <w:szCs w:val="18"/>
                    </w:rPr>
                  </w:pPr>
                  <w:r>
                    <w:rPr>
                      <w:rFonts w:hint="eastAsia" w:hAnsi="宋体"/>
                      <w:sz w:val="18"/>
                      <w:szCs w:val="18"/>
                    </w:rPr>
                    <w:t>0.269t</w:t>
                  </w:r>
                </w:p>
              </w:tc>
              <w:tc>
                <w:tcPr>
                  <w:tcW w:w="408" w:type="pct"/>
                  <w:tcBorders>
                    <w:top w:val="single" w:color="auto" w:sz="4" w:space="0"/>
                    <w:left w:val="single" w:color="auto" w:sz="4" w:space="0"/>
                    <w:bottom w:val="single" w:color="auto" w:sz="4" w:space="0"/>
                    <w:right w:val="single" w:color="auto" w:sz="4" w:space="0"/>
                  </w:tcBorders>
                  <w:vAlign w:val="center"/>
                </w:tcPr>
                <w:p w14:paraId="4D27B06E">
                  <w:pPr>
                    <w:pStyle w:val="87"/>
                    <w:rPr>
                      <w:rFonts w:hint="eastAsia" w:hAnsi="宋体"/>
                      <w:sz w:val="18"/>
                      <w:szCs w:val="18"/>
                    </w:rPr>
                  </w:pPr>
                  <w:r>
                    <w:rPr>
                      <w:rFonts w:hint="eastAsia" w:hAnsi="宋体"/>
                      <w:sz w:val="18"/>
                      <w:szCs w:val="18"/>
                    </w:rPr>
                    <w:t>生物质燃料燃烧粉尘</w:t>
                  </w:r>
                </w:p>
              </w:tc>
              <w:tc>
                <w:tcPr>
                  <w:tcW w:w="1071" w:type="pct"/>
                  <w:tcBorders>
                    <w:top w:val="single" w:color="auto" w:sz="4" w:space="0"/>
                    <w:left w:val="single" w:color="auto" w:sz="4" w:space="0"/>
                    <w:bottom w:val="single" w:color="auto" w:sz="4" w:space="0"/>
                    <w:right w:val="single" w:color="auto" w:sz="4" w:space="0"/>
                  </w:tcBorders>
                  <w:vAlign w:val="center"/>
                </w:tcPr>
                <w:p w14:paraId="06A85D42">
                  <w:pPr>
                    <w:pStyle w:val="87"/>
                    <w:rPr>
                      <w:rFonts w:hint="eastAsia" w:hAnsi="宋体"/>
                      <w:sz w:val="18"/>
                      <w:szCs w:val="18"/>
                    </w:rPr>
                  </w:pPr>
                  <w:r>
                    <w:rPr>
                      <w:rFonts w:hint="eastAsia" w:hAnsi="宋体"/>
                      <w:sz w:val="18"/>
                      <w:szCs w:val="18"/>
                    </w:rPr>
                    <w:t>外售给有相关需求的厂家</w:t>
                  </w:r>
                </w:p>
              </w:tc>
              <w:tc>
                <w:tcPr>
                  <w:tcW w:w="534" w:type="pct"/>
                  <w:tcBorders>
                    <w:top w:val="single" w:color="auto" w:sz="4" w:space="0"/>
                    <w:left w:val="single" w:color="auto" w:sz="4" w:space="0"/>
                    <w:bottom w:val="single" w:color="auto" w:sz="4" w:space="0"/>
                    <w:right w:val="single" w:color="auto" w:sz="4" w:space="0"/>
                  </w:tcBorders>
                  <w:vAlign w:val="center"/>
                </w:tcPr>
                <w:p w14:paraId="040E52AB">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34862B9C">
                  <w:pPr>
                    <w:pStyle w:val="87"/>
                    <w:rPr>
                      <w:rFonts w:hint="eastAsia" w:hAnsi="宋体"/>
                      <w:sz w:val="18"/>
                      <w:szCs w:val="18"/>
                    </w:rPr>
                  </w:pPr>
                  <w:r>
                    <w:rPr>
                      <w:rFonts w:hint="eastAsia" w:hAnsi="宋体"/>
                      <w:sz w:val="18"/>
                      <w:szCs w:val="18"/>
                    </w:rPr>
                    <w:t>/</w:t>
                  </w:r>
                </w:p>
              </w:tc>
              <w:tc>
                <w:tcPr>
                  <w:tcW w:w="984" w:type="pct"/>
                  <w:tcBorders>
                    <w:top w:val="single" w:color="auto" w:sz="4" w:space="0"/>
                    <w:left w:val="single" w:color="auto" w:sz="4" w:space="0"/>
                    <w:bottom w:val="single" w:color="auto" w:sz="4" w:space="0"/>
                    <w:right w:val="single" w:color="auto" w:sz="4" w:space="0"/>
                  </w:tcBorders>
                  <w:vAlign w:val="center"/>
                </w:tcPr>
                <w:p w14:paraId="1A43D013">
                  <w:pPr>
                    <w:pStyle w:val="87"/>
                    <w:rPr>
                      <w:rFonts w:hint="eastAsia" w:hAnsi="宋体"/>
                      <w:sz w:val="18"/>
                      <w:szCs w:val="18"/>
                    </w:rPr>
                  </w:pPr>
                  <w:r>
                    <w:rPr>
                      <w:rFonts w:hint="eastAsia" w:hAnsi="宋体"/>
                      <w:sz w:val="18"/>
                      <w:szCs w:val="18"/>
                    </w:rPr>
                    <w:t>非特定行业生产</w:t>
                  </w:r>
                </w:p>
                <w:p w14:paraId="3692188F">
                  <w:pPr>
                    <w:pStyle w:val="87"/>
                    <w:rPr>
                      <w:rFonts w:hint="eastAsia" w:hAnsi="宋体"/>
                      <w:sz w:val="18"/>
                      <w:szCs w:val="18"/>
                    </w:rPr>
                  </w:pPr>
                  <w:r>
                    <w:rPr>
                      <w:rFonts w:hint="eastAsia" w:hAnsi="宋体"/>
                      <w:sz w:val="18"/>
                      <w:szCs w:val="18"/>
                    </w:rPr>
                    <w:t>过程中产生的粉</w:t>
                  </w:r>
                </w:p>
                <w:p w14:paraId="1DC4ED82">
                  <w:pPr>
                    <w:pStyle w:val="87"/>
                    <w:rPr>
                      <w:rFonts w:hint="eastAsia" w:hAnsi="宋体"/>
                      <w:sz w:val="18"/>
                      <w:szCs w:val="18"/>
                    </w:rPr>
                  </w:pPr>
                  <w:r>
                    <w:rPr>
                      <w:rFonts w:hint="eastAsia" w:hAnsi="宋体"/>
                      <w:sz w:val="18"/>
                      <w:szCs w:val="18"/>
                    </w:rPr>
                    <w:t>煤灰</w:t>
                  </w:r>
                </w:p>
                <w:p w14:paraId="26D8599D">
                  <w:pPr>
                    <w:pStyle w:val="87"/>
                    <w:rPr>
                      <w:rFonts w:hint="eastAsia" w:hAnsi="宋体"/>
                      <w:sz w:val="18"/>
                      <w:szCs w:val="18"/>
                    </w:rPr>
                  </w:pPr>
                  <w:r>
                    <w:rPr>
                      <w:rFonts w:hint="eastAsia" w:hAnsi="宋体"/>
                      <w:sz w:val="18"/>
                      <w:szCs w:val="18"/>
                    </w:rPr>
                    <w:t>900-999-63</w:t>
                  </w:r>
                </w:p>
              </w:tc>
              <w:tc>
                <w:tcPr>
                  <w:tcW w:w="394" w:type="pct"/>
                  <w:tcBorders>
                    <w:top w:val="single" w:color="auto" w:sz="4" w:space="0"/>
                    <w:left w:val="single" w:color="auto" w:sz="4" w:space="0"/>
                    <w:bottom w:val="single" w:color="auto" w:sz="4" w:space="0"/>
                    <w:right w:val="single" w:color="auto" w:sz="4" w:space="0"/>
                  </w:tcBorders>
                  <w:vAlign w:val="center"/>
                </w:tcPr>
                <w:p w14:paraId="54F29727">
                  <w:pPr>
                    <w:pStyle w:val="87"/>
                    <w:rPr>
                      <w:rFonts w:hint="eastAsia" w:hAnsi="宋体"/>
                      <w:sz w:val="18"/>
                      <w:szCs w:val="18"/>
                    </w:rPr>
                  </w:pPr>
                  <w:r>
                    <w:rPr>
                      <w:rFonts w:hint="eastAsia" w:hAnsi="宋体"/>
                      <w:sz w:val="18"/>
                      <w:szCs w:val="18"/>
                    </w:rPr>
                    <w:t>/</w:t>
                  </w:r>
                </w:p>
              </w:tc>
            </w:tr>
            <w:tr w14:paraId="31F2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2E062294">
                  <w:pPr>
                    <w:pStyle w:val="87"/>
                    <w:rPr>
                      <w:rFonts w:hint="eastAsia" w:hAnsi="宋体"/>
                      <w:sz w:val="18"/>
                      <w:szCs w:val="18"/>
                    </w:rPr>
                  </w:pPr>
                  <w:r>
                    <w:rPr>
                      <w:rFonts w:hint="eastAsia" w:hAnsi="宋体"/>
                      <w:sz w:val="18"/>
                      <w:szCs w:val="18"/>
                    </w:rPr>
                    <w:t>脱硫石膏</w:t>
                  </w:r>
                </w:p>
              </w:tc>
              <w:tc>
                <w:tcPr>
                  <w:tcW w:w="469" w:type="pct"/>
                  <w:tcBorders>
                    <w:top w:val="single" w:color="auto" w:sz="4" w:space="0"/>
                    <w:left w:val="single" w:color="auto" w:sz="4" w:space="0"/>
                    <w:bottom w:val="single" w:color="auto" w:sz="4" w:space="0"/>
                    <w:right w:val="single" w:color="auto" w:sz="4" w:space="0"/>
                  </w:tcBorders>
                  <w:vAlign w:val="center"/>
                </w:tcPr>
                <w:p w14:paraId="3C6955EB">
                  <w:pPr>
                    <w:pStyle w:val="87"/>
                    <w:rPr>
                      <w:rFonts w:hint="eastAsia" w:hAnsi="宋体"/>
                      <w:sz w:val="18"/>
                      <w:szCs w:val="18"/>
                    </w:rPr>
                  </w:pPr>
                  <w:r>
                    <w:rPr>
                      <w:rFonts w:hint="eastAsia" w:hAnsi="宋体"/>
                      <w:sz w:val="18"/>
                      <w:szCs w:val="18"/>
                    </w:rPr>
                    <w:t>1.4t</w:t>
                  </w:r>
                </w:p>
              </w:tc>
              <w:tc>
                <w:tcPr>
                  <w:tcW w:w="408" w:type="pct"/>
                  <w:tcBorders>
                    <w:top w:val="single" w:color="auto" w:sz="4" w:space="0"/>
                    <w:left w:val="single" w:color="auto" w:sz="4" w:space="0"/>
                    <w:bottom w:val="single" w:color="auto" w:sz="4" w:space="0"/>
                    <w:right w:val="single" w:color="auto" w:sz="4" w:space="0"/>
                  </w:tcBorders>
                  <w:vAlign w:val="center"/>
                </w:tcPr>
                <w:p w14:paraId="3011DD28">
                  <w:pPr>
                    <w:pStyle w:val="87"/>
                    <w:rPr>
                      <w:rFonts w:hint="eastAsia" w:hAnsi="宋体"/>
                      <w:sz w:val="18"/>
                      <w:szCs w:val="18"/>
                    </w:rPr>
                  </w:pPr>
                  <w:r>
                    <w:rPr>
                      <w:rFonts w:hint="eastAsia" w:hAnsi="宋体"/>
                      <w:sz w:val="18"/>
                      <w:szCs w:val="18"/>
                    </w:rPr>
                    <w:t>石膏</w:t>
                  </w:r>
                </w:p>
              </w:tc>
              <w:tc>
                <w:tcPr>
                  <w:tcW w:w="1071" w:type="pct"/>
                  <w:tcBorders>
                    <w:top w:val="single" w:color="auto" w:sz="4" w:space="0"/>
                    <w:left w:val="single" w:color="auto" w:sz="4" w:space="0"/>
                    <w:bottom w:val="single" w:color="auto" w:sz="4" w:space="0"/>
                    <w:right w:val="single" w:color="auto" w:sz="4" w:space="0"/>
                  </w:tcBorders>
                  <w:vAlign w:val="center"/>
                </w:tcPr>
                <w:p w14:paraId="385E17A1">
                  <w:pPr>
                    <w:pStyle w:val="87"/>
                    <w:rPr>
                      <w:rFonts w:hint="eastAsia" w:hAnsi="宋体"/>
                      <w:sz w:val="18"/>
                      <w:szCs w:val="18"/>
                    </w:rPr>
                  </w:pPr>
                  <w:r>
                    <w:rPr>
                      <w:rFonts w:hint="eastAsia" w:hAnsi="宋体"/>
                      <w:sz w:val="18"/>
                      <w:szCs w:val="18"/>
                    </w:rPr>
                    <w:t>外售给有相关需求的厂家</w:t>
                  </w:r>
                </w:p>
              </w:tc>
              <w:tc>
                <w:tcPr>
                  <w:tcW w:w="534" w:type="pct"/>
                  <w:tcBorders>
                    <w:top w:val="single" w:color="auto" w:sz="4" w:space="0"/>
                    <w:left w:val="single" w:color="auto" w:sz="4" w:space="0"/>
                    <w:bottom w:val="single" w:color="auto" w:sz="4" w:space="0"/>
                    <w:right w:val="single" w:color="auto" w:sz="4" w:space="0"/>
                  </w:tcBorders>
                  <w:vAlign w:val="center"/>
                </w:tcPr>
                <w:p w14:paraId="0CBD5C00">
                  <w:pPr>
                    <w:pStyle w:val="87"/>
                    <w:rPr>
                      <w:rFonts w:hint="eastAsia" w:hAnsi="宋体"/>
                      <w:sz w:val="18"/>
                      <w:szCs w:val="18"/>
                    </w:rPr>
                  </w:pPr>
                  <w:r>
                    <w:rPr>
                      <w:rFonts w:hint="eastAsia" w:hAnsi="宋体"/>
                      <w:sz w:val="18"/>
                      <w:szCs w:val="18"/>
                    </w:rPr>
                    <w:t>0</w:t>
                  </w:r>
                </w:p>
              </w:tc>
              <w:tc>
                <w:tcPr>
                  <w:tcW w:w="713" w:type="pct"/>
                  <w:tcBorders>
                    <w:top w:val="single" w:color="auto" w:sz="4" w:space="0"/>
                    <w:left w:val="single" w:color="auto" w:sz="4" w:space="0"/>
                    <w:bottom w:val="single" w:color="auto" w:sz="4" w:space="0"/>
                    <w:right w:val="single" w:color="auto" w:sz="4" w:space="0"/>
                  </w:tcBorders>
                  <w:vAlign w:val="center"/>
                </w:tcPr>
                <w:p w14:paraId="577F1DAD">
                  <w:pPr>
                    <w:pStyle w:val="87"/>
                    <w:rPr>
                      <w:rFonts w:hint="eastAsia" w:hAnsi="宋体"/>
                      <w:sz w:val="18"/>
                      <w:szCs w:val="18"/>
                    </w:rPr>
                  </w:pPr>
                  <w:r>
                    <w:rPr>
                      <w:rFonts w:hint="eastAsia" w:hAnsi="宋体"/>
                      <w:sz w:val="18"/>
                      <w:szCs w:val="18"/>
                    </w:rPr>
                    <w:t>/</w:t>
                  </w:r>
                </w:p>
              </w:tc>
              <w:tc>
                <w:tcPr>
                  <w:tcW w:w="984" w:type="pct"/>
                  <w:tcBorders>
                    <w:top w:val="single" w:color="auto" w:sz="4" w:space="0"/>
                    <w:left w:val="single" w:color="auto" w:sz="4" w:space="0"/>
                    <w:bottom w:val="single" w:color="auto" w:sz="4" w:space="0"/>
                    <w:right w:val="single" w:color="auto" w:sz="4" w:space="0"/>
                  </w:tcBorders>
                  <w:vAlign w:val="center"/>
                </w:tcPr>
                <w:p w14:paraId="42A26019">
                  <w:pPr>
                    <w:pStyle w:val="87"/>
                    <w:rPr>
                      <w:rFonts w:hint="eastAsia" w:hAnsi="宋体"/>
                      <w:sz w:val="18"/>
                      <w:szCs w:val="18"/>
                    </w:rPr>
                  </w:pPr>
                  <w:r>
                    <w:rPr>
                      <w:rFonts w:hint="eastAsia" w:hAnsi="宋体"/>
                      <w:sz w:val="18"/>
                      <w:szCs w:val="18"/>
                    </w:rPr>
                    <w:t>非特定行业生产</w:t>
                  </w:r>
                </w:p>
                <w:p w14:paraId="6A4D6849">
                  <w:pPr>
                    <w:pStyle w:val="87"/>
                    <w:rPr>
                      <w:rFonts w:hint="eastAsia" w:hAnsi="宋体"/>
                      <w:sz w:val="18"/>
                      <w:szCs w:val="18"/>
                    </w:rPr>
                  </w:pPr>
                  <w:r>
                    <w:rPr>
                      <w:rFonts w:hint="eastAsia" w:hAnsi="宋体"/>
                      <w:sz w:val="18"/>
                      <w:szCs w:val="18"/>
                    </w:rPr>
                    <w:t>过程中产生的脱硫石膏900-999-65</w:t>
                  </w:r>
                </w:p>
              </w:tc>
              <w:tc>
                <w:tcPr>
                  <w:tcW w:w="394" w:type="pct"/>
                  <w:tcBorders>
                    <w:top w:val="single" w:color="auto" w:sz="4" w:space="0"/>
                    <w:left w:val="single" w:color="auto" w:sz="4" w:space="0"/>
                    <w:bottom w:val="single" w:color="auto" w:sz="4" w:space="0"/>
                    <w:right w:val="single" w:color="auto" w:sz="4" w:space="0"/>
                  </w:tcBorders>
                  <w:vAlign w:val="center"/>
                </w:tcPr>
                <w:p w14:paraId="36A6A41E">
                  <w:pPr>
                    <w:pStyle w:val="87"/>
                    <w:rPr>
                      <w:rFonts w:hint="eastAsia" w:hAnsi="宋体"/>
                      <w:sz w:val="18"/>
                      <w:szCs w:val="18"/>
                    </w:rPr>
                  </w:pPr>
                  <w:r>
                    <w:rPr>
                      <w:rFonts w:hint="eastAsia" w:hAnsi="宋体"/>
                      <w:sz w:val="18"/>
                      <w:szCs w:val="18"/>
                    </w:rPr>
                    <w:t>/</w:t>
                  </w:r>
                </w:p>
              </w:tc>
            </w:tr>
          </w:tbl>
          <w:p w14:paraId="4E7F6B32">
            <w:pPr>
              <w:pStyle w:val="113"/>
              <w:ind w:firstLine="422"/>
              <w:rPr>
                <w:rFonts w:hint="eastAsia"/>
                <w:b/>
                <w:bCs/>
              </w:rPr>
            </w:pPr>
          </w:p>
          <w:p w14:paraId="09403775">
            <w:pPr>
              <w:pStyle w:val="113"/>
              <w:rPr>
                <w:rFonts w:hint="eastAsia"/>
                <w:bCs/>
              </w:rPr>
            </w:pPr>
            <w:r>
              <w:rPr>
                <w:bCs/>
              </w:rPr>
              <w:t>5</w:t>
            </w:r>
            <w:r>
              <w:rPr>
                <w:rFonts w:hint="eastAsia"/>
                <w:bCs/>
              </w:rPr>
              <w:t>、声环境影响分析</w:t>
            </w:r>
          </w:p>
          <w:p w14:paraId="10B5C840">
            <w:pPr>
              <w:pStyle w:val="3"/>
              <w:ind w:firstLine="420"/>
              <w:rPr>
                <w:rFonts w:hint="eastAsia"/>
                <w:sz w:val="21"/>
              </w:rPr>
            </w:pPr>
            <w:r>
              <w:rPr>
                <w:rFonts w:hint="eastAsia"/>
                <w:sz w:val="21"/>
              </w:rPr>
              <w:t>钻井期、储层改造期噪声源主要是钻机、泥浆泵、钻井柴油机、压裂泵车，试油期噪声源主要是通井机、修井机、柴油发电机和仪表车等，待所有钻井工程、储层改造工程和试油工程结束后影响将随之消失。</w:t>
            </w:r>
          </w:p>
          <w:p w14:paraId="4CAA7B45">
            <w:pPr>
              <w:pStyle w:val="3"/>
              <w:ind w:firstLine="420"/>
              <w:rPr>
                <w:rFonts w:hint="eastAsia"/>
                <w:sz w:val="21"/>
              </w:rPr>
            </w:pPr>
            <w:r>
              <w:rPr>
                <w:rFonts w:hint="eastAsia"/>
                <w:sz w:val="21"/>
              </w:rPr>
              <w:t>施工期噪声源产生的声压级噪声随距离衰减后的预测值见</w:t>
            </w:r>
            <w:r>
              <w:rPr>
                <w:rFonts w:hint="eastAsia"/>
                <w:sz w:val="21"/>
              </w:rPr>
              <w:fldChar w:fldCharType="begin"/>
            </w:r>
            <w:r>
              <w:rPr>
                <w:rFonts w:hint="eastAsia"/>
                <w:sz w:val="21"/>
              </w:rPr>
              <w:instrText xml:space="preserve"> REF _Ref216174856 \h  \* MERGEFORMAT </w:instrText>
            </w:r>
            <w:r>
              <w:rPr>
                <w:rFonts w:hint="eastAsia"/>
                <w:sz w:val="21"/>
              </w:rPr>
              <w:fldChar w:fldCharType="separate"/>
            </w:r>
            <w:r>
              <w:rPr>
                <w:rFonts w:hint="eastAsia"/>
                <w:sz w:val="21"/>
              </w:rPr>
              <w:t>表35</w:t>
            </w:r>
            <w:r>
              <w:rPr>
                <w:rFonts w:hint="eastAsia"/>
                <w:sz w:val="21"/>
              </w:rPr>
              <w:fldChar w:fldCharType="end"/>
            </w:r>
            <w:r>
              <w:rPr>
                <w:rFonts w:hint="eastAsia"/>
                <w:sz w:val="21"/>
              </w:rPr>
              <w:t>。</w:t>
            </w:r>
          </w:p>
          <w:p w14:paraId="449E537A">
            <w:pPr>
              <w:pStyle w:val="12"/>
              <w:spacing w:before="120"/>
              <w:rPr>
                <w:rFonts w:hint="eastAsia" w:hAnsi="宋体"/>
              </w:rPr>
            </w:pPr>
            <w:bookmarkStart w:id="62" w:name="_Ref216174856"/>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35</w:t>
            </w:r>
            <w:r>
              <w:rPr>
                <w:rFonts w:hAnsi="宋体"/>
              </w:rPr>
              <w:fldChar w:fldCharType="end"/>
            </w:r>
            <w:bookmarkEnd w:id="62"/>
            <w:r>
              <w:rPr>
                <w:rFonts w:hAnsi="宋体"/>
              </w:rPr>
              <w:t xml:space="preserve">  </w:t>
            </w:r>
            <w:r>
              <w:rPr>
                <w:rFonts w:hint="eastAsia" w:hAnsi="宋体"/>
              </w:rPr>
              <w:t>主要施工机械在不同距离处的噪声值</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3"/>
              <w:gridCol w:w="867"/>
              <w:gridCol w:w="651"/>
              <w:gridCol w:w="586"/>
              <w:gridCol w:w="589"/>
              <w:gridCol w:w="586"/>
              <w:gridCol w:w="543"/>
              <w:gridCol w:w="543"/>
              <w:gridCol w:w="546"/>
              <w:gridCol w:w="1075"/>
              <w:gridCol w:w="1058"/>
            </w:tblGrid>
            <w:tr w14:paraId="3921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034" w:type="pct"/>
                  <w:gridSpan w:val="2"/>
                  <w:tcBorders>
                    <w:top w:val="single" w:color="auto" w:sz="4" w:space="0"/>
                    <w:left w:val="single" w:color="auto" w:sz="4" w:space="0"/>
                    <w:bottom w:val="single" w:color="auto" w:sz="4" w:space="0"/>
                    <w:right w:val="single" w:color="auto" w:sz="4" w:space="0"/>
                  </w:tcBorders>
                  <w:vAlign w:val="center"/>
                </w:tcPr>
                <w:p w14:paraId="2C036BD6">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噪声源</w:t>
                  </w:r>
                </w:p>
              </w:tc>
              <w:tc>
                <w:tcPr>
                  <w:tcW w:w="2597" w:type="pct"/>
                  <w:gridSpan w:val="7"/>
                  <w:tcBorders>
                    <w:top w:val="single" w:color="auto" w:sz="4" w:space="0"/>
                    <w:left w:val="single" w:color="auto" w:sz="4" w:space="0"/>
                    <w:bottom w:val="single" w:color="auto" w:sz="4" w:space="0"/>
                    <w:right w:val="single" w:color="auto" w:sz="4" w:space="0"/>
                  </w:tcBorders>
                  <w:vAlign w:val="center"/>
                </w:tcPr>
                <w:p w14:paraId="1A4CBB9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离施工点不同距离处的噪声估算值（dB（A））</w:t>
                  </w:r>
                </w:p>
              </w:tc>
              <w:tc>
                <w:tcPr>
                  <w:tcW w:w="690" w:type="pct"/>
                  <w:vMerge w:val="restart"/>
                  <w:tcBorders>
                    <w:top w:val="single" w:color="auto" w:sz="4" w:space="0"/>
                    <w:left w:val="single" w:color="auto" w:sz="4" w:space="0"/>
                    <w:bottom w:val="single" w:color="auto" w:sz="4" w:space="0"/>
                    <w:right w:val="single" w:color="auto" w:sz="4" w:space="0"/>
                  </w:tcBorders>
                  <w:vAlign w:val="center"/>
                </w:tcPr>
                <w:p w14:paraId="0CC5A1AB">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噪声衰减至70dB（A）时的距离（m）</w:t>
                  </w:r>
                </w:p>
              </w:tc>
              <w:tc>
                <w:tcPr>
                  <w:tcW w:w="679" w:type="pct"/>
                  <w:vMerge w:val="restart"/>
                  <w:tcBorders>
                    <w:top w:val="single" w:color="auto" w:sz="4" w:space="0"/>
                    <w:left w:val="single" w:color="auto" w:sz="4" w:space="0"/>
                    <w:bottom w:val="single" w:color="auto" w:sz="4" w:space="0"/>
                    <w:right w:val="single" w:color="auto" w:sz="4" w:space="0"/>
                  </w:tcBorders>
                  <w:vAlign w:val="center"/>
                </w:tcPr>
                <w:p w14:paraId="14D7E2BC">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噪声衰减至55dB（A）时的距离（m）</w:t>
                  </w:r>
                </w:p>
              </w:tc>
            </w:tr>
            <w:tr w14:paraId="1BCB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77" w:type="pct"/>
                  <w:tcBorders>
                    <w:top w:val="single" w:color="auto" w:sz="4" w:space="0"/>
                    <w:left w:val="single" w:color="auto" w:sz="4" w:space="0"/>
                    <w:bottom w:val="single" w:color="auto" w:sz="4" w:space="0"/>
                    <w:right w:val="single" w:color="auto" w:sz="4" w:space="0"/>
                  </w:tcBorders>
                  <w:vAlign w:val="center"/>
                </w:tcPr>
                <w:p w14:paraId="65FF638B">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名称</w:t>
                  </w:r>
                </w:p>
              </w:tc>
              <w:tc>
                <w:tcPr>
                  <w:tcW w:w="557" w:type="pct"/>
                  <w:tcBorders>
                    <w:top w:val="single" w:color="auto" w:sz="4" w:space="0"/>
                    <w:left w:val="single" w:color="auto" w:sz="4" w:space="0"/>
                    <w:bottom w:val="single" w:color="auto" w:sz="4" w:space="0"/>
                    <w:right w:val="single" w:color="auto" w:sz="4" w:space="0"/>
                  </w:tcBorders>
                  <w:vAlign w:val="center"/>
                </w:tcPr>
                <w:p w14:paraId="119AA7A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声压级</w:t>
                  </w:r>
                </w:p>
                <w:p w14:paraId="751EC1E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dB（A）</w:t>
                  </w:r>
                </w:p>
              </w:tc>
              <w:tc>
                <w:tcPr>
                  <w:tcW w:w="418" w:type="pct"/>
                  <w:tcBorders>
                    <w:top w:val="single" w:color="auto" w:sz="4" w:space="0"/>
                    <w:left w:val="single" w:color="auto" w:sz="4" w:space="0"/>
                    <w:bottom w:val="single" w:color="auto" w:sz="4" w:space="0"/>
                    <w:right w:val="single" w:color="auto" w:sz="4" w:space="0"/>
                  </w:tcBorders>
                  <w:vAlign w:val="center"/>
                </w:tcPr>
                <w:p w14:paraId="3801AE0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10m</w:t>
                  </w:r>
                </w:p>
              </w:tc>
              <w:tc>
                <w:tcPr>
                  <w:tcW w:w="376" w:type="pct"/>
                  <w:tcBorders>
                    <w:top w:val="single" w:color="auto" w:sz="4" w:space="0"/>
                    <w:left w:val="single" w:color="auto" w:sz="4" w:space="0"/>
                    <w:bottom w:val="single" w:color="auto" w:sz="4" w:space="0"/>
                    <w:right w:val="single" w:color="auto" w:sz="4" w:space="0"/>
                  </w:tcBorders>
                  <w:vAlign w:val="center"/>
                </w:tcPr>
                <w:p w14:paraId="337D5C9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50m</w:t>
                  </w:r>
                </w:p>
              </w:tc>
              <w:tc>
                <w:tcPr>
                  <w:tcW w:w="378" w:type="pct"/>
                  <w:tcBorders>
                    <w:top w:val="single" w:color="auto" w:sz="4" w:space="0"/>
                    <w:left w:val="single" w:color="auto" w:sz="4" w:space="0"/>
                    <w:bottom w:val="single" w:color="auto" w:sz="4" w:space="0"/>
                    <w:right w:val="single" w:color="auto" w:sz="4" w:space="0"/>
                  </w:tcBorders>
                  <w:vAlign w:val="center"/>
                </w:tcPr>
                <w:p w14:paraId="6B54F858">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100m</w:t>
                  </w:r>
                </w:p>
              </w:tc>
              <w:tc>
                <w:tcPr>
                  <w:tcW w:w="376" w:type="pct"/>
                  <w:tcBorders>
                    <w:top w:val="single" w:color="auto" w:sz="4" w:space="0"/>
                    <w:left w:val="single" w:color="auto" w:sz="4" w:space="0"/>
                    <w:bottom w:val="single" w:color="auto" w:sz="4" w:space="0"/>
                    <w:right w:val="single" w:color="auto" w:sz="4" w:space="0"/>
                  </w:tcBorders>
                  <w:vAlign w:val="center"/>
                </w:tcPr>
                <w:p w14:paraId="35C847B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150m</w:t>
                  </w:r>
                </w:p>
              </w:tc>
              <w:tc>
                <w:tcPr>
                  <w:tcW w:w="349" w:type="pct"/>
                  <w:tcBorders>
                    <w:top w:val="single" w:color="auto" w:sz="4" w:space="0"/>
                    <w:left w:val="single" w:color="auto" w:sz="4" w:space="0"/>
                    <w:bottom w:val="single" w:color="auto" w:sz="4" w:space="0"/>
                    <w:right w:val="single" w:color="auto" w:sz="4" w:space="0"/>
                  </w:tcBorders>
                  <w:vAlign w:val="center"/>
                </w:tcPr>
                <w:p w14:paraId="5F74528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200m</w:t>
                  </w:r>
                </w:p>
              </w:tc>
              <w:tc>
                <w:tcPr>
                  <w:tcW w:w="349" w:type="pct"/>
                  <w:tcBorders>
                    <w:top w:val="single" w:color="auto" w:sz="4" w:space="0"/>
                    <w:left w:val="single" w:color="auto" w:sz="4" w:space="0"/>
                    <w:bottom w:val="single" w:color="auto" w:sz="4" w:space="0"/>
                    <w:right w:val="single" w:color="auto" w:sz="4" w:space="0"/>
                  </w:tcBorders>
                  <w:vAlign w:val="center"/>
                </w:tcPr>
                <w:p w14:paraId="0C8E17F3">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300m</w:t>
                  </w:r>
                </w:p>
              </w:tc>
              <w:tc>
                <w:tcPr>
                  <w:tcW w:w="351" w:type="pct"/>
                  <w:tcBorders>
                    <w:top w:val="single" w:color="auto" w:sz="4" w:space="0"/>
                    <w:left w:val="single" w:color="auto" w:sz="4" w:space="0"/>
                    <w:bottom w:val="single" w:color="auto" w:sz="4" w:space="0"/>
                    <w:right w:val="single" w:color="auto" w:sz="4" w:space="0"/>
                  </w:tcBorders>
                  <w:vAlign w:val="center"/>
                </w:tcPr>
                <w:p w14:paraId="42398D2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400m</w:t>
                  </w:r>
                </w:p>
              </w:tc>
              <w:tc>
                <w:tcPr>
                  <w:tcW w:w="690" w:type="pct"/>
                  <w:vMerge w:val="continue"/>
                  <w:tcBorders>
                    <w:top w:val="single" w:color="auto" w:sz="4" w:space="0"/>
                    <w:left w:val="single" w:color="auto" w:sz="4" w:space="0"/>
                    <w:bottom w:val="single" w:color="auto" w:sz="4" w:space="0"/>
                    <w:right w:val="single" w:color="auto" w:sz="4" w:space="0"/>
                  </w:tcBorders>
                  <w:vAlign w:val="center"/>
                </w:tcPr>
                <w:p w14:paraId="34E8329C">
                  <w:pPr>
                    <w:widowControl/>
                    <w:spacing w:line="276" w:lineRule="auto"/>
                    <w:jc w:val="left"/>
                    <w:rPr>
                      <w:rFonts w:hint="eastAsia" w:ascii="宋体" w:hAnsi="宋体"/>
                      <w:kern w:val="0"/>
                      <w:szCs w:val="21"/>
                    </w:rPr>
                  </w:pPr>
                </w:p>
              </w:tc>
              <w:tc>
                <w:tcPr>
                  <w:tcW w:w="679" w:type="pct"/>
                  <w:vMerge w:val="continue"/>
                  <w:tcBorders>
                    <w:top w:val="single" w:color="auto" w:sz="4" w:space="0"/>
                    <w:left w:val="single" w:color="auto" w:sz="4" w:space="0"/>
                    <w:bottom w:val="single" w:color="auto" w:sz="4" w:space="0"/>
                    <w:right w:val="single" w:color="auto" w:sz="4" w:space="0"/>
                  </w:tcBorders>
                  <w:vAlign w:val="center"/>
                </w:tcPr>
                <w:p w14:paraId="4AEA5BAB">
                  <w:pPr>
                    <w:widowControl/>
                    <w:spacing w:line="276" w:lineRule="auto"/>
                    <w:jc w:val="left"/>
                    <w:rPr>
                      <w:rFonts w:hint="eastAsia" w:ascii="宋体" w:hAnsi="宋体"/>
                      <w:kern w:val="0"/>
                      <w:szCs w:val="21"/>
                    </w:rPr>
                  </w:pPr>
                </w:p>
              </w:tc>
            </w:tr>
            <w:tr w14:paraId="1713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6C5A5FA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柴油机</w:t>
                  </w:r>
                </w:p>
              </w:tc>
              <w:tc>
                <w:tcPr>
                  <w:tcW w:w="557" w:type="pct"/>
                  <w:tcBorders>
                    <w:top w:val="single" w:color="auto" w:sz="4" w:space="0"/>
                    <w:left w:val="single" w:color="auto" w:sz="4" w:space="0"/>
                    <w:bottom w:val="single" w:color="auto" w:sz="4" w:space="0"/>
                    <w:right w:val="single" w:color="auto" w:sz="4" w:space="0"/>
                  </w:tcBorders>
                  <w:vAlign w:val="center"/>
                </w:tcPr>
                <w:p w14:paraId="6213923B">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100</w:t>
                  </w:r>
                </w:p>
              </w:tc>
              <w:tc>
                <w:tcPr>
                  <w:tcW w:w="418" w:type="pct"/>
                  <w:tcBorders>
                    <w:top w:val="single" w:color="auto" w:sz="4" w:space="0"/>
                    <w:left w:val="single" w:color="auto" w:sz="4" w:space="0"/>
                    <w:bottom w:val="single" w:color="auto" w:sz="4" w:space="0"/>
                    <w:right w:val="single" w:color="auto" w:sz="4" w:space="0"/>
                  </w:tcBorders>
                  <w:vAlign w:val="center"/>
                </w:tcPr>
                <w:p w14:paraId="23DDCD4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80.0</w:t>
                  </w:r>
                </w:p>
              </w:tc>
              <w:tc>
                <w:tcPr>
                  <w:tcW w:w="376" w:type="pct"/>
                  <w:tcBorders>
                    <w:top w:val="single" w:color="auto" w:sz="4" w:space="0"/>
                    <w:left w:val="single" w:color="auto" w:sz="4" w:space="0"/>
                    <w:bottom w:val="single" w:color="auto" w:sz="4" w:space="0"/>
                    <w:right w:val="single" w:color="auto" w:sz="4" w:space="0"/>
                  </w:tcBorders>
                  <w:vAlign w:val="center"/>
                </w:tcPr>
                <w:p w14:paraId="0F181F1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66.0</w:t>
                  </w:r>
                </w:p>
              </w:tc>
              <w:tc>
                <w:tcPr>
                  <w:tcW w:w="378" w:type="pct"/>
                  <w:tcBorders>
                    <w:top w:val="single" w:color="auto" w:sz="4" w:space="0"/>
                    <w:left w:val="single" w:color="auto" w:sz="4" w:space="0"/>
                    <w:bottom w:val="single" w:color="auto" w:sz="4" w:space="0"/>
                    <w:right w:val="single" w:color="auto" w:sz="4" w:space="0"/>
                  </w:tcBorders>
                  <w:vAlign w:val="center"/>
                </w:tcPr>
                <w:p w14:paraId="2B6C8A98">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60.0</w:t>
                  </w:r>
                </w:p>
              </w:tc>
              <w:tc>
                <w:tcPr>
                  <w:tcW w:w="376" w:type="pct"/>
                  <w:tcBorders>
                    <w:top w:val="single" w:color="auto" w:sz="4" w:space="0"/>
                    <w:left w:val="single" w:color="auto" w:sz="4" w:space="0"/>
                    <w:bottom w:val="single" w:color="auto" w:sz="4" w:space="0"/>
                    <w:right w:val="single" w:color="auto" w:sz="4" w:space="0"/>
                  </w:tcBorders>
                  <w:vAlign w:val="center"/>
                </w:tcPr>
                <w:p w14:paraId="7E0DC4A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56.5</w:t>
                  </w:r>
                </w:p>
              </w:tc>
              <w:tc>
                <w:tcPr>
                  <w:tcW w:w="349" w:type="pct"/>
                  <w:tcBorders>
                    <w:top w:val="single" w:color="auto" w:sz="4" w:space="0"/>
                    <w:left w:val="single" w:color="auto" w:sz="4" w:space="0"/>
                    <w:bottom w:val="single" w:color="auto" w:sz="4" w:space="0"/>
                    <w:right w:val="single" w:color="auto" w:sz="4" w:space="0"/>
                  </w:tcBorders>
                  <w:vAlign w:val="center"/>
                </w:tcPr>
                <w:p w14:paraId="713D456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54.0</w:t>
                  </w:r>
                </w:p>
              </w:tc>
              <w:tc>
                <w:tcPr>
                  <w:tcW w:w="349" w:type="pct"/>
                  <w:tcBorders>
                    <w:top w:val="single" w:color="auto" w:sz="4" w:space="0"/>
                    <w:left w:val="single" w:color="auto" w:sz="4" w:space="0"/>
                    <w:bottom w:val="single" w:color="auto" w:sz="4" w:space="0"/>
                    <w:right w:val="single" w:color="auto" w:sz="4" w:space="0"/>
                  </w:tcBorders>
                  <w:vAlign w:val="center"/>
                </w:tcPr>
                <w:p w14:paraId="569C766E">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50.5</w:t>
                  </w:r>
                </w:p>
              </w:tc>
              <w:tc>
                <w:tcPr>
                  <w:tcW w:w="351" w:type="pct"/>
                  <w:tcBorders>
                    <w:top w:val="single" w:color="auto" w:sz="4" w:space="0"/>
                    <w:left w:val="single" w:color="auto" w:sz="4" w:space="0"/>
                    <w:bottom w:val="single" w:color="auto" w:sz="4" w:space="0"/>
                    <w:right w:val="single" w:color="auto" w:sz="4" w:space="0"/>
                  </w:tcBorders>
                  <w:vAlign w:val="center"/>
                </w:tcPr>
                <w:p w14:paraId="4B78371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48.0</w:t>
                  </w:r>
                </w:p>
              </w:tc>
              <w:tc>
                <w:tcPr>
                  <w:tcW w:w="690" w:type="pct"/>
                  <w:tcBorders>
                    <w:top w:val="single" w:color="auto" w:sz="4" w:space="0"/>
                    <w:left w:val="single" w:color="auto" w:sz="4" w:space="0"/>
                    <w:bottom w:val="single" w:color="auto" w:sz="4" w:space="0"/>
                    <w:right w:val="single" w:color="auto" w:sz="4" w:space="0"/>
                  </w:tcBorders>
                  <w:vAlign w:val="center"/>
                </w:tcPr>
                <w:p w14:paraId="5DE68B74">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32</w:t>
                  </w:r>
                </w:p>
              </w:tc>
              <w:tc>
                <w:tcPr>
                  <w:tcW w:w="679" w:type="pct"/>
                  <w:tcBorders>
                    <w:top w:val="single" w:color="auto" w:sz="4" w:space="0"/>
                    <w:left w:val="single" w:color="auto" w:sz="4" w:space="0"/>
                    <w:bottom w:val="single" w:color="auto" w:sz="4" w:space="0"/>
                    <w:right w:val="single" w:color="auto" w:sz="4" w:space="0"/>
                  </w:tcBorders>
                  <w:vAlign w:val="center"/>
                </w:tcPr>
                <w:p w14:paraId="7080C504">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178</w:t>
                  </w:r>
                </w:p>
              </w:tc>
            </w:tr>
            <w:tr w14:paraId="6B1B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5613184C">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钻机</w:t>
                  </w:r>
                </w:p>
              </w:tc>
              <w:tc>
                <w:tcPr>
                  <w:tcW w:w="557" w:type="pct"/>
                  <w:tcBorders>
                    <w:top w:val="single" w:color="auto" w:sz="4" w:space="0"/>
                    <w:left w:val="single" w:color="auto" w:sz="4" w:space="0"/>
                    <w:bottom w:val="single" w:color="auto" w:sz="4" w:space="0"/>
                    <w:right w:val="single" w:color="auto" w:sz="4" w:space="0"/>
                  </w:tcBorders>
                  <w:vAlign w:val="center"/>
                </w:tcPr>
                <w:p w14:paraId="3597F5AD">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95</w:t>
                  </w:r>
                </w:p>
              </w:tc>
              <w:tc>
                <w:tcPr>
                  <w:tcW w:w="418" w:type="pct"/>
                  <w:tcBorders>
                    <w:top w:val="single" w:color="auto" w:sz="4" w:space="0"/>
                    <w:left w:val="single" w:color="auto" w:sz="4" w:space="0"/>
                    <w:bottom w:val="single" w:color="auto" w:sz="4" w:space="0"/>
                    <w:right w:val="single" w:color="auto" w:sz="4" w:space="0"/>
                  </w:tcBorders>
                  <w:vAlign w:val="center"/>
                </w:tcPr>
                <w:p w14:paraId="21B8AE1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75.0</w:t>
                  </w:r>
                </w:p>
              </w:tc>
              <w:tc>
                <w:tcPr>
                  <w:tcW w:w="376" w:type="pct"/>
                  <w:tcBorders>
                    <w:top w:val="single" w:color="auto" w:sz="4" w:space="0"/>
                    <w:left w:val="single" w:color="auto" w:sz="4" w:space="0"/>
                    <w:bottom w:val="single" w:color="auto" w:sz="4" w:space="0"/>
                    <w:right w:val="single" w:color="auto" w:sz="4" w:space="0"/>
                  </w:tcBorders>
                  <w:vAlign w:val="center"/>
                </w:tcPr>
                <w:p w14:paraId="44FA68D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61.0</w:t>
                  </w:r>
                </w:p>
              </w:tc>
              <w:tc>
                <w:tcPr>
                  <w:tcW w:w="378" w:type="pct"/>
                  <w:tcBorders>
                    <w:top w:val="single" w:color="auto" w:sz="4" w:space="0"/>
                    <w:left w:val="single" w:color="auto" w:sz="4" w:space="0"/>
                    <w:bottom w:val="single" w:color="auto" w:sz="4" w:space="0"/>
                    <w:right w:val="single" w:color="auto" w:sz="4" w:space="0"/>
                  </w:tcBorders>
                  <w:vAlign w:val="center"/>
                </w:tcPr>
                <w:p w14:paraId="5594CF74">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55.0</w:t>
                  </w:r>
                </w:p>
              </w:tc>
              <w:tc>
                <w:tcPr>
                  <w:tcW w:w="376" w:type="pct"/>
                  <w:tcBorders>
                    <w:top w:val="single" w:color="auto" w:sz="4" w:space="0"/>
                    <w:left w:val="single" w:color="auto" w:sz="4" w:space="0"/>
                    <w:bottom w:val="single" w:color="auto" w:sz="4" w:space="0"/>
                    <w:right w:val="single" w:color="auto" w:sz="4" w:space="0"/>
                  </w:tcBorders>
                  <w:vAlign w:val="center"/>
                </w:tcPr>
                <w:p w14:paraId="48E77CB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51.5</w:t>
                  </w:r>
                </w:p>
              </w:tc>
              <w:tc>
                <w:tcPr>
                  <w:tcW w:w="349" w:type="pct"/>
                  <w:tcBorders>
                    <w:top w:val="single" w:color="auto" w:sz="4" w:space="0"/>
                    <w:left w:val="single" w:color="auto" w:sz="4" w:space="0"/>
                    <w:bottom w:val="single" w:color="auto" w:sz="4" w:space="0"/>
                    <w:right w:val="single" w:color="auto" w:sz="4" w:space="0"/>
                  </w:tcBorders>
                  <w:vAlign w:val="center"/>
                </w:tcPr>
                <w:p w14:paraId="73A76D3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49.0</w:t>
                  </w:r>
                </w:p>
              </w:tc>
              <w:tc>
                <w:tcPr>
                  <w:tcW w:w="349" w:type="pct"/>
                  <w:tcBorders>
                    <w:top w:val="single" w:color="auto" w:sz="4" w:space="0"/>
                    <w:left w:val="single" w:color="auto" w:sz="4" w:space="0"/>
                    <w:bottom w:val="single" w:color="auto" w:sz="4" w:space="0"/>
                    <w:right w:val="single" w:color="auto" w:sz="4" w:space="0"/>
                  </w:tcBorders>
                  <w:vAlign w:val="center"/>
                </w:tcPr>
                <w:p w14:paraId="7914B0F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45.5</w:t>
                  </w:r>
                </w:p>
              </w:tc>
              <w:tc>
                <w:tcPr>
                  <w:tcW w:w="351" w:type="pct"/>
                  <w:tcBorders>
                    <w:top w:val="single" w:color="auto" w:sz="4" w:space="0"/>
                    <w:left w:val="single" w:color="auto" w:sz="4" w:space="0"/>
                    <w:bottom w:val="single" w:color="auto" w:sz="4" w:space="0"/>
                    <w:right w:val="single" w:color="auto" w:sz="4" w:space="0"/>
                  </w:tcBorders>
                  <w:vAlign w:val="center"/>
                </w:tcPr>
                <w:p w14:paraId="29D4D39C">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43.0</w:t>
                  </w:r>
                </w:p>
              </w:tc>
              <w:tc>
                <w:tcPr>
                  <w:tcW w:w="690" w:type="pct"/>
                  <w:tcBorders>
                    <w:top w:val="single" w:color="auto" w:sz="4" w:space="0"/>
                    <w:left w:val="single" w:color="auto" w:sz="4" w:space="0"/>
                    <w:bottom w:val="single" w:color="auto" w:sz="4" w:space="0"/>
                    <w:right w:val="single" w:color="auto" w:sz="4" w:space="0"/>
                  </w:tcBorders>
                  <w:vAlign w:val="center"/>
                </w:tcPr>
                <w:p w14:paraId="64C6DB3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18</w:t>
                  </w:r>
                </w:p>
              </w:tc>
              <w:tc>
                <w:tcPr>
                  <w:tcW w:w="679" w:type="pct"/>
                  <w:tcBorders>
                    <w:top w:val="single" w:color="auto" w:sz="4" w:space="0"/>
                    <w:left w:val="single" w:color="auto" w:sz="4" w:space="0"/>
                    <w:bottom w:val="single" w:color="auto" w:sz="4" w:space="0"/>
                    <w:right w:val="single" w:color="auto" w:sz="4" w:space="0"/>
                  </w:tcBorders>
                  <w:vAlign w:val="center"/>
                </w:tcPr>
                <w:p w14:paraId="3BD4BB2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100</w:t>
                  </w:r>
                </w:p>
              </w:tc>
            </w:tr>
            <w:tr w14:paraId="4221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1C2CAA2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泥浆泵</w:t>
                  </w:r>
                </w:p>
              </w:tc>
              <w:tc>
                <w:tcPr>
                  <w:tcW w:w="557" w:type="pct"/>
                  <w:tcBorders>
                    <w:top w:val="single" w:color="auto" w:sz="4" w:space="0"/>
                    <w:left w:val="single" w:color="auto" w:sz="4" w:space="0"/>
                    <w:bottom w:val="single" w:color="auto" w:sz="4" w:space="0"/>
                    <w:right w:val="single" w:color="auto" w:sz="4" w:space="0"/>
                  </w:tcBorders>
                  <w:vAlign w:val="center"/>
                </w:tcPr>
                <w:p w14:paraId="788774A6">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95</w:t>
                  </w:r>
                </w:p>
              </w:tc>
              <w:tc>
                <w:tcPr>
                  <w:tcW w:w="418" w:type="pct"/>
                  <w:tcBorders>
                    <w:top w:val="single" w:color="auto" w:sz="4" w:space="0"/>
                    <w:left w:val="single" w:color="auto" w:sz="4" w:space="0"/>
                    <w:bottom w:val="single" w:color="auto" w:sz="4" w:space="0"/>
                    <w:right w:val="single" w:color="auto" w:sz="4" w:space="0"/>
                  </w:tcBorders>
                  <w:vAlign w:val="center"/>
                </w:tcPr>
                <w:p w14:paraId="7F92FB23">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75.0</w:t>
                  </w:r>
                </w:p>
              </w:tc>
              <w:tc>
                <w:tcPr>
                  <w:tcW w:w="376" w:type="pct"/>
                  <w:tcBorders>
                    <w:top w:val="single" w:color="auto" w:sz="4" w:space="0"/>
                    <w:left w:val="single" w:color="auto" w:sz="4" w:space="0"/>
                    <w:bottom w:val="single" w:color="auto" w:sz="4" w:space="0"/>
                    <w:right w:val="single" w:color="auto" w:sz="4" w:space="0"/>
                  </w:tcBorders>
                  <w:vAlign w:val="center"/>
                </w:tcPr>
                <w:p w14:paraId="44B9713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61.0</w:t>
                  </w:r>
                </w:p>
              </w:tc>
              <w:tc>
                <w:tcPr>
                  <w:tcW w:w="378" w:type="pct"/>
                  <w:tcBorders>
                    <w:top w:val="single" w:color="auto" w:sz="4" w:space="0"/>
                    <w:left w:val="single" w:color="auto" w:sz="4" w:space="0"/>
                    <w:bottom w:val="single" w:color="auto" w:sz="4" w:space="0"/>
                    <w:right w:val="single" w:color="auto" w:sz="4" w:space="0"/>
                  </w:tcBorders>
                  <w:vAlign w:val="center"/>
                </w:tcPr>
                <w:p w14:paraId="19391C6E">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55.0</w:t>
                  </w:r>
                </w:p>
              </w:tc>
              <w:tc>
                <w:tcPr>
                  <w:tcW w:w="376" w:type="pct"/>
                  <w:tcBorders>
                    <w:top w:val="single" w:color="auto" w:sz="4" w:space="0"/>
                    <w:left w:val="single" w:color="auto" w:sz="4" w:space="0"/>
                    <w:bottom w:val="single" w:color="auto" w:sz="4" w:space="0"/>
                    <w:right w:val="single" w:color="auto" w:sz="4" w:space="0"/>
                  </w:tcBorders>
                  <w:vAlign w:val="center"/>
                </w:tcPr>
                <w:p w14:paraId="3F046C7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51.5</w:t>
                  </w:r>
                </w:p>
              </w:tc>
              <w:tc>
                <w:tcPr>
                  <w:tcW w:w="349" w:type="pct"/>
                  <w:tcBorders>
                    <w:top w:val="single" w:color="auto" w:sz="4" w:space="0"/>
                    <w:left w:val="single" w:color="auto" w:sz="4" w:space="0"/>
                    <w:bottom w:val="single" w:color="auto" w:sz="4" w:space="0"/>
                    <w:right w:val="single" w:color="auto" w:sz="4" w:space="0"/>
                  </w:tcBorders>
                  <w:vAlign w:val="center"/>
                </w:tcPr>
                <w:p w14:paraId="27C12C0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49.0</w:t>
                  </w:r>
                </w:p>
              </w:tc>
              <w:tc>
                <w:tcPr>
                  <w:tcW w:w="349" w:type="pct"/>
                  <w:tcBorders>
                    <w:top w:val="single" w:color="auto" w:sz="4" w:space="0"/>
                    <w:left w:val="single" w:color="auto" w:sz="4" w:space="0"/>
                    <w:bottom w:val="single" w:color="auto" w:sz="4" w:space="0"/>
                    <w:right w:val="single" w:color="auto" w:sz="4" w:space="0"/>
                  </w:tcBorders>
                  <w:vAlign w:val="center"/>
                </w:tcPr>
                <w:p w14:paraId="38C1ECFE">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45.5</w:t>
                  </w:r>
                </w:p>
              </w:tc>
              <w:tc>
                <w:tcPr>
                  <w:tcW w:w="351" w:type="pct"/>
                  <w:tcBorders>
                    <w:top w:val="single" w:color="auto" w:sz="4" w:space="0"/>
                    <w:left w:val="single" w:color="auto" w:sz="4" w:space="0"/>
                    <w:bottom w:val="single" w:color="auto" w:sz="4" w:space="0"/>
                    <w:right w:val="single" w:color="auto" w:sz="4" w:space="0"/>
                  </w:tcBorders>
                  <w:vAlign w:val="center"/>
                </w:tcPr>
                <w:p w14:paraId="02ADA2D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43.0</w:t>
                  </w:r>
                </w:p>
              </w:tc>
              <w:tc>
                <w:tcPr>
                  <w:tcW w:w="690" w:type="pct"/>
                  <w:tcBorders>
                    <w:top w:val="single" w:color="auto" w:sz="4" w:space="0"/>
                    <w:left w:val="single" w:color="auto" w:sz="4" w:space="0"/>
                    <w:bottom w:val="single" w:color="auto" w:sz="4" w:space="0"/>
                    <w:right w:val="single" w:color="auto" w:sz="4" w:space="0"/>
                  </w:tcBorders>
                  <w:vAlign w:val="center"/>
                </w:tcPr>
                <w:p w14:paraId="5A4BFDE5">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18</w:t>
                  </w:r>
                </w:p>
              </w:tc>
              <w:tc>
                <w:tcPr>
                  <w:tcW w:w="679" w:type="pct"/>
                  <w:tcBorders>
                    <w:top w:val="single" w:color="auto" w:sz="4" w:space="0"/>
                    <w:left w:val="single" w:color="auto" w:sz="4" w:space="0"/>
                    <w:bottom w:val="single" w:color="auto" w:sz="4" w:space="0"/>
                    <w:right w:val="single" w:color="auto" w:sz="4" w:space="0"/>
                  </w:tcBorders>
                  <w:vAlign w:val="center"/>
                </w:tcPr>
                <w:p w14:paraId="30582F75">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100</w:t>
                  </w:r>
                </w:p>
              </w:tc>
            </w:tr>
            <w:tr w14:paraId="5FDD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17DC0B7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机泵</w:t>
                  </w:r>
                </w:p>
              </w:tc>
              <w:tc>
                <w:tcPr>
                  <w:tcW w:w="557" w:type="pct"/>
                  <w:tcBorders>
                    <w:top w:val="single" w:color="auto" w:sz="4" w:space="0"/>
                    <w:left w:val="single" w:color="auto" w:sz="4" w:space="0"/>
                    <w:bottom w:val="single" w:color="auto" w:sz="4" w:space="0"/>
                    <w:right w:val="single" w:color="auto" w:sz="4" w:space="0"/>
                  </w:tcBorders>
                  <w:vAlign w:val="center"/>
                </w:tcPr>
                <w:p w14:paraId="6FAF8666">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80</w:t>
                  </w:r>
                </w:p>
              </w:tc>
              <w:tc>
                <w:tcPr>
                  <w:tcW w:w="418" w:type="pct"/>
                  <w:tcBorders>
                    <w:top w:val="single" w:color="auto" w:sz="4" w:space="0"/>
                    <w:left w:val="single" w:color="auto" w:sz="4" w:space="0"/>
                    <w:bottom w:val="single" w:color="auto" w:sz="4" w:space="0"/>
                    <w:right w:val="single" w:color="auto" w:sz="4" w:space="0"/>
                  </w:tcBorders>
                  <w:vAlign w:val="center"/>
                </w:tcPr>
                <w:p w14:paraId="3BC3F888">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60.0</w:t>
                  </w:r>
                </w:p>
              </w:tc>
              <w:tc>
                <w:tcPr>
                  <w:tcW w:w="376" w:type="pct"/>
                  <w:tcBorders>
                    <w:top w:val="single" w:color="auto" w:sz="4" w:space="0"/>
                    <w:left w:val="single" w:color="auto" w:sz="4" w:space="0"/>
                    <w:bottom w:val="single" w:color="auto" w:sz="4" w:space="0"/>
                    <w:right w:val="single" w:color="auto" w:sz="4" w:space="0"/>
                  </w:tcBorders>
                  <w:vAlign w:val="center"/>
                </w:tcPr>
                <w:p w14:paraId="68224E73">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46.0</w:t>
                  </w:r>
                </w:p>
              </w:tc>
              <w:tc>
                <w:tcPr>
                  <w:tcW w:w="378" w:type="pct"/>
                  <w:tcBorders>
                    <w:top w:val="single" w:color="auto" w:sz="4" w:space="0"/>
                    <w:left w:val="single" w:color="auto" w:sz="4" w:space="0"/>
                    <w:bottom w:val="single" w:color="auto" w:sz="4" w:space="0"/>
                    <w:right w:val="single" w:color="auto" w:sz="4" w:space="0"/>
                  </w:tcBorders>
                  <w:vAlign w:val="center"/>
                </w:tcPr>
                <w:p w14:paraId="072871D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40.0</w:t>
                  </w:r>
                </w:p>
              </w:tc>
              <w:tc>
                <w:tcPr>
                  <w:tcW w:w="376" w:type="pct"/>
                  <w:tcBorders>
                    <w:top w:val="single" w:color="auto" w:sz="4" w:space="0"/>
                    <w:left w:val="single" w:color="auto" w:sz="4" w:space="0"/>
                    <w:bottom w:val="single" w:color="auto" w:sz="4" w:space="0"/>
                    <w:right w:val="single" w:color="auto" w:sz="4" w:space="0"/>
                  </w:tcBorders>
                  <w:vAlign w:val="center"/>
                </w:tcPr>
                <w:p w14:paraId="35A3F356">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36.5</w:t>
                  </w:r>
                </w:p>
              </w:tc>
              <w:tc>
                <w:tcPr>
                  <w:tcW w:w="349" w:type="pct"/>
                  <w:tcBorders>
                    <w:top w:val="single" w:color="auto" w:sz="4" w:space="0"/>
                    <w:left w:val="single" w:color="auto" w:sz="4" w:space="0"/>
                    <w:bottom w:val="single" w:color="auto" w:sz="4" w:space="0"/>
                    <w:right w:val="single" w:color="auto" w:sz="4" w:space="0"/>
                  </w:tcBorders>
                  <w:vAlign w:val="center"/>
                </w:tcPr>
                <w:p w14:paraId="6DBB06DA">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34.0</w:t>
                  </w:r>
                </w:p>
              </w:tc>
              <w:tc>
                <w:tcPr>
                  <w:tcW w:w="349" w:type="pct"/>
                  <w:tcBorders>
                    <w:top w:val="single" w:color="auto" w:sz="4" w:space="0"/>
                    <w:left w:val="single" w:color="auto" w:sz="4" w:space="0"/>
                    <w:bottom w:val="single" w:color="auto" w:sz="4" w:space="0"/>
                    <w:right w:val="single" w:color="auto" w:sz="4" w:space="0"/>
                  </w:tcBorders>
                  <w:vAlign w:val="center"/>
                </w:tcPr>
                <w:p w14:paraId="3B02C684">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30.5</w:t>
                  </w:r>
                </w:p>
              </w:tc>
              <w:tc>
                <w:tcPr>
                  <w:tcW w:w="351" w:type="pct"/>
                  <w:tcBorders>
                    <w:top w:val="single" w:color="auto" w:sz="4" w:space="0"/>
                    <w:left w:val="single" w:color="auto" w:sz="4" w:space="0"/>
                    <w:bottom w:val="single" w:color="auto" w:sz="4" w:space="0"/>
                    <w:right w:val="single" w:color="auto" w:sz="4" w:space="0"/>
                  </w:tcBorders>
                  <w:vAlign w:val="center"/>
                </w:tcPr>
                <w:p w14:paraId="74869064">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28.0</w:t>
                  </w:r>
                </w:p>
              </w:tc>
              <w:tc>
                <w:tcPr>
                  <w:tcW w:w="690" w:type="pct"/>
                  <w:tcBorders>
                    <w:top w:val="single" w:color="auto" w:sz="4" w:space="0"/>
                    <w:left w:val="single" w:color="auto" w:sz="4" w:space="0"/>
                    <w:bottom w:val="single" w:color="auto" w:sz="4" w:space="0"/>
                    <w:right w:val="single" w:color="auto" w:sz="4" w:space="0"/>
                  </w:tcBorders>
                  <w:vAlign w:val="center"/>
                </w:tcPr>
                <w:p w14:paraId="695E2F6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3</w:t>
                  </w:r>
                </w:p>
              </w:tc>
              <w:tc>
                <w:tcPr>
                  <w:tcW w:w="679" w:type="pct"/>
                  <w:tcBorders>
                    <w:top w:val="single" w:color="auto" w:sz="4" w:space="0"/>
                    <w:left w:val="single" w:color="auto" w:sz="4" w:space="0"/>
                    <w:bottom w:val="single" w:color="auto" w:sz="4" w:space="0"/>
                    <w:right w:val="single" w:color="auto" w:sz="4" w:space="0"/>
                  </w:tcBorders>
                  <w:vAlign w:val="center"/>
                </w:tcPr>
                <w:p w14:paraId="5D4CA18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18</w:t>
                  </w:r>
                </w:p>
              </w:tc>
            </w:tr>
            <w:tr w14:paraId="353F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5E7DEF2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推土机</w:t>
                  </w:r>
                </w:p>
              </w:tc>
              <w:tc>
                <w:tcPr>
                  <w:tcW w:w="557" w:type="pct"/>
                  <w:tcBorders>
                    <w:top w:val="single" w:color="auto" w:sz="4" w:space="0"/>
                    <w:left w:val="single" w:color="auto" w:sz="4" w:space="0"/>
                    <w:bottom w:val="single" w:color="auto" w:sz="4" w:space="0"/>
                    <w:right w:val="single" w:color="auto" w:sz="4" w:space="0"/>
                  </w:tcBorders>
                  <w:vAlign w:val="center"/>
                </w:tcPr>
                <w:p w14:paraId="204CDF9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95</w:t>
                  </w:r>
                </w:p>
              </w:tc>
              <w:tc>
                <w:tcPr>
                  <w:tcW w:w="418" w:type="pct"/>
                  <w:tcBorders>
                    <w:top w:val="single" w:color="auto" w:sz="4" w:space="0"/>
                    <w:left w:val="single" w:color="auto" w:sz="4" w:space="0"/>
                    <w:bottom w:val="single" w:color="auto" w:sz="4" w:space="0"/>
                    <w:right w:val="single" w:color="auto" w:sz="4" w:space="0"/>
                  </w:tcBorders>
                  <w:vAlign w:val="center"/>
                </w:tcPr>
                <w:p w14:paraId="402AB30B">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75.0</w:t>
                  </w:r>
                </w:p>
              </w:tc>
              <w:tc>
                <w:tcPr>
                  <w:tcW w:w="376" w:type="pct"/>
                  <w:tcBorders>
                    <w:top w:val="single" w:color="auto" w:sz="4" w:space="0"/>
                    <w:left w:val="single" w:color="auto" w:sz="4" w:space="0"/>
                    <w:bottom w:val="single" w:color="auto" w:sz="4" w:space="0"/>
                    <w:right w:val="single" w:color="auto" w:sz="4" w:space="0"/>
                  </w:tcBorders>
                  <w:vAlign w:val="center"/>
                </w:tcPr>
                <w:p w14:paraId="41238B4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61.0</w:t>
                  </w:r>
                </w:p>
              </w:tc>
              <w:tc>
                <w:tcPr>
                  <w:tcW w:w="378" w:type="pct"/>
                  <w:tcBorders>
                    <w:top w:val="single" w:color="auto" w:sz="4" w:space="0"/>
                    <w:left w:val="single" w:color="auto" w:sz="4" w:space="0"/>
                    <w:bottom w:val="single" w:color="auto" w:sz="4" w:space="0"/>
                    <w:right w:val="single" w:color="auto" w:sz="4" w:space="0"/>
                  </w:tcBorders>
                  <w:vAlign w:val="center"/>
                </w:tcPr>
                <w:p w14:paraId="0BA229CA">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55.0</w:t>
                  </w:r>
                </w:p>
              </w:tc>
              <w:tc>
                <w:tcPr>
                  <w:tcW w:w="376" w:type="pct"/>
                  <w:tcBorders>
                    <w:top w:val="single" w:color="auto" w:sz="4" w:space="0"/>
                    <w:left w:val="single" w:color="auto" w:sz="4" w:space="0"/>
                    <w:bottom w:val="single" w:color="auto" w:sz="4" w:space="0"/>
                    <w:right w:val="single" w:color="auto" w:sz="4" w:space="0"/>
                  </w:tcBorders>
                  <w:vAlign w:val="center"/>
                </w:tcPr>
                <w:p w14:paraId="6729D07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51.5</w:t>
                  </w:r>
                </w:p>
              </w:tc>
              <w:tc>
                <w:tcPr>
                  <w:tcW w:w="349" w:type="pct"/>
                  <w:tcBorders>
                    <w:top w:val="single" w:color="auto" w:sz="4" w:space="0"/>
                    <w:left w:val="single" w:color="auto" w:sz="4" w:space="0"/>
                    <w:bottom w:val="single" w:color="auto" w:sz="4" w:space="0"/>
                    <w:right w:val="single" w:color="auto" w:sz="4" w:space="0"/>
                  </w:tcBorders>
                  <w:vAlign w:val="center"/>
                </w:tcPr>
                <w:p w14:paraId="4A2E89BE">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49.0</w:t>
                  </w:r>
                </w:p>
              </w:tc>
              <w:tc>
                <w:tcPr>
                  <w:tcW w:w="349" w:type="pct"/>
                  <w:tcBorders>
                    <w:top w:val="single" w:color="auto" w:sz="4" w:space="0"/>
                    <w:left w:val="single" w:color="auto" w:sz="4" w:space="0"/>
                    <w:bottom w:val="single" w:color="auto" w:sz="4" w:space="0"/>
                    <w:right w:val="single" w:color="auto" w:sz="4" w:space="0"/>
                  </w:tcBorders>
                  <w:vAlign w:val="center"/>
                </w:tcPr>
                <w:p w14:paraId="7667202D">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45.5</w:t>
                  </w:r>
                </w:p>
              </w:tc>
              <w:tc>
                <w:tcPr>
                  <w:tcW w:w="351" w:type="pct"/>
                  <w:tcBorders>
                    <w:top w:val="single" w:color="auto" w:sz="4" w:space="0"/>
                    <w:left w:val="single" w:color="auto" w:sz="4" w:space="0"/>
                    <w:bottom w:val="single" w:color="auto" w:sz="4" w:space="0"/>
                    <w:right w:val="single" w:color="auto" w:sz="4" w:space="0"/>
                  </w:tcBorders>
                  <w:vAlign w:val="center"/>
                </w:tcPr>
                <w:p w14:paraId="6D4A5C9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43.0</w:t>
                  </w:r>
                </w:p>
              </w:tc>
              <w:tc>
                <w:tcPr>
                  <w:tcW w:w="690" w:type="pct"/>
                  <w:tcBorders>
                    <w:top w:val="single" w:color="auto" w:sz="4" w:space="0"/>
                    <w:left w:val="single" w:color="auto" w:sz="4" w:space="0"/>
                    <w:bottom w:val="single" w:color="auto" w:sz="4" w:space="0"/>
                    <w:right w:val="single" w:color="auto" w:sz="4" w:space="0"/>
                  </w:tcBorders>
                  <w:vAlign w:val="center"/>
                </w:tcPr>
                <w:p w14:paraId="58CF5C55">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18</w:t>
                  </w:r>
                </w:p>
              </w:tc>
              <w:tc>
                <w:tcPr>
                  <w:tcW w:w="679" w:type="pct"/>
                  <w:tcBorders>
                    <w:top w:val="single" w:color="auto" w:sz="4" w:space="0"/>
                    <w:left w:val="single" w:color="auto" w:sz="4" w:space="0"/>
                    <w:bottom w:val="single" w:color="auto" w:sz="4" w:space="0"/>
                    <w:right w:val="single" w:color="auto" w:sz="4" w:space="0"/>
                  </w:tcBorders>
                  <w:vAlign w:val="center"/>
                </w:tcPr>
                <w:p w14:paraId="2616015F">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100</w:t>
                  </w:r>
                </w:p>
              </w:tc>
            </w:tr>
            <w:tr w14:paraId="5CFB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5B73154F">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挖掘机</w:t>
                  </w:r>
                </w:p>
              </w:tc>
              <w:tc>
                <w:tcPr>
                  <w:tcW w:w="557" w:type="pct"/>
                  <w:tcBorders>
                    <w:top w:val="single" w:color="auto" w:sz="4" w:space="0"/>
                    <w:left w:val="single" w:color="auto" w:sz="4" w:space="0"/>
                    <w:bottom w:val="single" w:color="auto" w:sz="4" w:space="0"/>
                    <w:right w:val="single" w:color="auto" w:sz="4" w:space="0"/>
                  </w:tcBorders>
                  <w:vAlign w:val="center"/>
                </w:tcPr>
                <w:p w14:paraId="6905658B">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92</w:t>
                  </w:r>
                </w:p>
              </w:tc>
              <w:tc>
                <w:tcPr>
                  <w:tcW w:w="418" w:type="pct"/>
                  <w:tcBorders>
                    <w:top w:val="single" w:color="auto" w:sz="4" w:space="0"/>
                    <w:left w:val="single" w:color="auto" w:sz="4" w:space="0"/>
                    <w:bottom w:val="single" w:color="auto" w:sz="4" w:space="0"/>
                    <w:right w:val="single" w:color="auto" w:sz="4" w:space="0"/>
                  </w:tcBorders>
                  <w:vAlign w:val="center"/>
                </w:tcPr>
                <w:p w14:paraId="0F156A4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72.0</w:t>
                  </w:r>
                </w:p>
              </w:tc>
              <w:tc>
                <w:tcPr>
                  <w:tcW w:w="376" w:type="pct"/>
                  <w:tcBorders>
                    <w:top w:val="single" w:color="auto" w:sz="4" w:space="0"/>
                    <w:left w:val="single" w:color="auto" w:sz="4" w:space="0"/>
                    <w:bottom w:val="single" w:color="auto" w:sz="4" w:space="0"/>
                    <w:right w:val="single" w:color="auto" w:sz="4" w:space="0"/>
                  </w:tcBorders>
                  <w:vAlign w:val="center"/>
                </w:tcPr>
                <w:p w14:paraId="439AE508">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58.0</w:t>
                  </w:r>
                </w:p>
              </w:tc>
              <w:tc>
                <w:tcPr>
                  <w:tcW w:w="378" w:type="pct"/>
                  <w:tcBorders>
                    <w:top w:val="single" w:color="auto" w:sz="4" w:space="0"/>
                    <w:left w:val="single" w:color="auto" w:sz="4" w:space="0"/>
                    <w:bottom w:val="single" w:color="auto" w:sz="4" w:space="0"/>
                    <w:right w:val="single" w:color="auto" w:sz="4" w:space="0"/>
                  </w:tcBorders>
                  <w:vAlign w:val="center"/>
                </w:tcPr>
                <w:p w14:paraId="2851497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52.0</w:t>
                  </w:r>
                </w:p>
              </w:tc>
              <w:tc>
                <w:tcPr>
                  <w:tcW w:w="376" w:type="pct"/>
                  <w:tcBorders>
                    <w:top w:val="single" w:color="auto" w:sz="4" w:space="0"/>
                    <w:left w:val="single" w:color="auto" w:sz="4" w:space="0"/>
                    <w:bottom w:val="single" w:color="auto" w:sz="4" w:space="0"/>
                    <w:right w:val="single" w:color="auto" w:sz="4" w:space="0"/>
                  </w:tcBorders>
                  <w:vAlign w:val="center"/>
                </w:tcPr>
                <w:p w14:paraId="517B05E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48.5</w:t>
                  </w:r>
                </w:p>
              </w:tc>
              <w:tc>
                <w:tcPr>
                  <w:tcW w:w="349" w:type="pct"/>
                  <w:tcBorders>
                    <w:top w:val="single" w:color="auto" w:sz="4" w:space="0"/>
                    <w:left w:val="single" w:color="auto" w:sz="4" w:space="0"/>
                    <w:bottom w:val="single" w:color="auto" w:sz="4" w:space="0"/>
                    <w:right w:val="single" w:color="auto" w:sz="4" w:space="0"/>
                  </w:tcBorders>
                  <w:vAlign w:val="center"/>
                </w:tcPr>
                <w:p w14:paraId="779D91C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46.0</w:t>
                  </w:r>
                </w:p>
              </w:tc>
              <w:tc>
                <w:tcPr>
                  <w:tcW w:w="349" w:type="pct"/>
                  <w:tcBorders>
                    <w:top w:val="single" w:color="auto" w:sz="4" w:space="0"/>
                    <w:left w:val="single" w:color="auto" w:sz="4" w:space="0"/>
                    <w:bottom w:val="single" w:color="auto" w:sz="4" w:space="0"/>
                    <w:right w:val="single" w:color="auto" w:sz="4" w:space="0"/>
                  </w:tcBorders>
                  <w:vAlign w:val="center"/>
                </w:tcPr>
                <w:p w14:paraId="72EE87F6">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42.5</w:t>
                  </w:r>
                </w:p>
              </w:tc>
              <w:tc>
                <w:tcPr>
                  <w:tcW w:w="351" w:type="pct"/>
                  <w:tcBorders>
                    <w:top w:val="single" w:color="auto" w:sz="4" w:space="0"/>
                    <w:left w:val="single" w:color="auto" w:sz="4" w:space="0"/>
                    <w:bottom w:val="single" w:color="auto" w:sz="4" w:space="0"/>
                    <w:right w:val="single" w:color="auto" w:sz="4" w:space="0"/>
                  </w:tcBorders>
                  <w:vAlign w:val="center"/>
                </w:tcPr>
                <w:p w14:paraId="43E2CE3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40.0</w:t>
                  </w:r>
                </w:p>
              </w:tc>
              <w:tc>
                <w:tcPr>
                  <w:tcW w:w="690" w:type="pct"/>
                  <w:tcBorders>
                    <w:top w:val="single" w:color="auto" w:sz="4" w:space="0"/>
                    <w:left w:val="single" w:color="auto" w:sz="4" w:space="0"/>
                    <w:bottom w:val="single" w:color="auto" w:sz="4" w:space="0"/>
                    <w:right w:val="single" w:color="auto" w:sz="4" w:space="0"/>
                  </w:tcBorders>
                  <w:vAlign w:val="center"/>
                </w:tcPr>
                <w:p w14:paraId="6F0D284E">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13</w:t>
                  </w:r>
                </w:p>
              </w:tc>
              <w:tc>
                <w:tcPr>
                  <w:tcW w:w="679" w:type="pct"/>
                  <w:tcBorders>
                    <w:top w:val="single" w:color="auto" w:sz="4" w:space="0"/>
                    <w:left w:val="single" w:color="auto" w:sz="4" w:space="0"/>
                    <w:bottom w:val="single" w:color="auto" w:sz="4" w:space="0"/>
                    <w:right w:val="single" w:color="auto" w:sz="4" w:space="0"/>
                  </w:tcBorders>
                  <w:vAlign w:val="center"/>
                </w:tcPr>
                <w:p w14:paraId="66D037DD">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71</w:t>
                  </w:r>
                </w:p>
              </w:tc>
            </w:tr>
            <w:tr w14:paraId="0EDF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4990D9F3">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通井机</w:t>
                  </w:r>
                </w:p>
              </w:tc>
              <w:tc>
                <w:tcPr>
                  <w:tcW w:w="557" w:type="pct"/>
                  <w:tcBorders>
                    <w:top w:val="single" w:color="auto" w:sz="4" w:space="0"/>
                    <w:left w:val="single" w:color="auto" w:sz="4" w:space="0"/>
                    <w:bottom w:val="single" w:color="auto" w:sz="4" w:space="0"/>
                    <w:right w:val="single" w:color="auto" w:sz="4" w:space="0"/>
                  </w:tcBorders>
                  <w:vAlign w:val="center"/>
                </w:tcPr>
                <w:p w14:paraId="5506284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93</w:t>
                  </w:r>
                </w:p>
              </w:tc>
              <w:tc>
                <w:tcPr>
                  <w:tcW w:w="418" w:type="pct"/>
                  <w:tcBorders>
                    <w:top w:val="single" w:color="auto" w:sz="4" w:space="0"/>
                    <w:left w:val="single" w:color="auto" w:sz="4" w:space="0"/>
                    <w:bottom w:val="single" w:color="auto" w:sz="4" w:space="0"/>
                    <w:right w:val="single" w:color="auto" w:sz="4" w:space="0"/>
                  </w:tcBorders>
                  <w:vAlign w:val="center"/>
                </w:tcPr>
                <w:p w14:paraId="68430B7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73.0</w:t>
                  </w:r>
                </w:p>
              </w:tc>
              <w:tc>
                <w:tcPr>
                  <w:tcW w:w="376" w:type="pct"/>
                  <w:tcBorders>
                    <w:top w:val="single" w:color="auto" w:sz="4" w:space="0"/>
                    <w:left w:val="single" w:color="auto" w:sz="4" w:space="0"/>
                    <w:bottom w:val="single" w:color="auto" w:sz="4" w:space="0"/>
                    <w:right w:val="single" w:color="auto" w:sz="4" w:space="0"/>
                  </w:tcBorders>
                  <w:vAlign w:val="center"/>
                </w:tcPr>
                <w:p w14:paraId="6F1AF95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59.0</w:t>
                  </w:r>
                </w:p>
              </w:tc>
              <w:tc>
                <w:tcPr>
                  <w:tcW w:w="378" w:type="pct"/>
                  <w:tcBorders>
                    <w:top w:val="single" w:color="auto" w:sz="4" w:space="0"/>
                    <w:left w:val="single" w:color="auto" w:sz="4" w:space="0"/>
                    <w:bottom w:val="single" w:color="auto" w:sz="4" w:space="0"/>
                    <w:right w:val="single" w:color="auto" w:sz="4" w:space="0"/>
                  </w:tcBorders>
                  <w:vAlign w:val="center"/>
                </w:tcPr>
                <w:p w14:paraId="78DC7224">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53.0</w:t>
                  </w:r>
                </w:p>
              </w:tc>
              <w:tc>
                <w:tcPr>
                  <w:tcW w:w="376" w:type="pct"/>
                  <w:tcBorders>
                    <w:top w:val="single" w:color="auto" w:sz="4" w:space="0"/>
                    <w:left w:val="single" w:color="auto" w:sz="4" w:space="0"/>
                    <w:bottom w:val="single" w:color="auto" w:sz="4" w:space="0"/>
                    <w:right w:val="single" w:color="auto" w:sz="4" w:space="0"/>
                  </w:tcBorders>
                  <w:vAlign w:val="center"/>
                </w:tcPr>
                <w:p w14:paraId="3C13D2E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49.5</w:t>
                  </w:r>
                </w:p>
              </w:tc>
              <w:tc>
                <w:tcPr>
                  <w:tcW w:w="349" w:type="pct"/>
                  <w:tcBorders>
                    <w:top w:val="single" w:color="auto" w:sz="4" w:space="0"/>
                    <w:left w:val="single" w:color="auto" w:sz="4" w:space="0"/>
                    <w:bottom w:val="single" w:color="auto" w:sz="4" w:space="0"/>
                    <w:right w:val="single" w:color="auto" w:sz="4" w:space="0"/>
                  </w:tcBorders>
                  <w:vAlign w:val="center"/>
                </w:tcPr>
                <w:p w14:paraId="5F8DC8B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47.0</w:t>
                  </w:r>
                </w:p>
              </w:tc>
              <w:tc>
                <w:tcPr>
                  <w:tcW w:w="349" w:type="pct"/>
                  <w:tcBorders>
                    <w:top w:val="single" w:color="auto" w:sz="4" w:space="0"/>
                    <w:left w:val="single" w:color="auto" w:sz="4" w:space="0"/>
                    <w:bottom w:val="single" w:color="auto" w:sz="4" w:space="0"/>
                    <w:right w:val="single" w:color="auto" w:sz="4" w:space="0"/>
                  </w:tcBorders>
                  <w:vAlign w:val="center"/>
                </w:tcPr>
                <w:p w14:paraId="5D592F0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43.5</w:t>
                  </w:r>
                </w:p>
              </w:tc>
              <w:tc>
                <w:tcPr>
                  <w:tcW w:w="351" w:type="pct"/>
                  <w:tcBorders>
                    <w:top w:val="single" w:color="auto" w:sz="4" w:space="0"/>
                    <w:left w:val="single" w:color="auto" w:sz="4" w:space="0"/>
                    <w:bottom w:val="single" w:color="auto" w:sz="4" w:space="0"/>
                    <w:right w:val="single" w:color="auto" w:sz="4" w:space="0"/>
                  </w:tcBorders>
                  <w:vAlign w:val="center"/>
                </w:tcPr>
                <w:p w14:paraId="416DFBA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41.0</w:t>
                  </w:r>
                </w:p>
              </w:tc>
              <w:tc>
                <w:tcPr>
                  <w:tcW w:w="690" w:type="pct"/>
                  <w:tcBorders>
                    <w:top w:val="single" w:color="auto" w:sz="4" w:space="0"/>
                    <w:left w:val="single" w:color="auto" w:sz="4" w:space="0"/>
                    <w:bottom w:val="single" w:color="auto" w:sz="4" w:space="0"/>
                    <w:right w:val="single" w:color="auto" w:sz="4" w:space="0"/>
                  </w:tcBorders>
                  <w:vAlign w:val="center"/>
                </w:tcPr>
                <w:p w14:paraId="335B3265">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14</w:t>
                  </w:r>
                </w:p>
              </w:tc>
              <w:tc>
                <w:tcPr>
                  <w:tcW w:w="679" w:type="pct"/>
                  <w:tcBorders>
                    <w:top w:val="single" w:color="auto" w:sz="4" w:space="0"/>
                    <w:left w:val="single" w:color="auto" w:sz="4" w:space="0"/>
                    <w:bottom w:val="single" w:color="auto" w:sz="4" w:space="0"/>
                    <w:right w:val="single" w:color="auto" w:sz="4" w:space="0"/>
                  </w:tcBorders>
                  <w:vAlign w:val="center"/>
                </w:tcPr>
                <w:p w14:paraId="4CA91D8A">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79</w:t>
                  </w:r>
                </w:p>
              </w:tc>
            </w:tr>
            <w:tr w14:paraId="7921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1E8C92C7">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修井机</w:t>
                  </w:r>
                </w:p>
              </w:tc>
              <w:tc>
                <w:tcPr>
                  <w:tcW w:w="557" w:type="pct"/>
                  <w:tcBorders>
                    <w:top w:val="single" w:color="auto" w:sz="4" w:space="0"/>
                    <w:left w:val="single" w:color="auto" w:sz="4" w:space="0"/>
                    <w:bottom w:val="single" w:color="auto" w:sz="4" w:space="0"/>
                    <w:right w:val="single" w:color="auto" w:sz="4" w:space="0"/>
                  </w:tcBorders>
                  <w:vAlign w:val="center"/>
                </w:tcPr>
                <w:p w14:paraId="11E7A3ED">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93</w:t>
                  </w:r>
                </w:p>
              </w:tc>
              <w:tc>
                <w:tcPr>
                  <w:tcW w:w="418" w:type="pct"/>
                  <w:tcBorders>
                    <w:top w:val="single" w:color="auto" w:sz="4" w:space="0"/>
                    <w:left w:val="single" w:color="auto" w:sz="4" w:space="0"/>
                    <w:bottom w:val="single" w:color="auto" w:sz="4" w:space="0"/>
                    <w:right w:val="single" w:color="auto" w:sz="4" w:space="0"/>
                  </w:tcBorders>
                  <w:vAlign w:val="center"/>
                </w:tcPr>
                <w:p w14:paraId="7E888772">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73.0</w:t>
                  </w:r>
                </w:p>
              </w:tc>
              <w:tc>
                <w:tcPr>
                  <w:tcW w:w="376" w:type="pct"/>
                  <w:tcBorders>
                    <w:top w:val="single" w:color="auto" w:sz="4" w:space="0"/>
                    <w:left w:val="single" w:color="auto" w:sz="4" w:space="0"/>
                    <w:bottom w:val="single" w:color="auto" w:sz="4" w:space="0"/>
                    <w:right w:val="single" w:color="auto" w:sz="4" w:space="0"/>
                  </w:tcBorders>
                  <w:vAlign w:val="center"/>
                </w:tcPr>
                <w:p w14:paraId="56C12423">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59.0</w:t>
                  </w:r>
                </w:p>
              </w:tc>
              <w:tc>
                <w:tcPr>
                  <w:tcW w:w="378" w:type="pct"/>
                  <w:tcBorders>
                    <w:top w:val="single" w:color="auto" w:sz="4" w:space="0"/>
                    <w:left w:val="single" w:color="auto" w:sz="4" w:space="0"/>
                    <w:bottom w:val="single" w:color="auto" w:sz="4" w:space="0"/>
                    <w:right w:val="single" w:color="auto" w:sz="4" w:space="0"/>
                  </w:tcBorders>
                  <w:vAlign w:val="center"/>
                </w:tcPr>
                <w:p w14:paraId="4A943924">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53.0</w:t>
                  </w:r>
                </w:p>
              </w:tc>
              <w:tc>
                <w:tcPr>
                  <w:tcW w:w="376" w:type="pct"/>
                  <w:tcBorders>
                    <w:top w:val="single" w:color="auto" w:sz="4" w:space="0"/>
                    <w:left w:val="single" w:color="auto" w:sz="4" w:space="0"/>
                    <w:bottom w:val="single" w:color="auto" w:sz="4" w:space="0"/>
                    <w:right w:val="single" w:color="auto" w:sz="4" w:space="0"/>
                  </w:tcBorders>
                  <w:vAlign w:val="center"/>
                </w:tcPr>
                <w:p w14:paraId="3360FF88">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49.5</w:t>
                  </w:r>
                </w:p>
              </w:tc>
              <w:tc>
                <w:tcPr>
                  <w:tcW w:w="349" w:type="pct"/>
                  <w:tcBorders>
                    <w:top w:val="single" w:color="auto" w:sz="4" w:space="0"/>
                    <w:left w:val="single" w:color="auto" w:sz="4" w:space="0"/>
                    <w:bottom w:val="single" w:color="auto" w:sz="4" w:space="0"/>
                    <w:right w:val="single" w:color="auto" w:sz="4" w:space="0"/>
                  </w:tcBorders>
                  <w:vAlign w:val="center"/>
                </w:tcPr>
                <w:p w14:paraId="2B37DC0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47.0</w:t>
                  </w:r>
                </w:p>
              </w:tc>
              <w:tc>
                <w:tcPr>
                  <w:tcW w:w="349" w:type="pct"/>
                  <w:tcBorders>
                    <w:top w:val="single" w:color="auto" w:sz="4" w:space="0"/>
                    <w:left w:val="single" w:color="auto" w:sz="4" w:space="0"/>
                    <w:bottom w:val="single" w:color="auto" w:sz="4" w:space="0"/>
                    <w:right w:val="single" w:color="auto" w:sz="4" w:space="0"/>
                  </w:tcBorders>
                  <w:vAlign w:val="center"/>
                </w:tcPr>
                <w:p w14:paraId="18FFAC71">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43.5</w:t>
                  </w:r>
                </w:p>
              </w:tc>
              <w:tc>
                <w:tcPr>
                  <w:tcW w:w="351" w:type="pct"/>
                  <w:tcBorders>
                    <w:top w:val="single" w:color="auto" w:sz="4" w:space="0"/>
                    <w:left w:val="single" w:color="auto" w:sz="4" w:space="0"/>
                    <w:bottom w:val="single" w:color="auto" w:sz="4" w:space="0"/>
                    <w:right w:val="single" w:color="auto" w:sz="4" w:space="0"/>
                  </w:tcBorders>
                  <w:vAlign w:val="center"/>
                </w:tcPr>
                <w:p w14:paraId="2387269F">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41.0</w:t>
                  </w:r>
                </w:p>
              </w:tc>
              <w:tc>
                <w:tcPr>
                  <w:tcW w:w="690" w:type="pct"/>
                  <w:tcBorders>
                    <w:top w:val="single" w:color="auto" w:sz="4" w:space="0"/>
                    <w:left w:val="single" w:color="auto" w:sz="4" w:space="0"/>
                    <w:bottom w:val="single" w:color="auto" w:sz="4" w:space="0"/>
                    <w:right w:val="single" w:color="auto" w:sz="4" w:space="0"/>
                  </w:tcBorders>
                  <w:vAlign w:val="center"/>
                </w:tcPr>
                <w:p w14:paraId="12E164C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14</w:t>
                  </w:r>
                </w:p>
              </w:tc>
              <w:tc>
                <w:tcPr>
                  <w:tcW w:w="679" w:type="pct"/>
                  <w:tcBorders>
                    <w:top w:val="single" w:color="auto" w:sz="4" w:space="0"/>
                    <w:left w:val="single" w:color="auto" w:sz="4" w:space="0"/>
                    <w:bottom w:val="single" w:color="auto" w:sz="4" w:space="0"/>
                    <w:right w:val="single" w:color="auto" w:sz="4" w:space="0"/>
                  </w:tcBorders>
                  <w:vAlign w:val="center"/>
                </w:tcPr>
                <w:p w14:paraId="6BE2DC0F">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79</w:t>
                  </w:r>
                </w:p>
              </w:tc>
            </w:tr>
            <w:tr w14:paraId="23D3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072767C5">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压裂泵车</w:t>
                  </w:r>
                </w:p>
              </w:tc>
              <w:tc>
                <w:tcPr>
                  <w:tcW w:w="557" w:type="pct"/>
                  <w:tcBorders>
                    <w:top w:val="single" w:color="auto" w:sz="4" w:space="0"/>
                    <w:left w:val="single" w:color="auto" w:sz="4" w:space="0"/>
                    <w:bottom w:val="single" w:color="auto" w:sz="4" w:space="0"/>
                    <w:right w:val="single" w:color="auto" w:sz="4" w:space="0"/>
                  </w:tcBorders>
                  <w:vAlign w:val="center"/>
                </w:tcPr>
                <w:p w14:paraId="0DC495F6">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100</w:t>
                  </w:r>
                </w:p>
              </w:tc>
              <w:tc>
                <w:tcPr>
                  <w:tcW w:w="418" w:type="pct"/>
                  <w:tcBorders>
                    <w:top w:val="single" w:color="auto" w:sz="4" w:space="0"/>
                    <w:left w:val="single" w:color="auto" w:sz="4" w:space="0"/>
                    <w:bottom w:val="single" w:color="auto" w:sz="4" w:space="0"/>
                    <w:right w:val="single" w:color="auto" w:sz="4" w:space="0"/>
                  </w:tcBorders>
                  <w:vAlign w:val="center"/>
                </w:tcPr>
                <w:p w14:paraId="49B9A3FB">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80.0</w:t>
                  </w:r>
                </w:p>
              </w:tc>
              <w:tc>
                <w:tcPr>
                  <w:tcW w:w="376" w:type="pct"/>
                  <w:tcBorders>
                    <w:top w:val="single" w:color="auto" w:sz="4" w:space="0"/>
                    <w:left w:val="single" w:color="auto" w:sz="4" w:space="0"/>
                    <w:bottom w:val="single" w:color="auto" w:sz="4" w:space="0"/>
                    <w:right w:val="single" w:color="auto" w:sz="4" w:space="0"/>
                  </w:tcBorders>
                  <w:vAlign w:val="center"/>
                </w:tcPr>
                <w:p w14:paraId="71D4B510">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66.0</w:t>
                  </w:r>
                </w:p>
              </w:tc>
              <w:tc>
                <w:tcPr>
                  <w:tcW w:w="378" w:type="pct"/>
                  <w:tcBorders>
                    <w:top w:val="single" w:color="auto" w:sz="4" w:space="0"/>
                    <w:left w:val="single" w:color="auto" w:sz="4" w:space="0"/>
                    <w:bottom w:val="single" w:color="auto" w:sz="4" w:space="0"/>
                    <w:right w:val="single" w:color="auto" w:sz="4" w:space="0"/>
                  </w:tcBorders>
                  <w:vAlign w:val="center"/>
                </w:tcPr>
                <w:p w14:paraId="083321B3">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60.0</w:t>
                  </w:r>
                </w:p>
              </w:tc>
              <w:tc>
                <w:tcPr>
                  <w:tcW w:w="376" w:type="pct"/>
                  <w:tcBorders>
                    <w:top w:val="single" w:color="auto" w:sz="4" w:space="0"/>
                    <w:left w:val="single" w:color="auto" w:sz="4" w:space="0"/>
                    <w:bottom w:val="single" w:color="auto" w:sz="4" w:space="0"/>
                    <w:right w:val="single" w:color="auto" w:sz="4" w:space="0"/>
                  </w:tcBorders>
                  <w:vAlign w:val="center"/>
                </w:tcPr>
                <w:p w14:paraId="2CA07F4F">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56.5</w:t>
                  </w:r>
                </w:p>
              </w:tc>
              <w:tc>
                <w:tcPr>
                  <w:tcW w:w="349" w:type="pct"/>
                  <w:tcBorders>
                    <w:top w:val="single" w:color="auto" w:sz="4" w:space="0"/>
                    <w:left w:val="single" w:color="auto" w:sz="4" w:space="0"/>
                    <w:bottom w:val="single" w:color="auto" w:sz="4" w:space="0"/>
                    <w:right w:val="single" w:color="auto" w:sz="4" w:space="0"/>
                  </w:tcBorders>
                  <w:vAlign w:val="center"/>
                </w:tcPr>
                <w:p w14:paraId="2440C4C8">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54.0</w:t>
                  </w:r>
                </w:p>
              </w:tc>
              <w:tc>
                <w:tcPr>
                  <w:tcW w:w="349" w:type="pct"/>
                  <w:tcBorders>
                    <w:top w:val="single" w:color="auto" w:sz="4" w:space="0"/>
                    <w:left w:val="single" w:color="auto" w:sz="4" w:space="0"/>
                    <w:bottom w:val="single" w:color="auto" w:sz="4" w:space="0"/>
                    <w:right w:val="single" w:color="auto" w:sz="4" w:space="0"/>
                  </w:tcBorders>
                  <w:vAlign w:val="center"/>
                </w:tcPr>
                <w:p w14:paraId="63C9E048">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50.5</w:t>
                  </w:r>
                </w:p>
              </w:tc>
              <w:tc>
                <w:tcPr>
                  <w:tcW w:w="351" w:type="pct"/>
                  <w:tcBorders>
                    <w:top w:val="single" w:color="auto" w:sz="4" w:space="0"/>
                    <w:left w:val="single" w:color="auto" w:sz="4" w:space="0"/>
                    <w:bottom w:val="single" w:color="auto" w:sz="4" w:space="0"/>
                    <w:right w:val="single" w:color="auto" w:sz="4" w:space="0"/>
                  </w:tcBorders>
                  <w:vAlign w:val="center"/>
                </w:tcPr>
                <w:p w14:paraId="52AE09C4">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48.0</w:t>
                  </w:r>
                </w:p>
              </w:tc>
              <w:tc>
                <w:tcPr>
                  <w:tcW w:w="690" w:type="pct"/>
                  <w:tcBorders>
                    <w:top w:val="single" w:color="auto" w:sz="4" w:space="0"/>
                    <w:left w:val="single" w:color="auto" w:sz="4" w:space="0"/>
                    <w:bottom w:val="single" w:color="auto" w:sz="4" w:space="0"/>
                    <w:right w:val="single" w:color="auto" w:sz="4" w:space="0"/>
                  </w:tcBorders>
                  <w:vAlign w:val="center"/>
                </w:tcPr>
                <w:p w14:paraId="79B97559">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32</w:t>
                  </w:r>
                </w:p>
              </w:tc>
              <w:tc>
                <w:tcPr>
                  <w:tcW w:w="679" w:type="pct"/>
                  <w:tcBorders>
                    <w:top w:val="single" w:color="auto" w:sz="4" w:space="0"/>
                    <w:left w:val="single" w:color="auto" w:sz="4" w:space="0"/>
                    <w:bottom w:val="single" w:color="auto" w:sz="4" w:space="0"/>
                    <w:right w:val="single" w:color="auto" w:sz="4" w:space="0"/>
                  </w:tcBorders>
                  <w:vAlign w:val="center"/>
                </w:tcPr>
                <w:p w14:paraId="5AD7CCAB">
                  <w:pPr>
                    <w:tabs>
                      <w:tab w:val="left" w:pos="377"/>
                    </w:tabs>
                    <w:adjustRightInd w:val="0"/>
                    <w:snapToGrid w:val="0"/>
                    <w:spacing w:line="276" w:lineRule="auto"/>
                    <w:jc w:val="center"/>
                    <w:rPr>
                      <w:rFonts w:hint="eastAsia" w:ascii="宋体" w:hAnsi="宋体"/>
                      <w:kern w:val="0"/>
                      <w:szCs w:val="21"/>
                    </w:rPr>
                  </w:pPr>
                  <w:r>
                    <w:rPr>
                      <w:rFonts w:hint="eastAsia" w:ascii="宋体" w:hAnsi="宋体"/>
                      <w:kern w:val="0"/>
                      <w:szCs w:val="21"/>
                      <w:lang w:bidi="ar"/>
                    </w:rPr>
                    <w:t>178</w:t>
                  </w:r>
                </w:p>
              </w:tc>
            </w:tr>
            <w:tr w14:paraId="5327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09C7B20A">
                  <w:pPr>
                    <w:tabs>
                      <w:tab w:val="left" w:pos="377"/>
                    </w:tabs>
                    <w:adjustRightInd w:val="0"/>
                    <w:snapToGrid w:val="0"/>
                    <w:spacing w:line="276" w:lineRule="auto"/>
                    <w:jc w:val="center"/>
                    <w:rPr>
                      <w:rFonts w:hint="eastAsia" w:ascii="宋体" w:hAnsi="宋体"/>
                      <w:bCs/>
                      <w:kern w:val="0"/>
                    </w:rPr>
                  </w:pPr>
                  <w:r>
                    <w:rPr>
                      <w:rFonts w:hint="eastAsia" w:ascii="宋体" w:hAnsi="宋体"/>
                      <w:lang w:bidi="ar"/>
                    </w:rPr>
                    <w:t>混砂车</w:t>
                  </w:r>
                </w:p>
              </w:tc>
              <w:tc>
                <w:tcPr>
                  <w:tcW w:w="557" w:type="pct"/>
                  <w:tcBorders>
                    <w:top w:val="single" w:color="auto" w:sz="4" w:space="0"/>
                    <w:left w:val="single" w:color="auto" w:sz="4" w:space="0"/>
                    <w:bottom w:val="single" w:color="auto" w:sz="4" w:space="0"/>
                    <w:right w:val="single" w:color="auto" w:sz="4" w:space="0"/>
                  </w:tcBorders>
                  <w:vAlign w:val="center"/>
                </w:tcPr>
                <w:p w14:paraId="4D05DFA8">
                  <w:pPr>
                    <w:tabs>
                      <w:tab w:val="left" w:pos="377"/>
                    </w:tabs>
                    <w:adjustRightInd w:val="0"/>
                    <w:snapToGrid w:val="0"/>
                    <w:spacing w:line="276" w:lineRule="auto"/>
                    <w:jc w:val="center"/>
                    <w:rPr>
                      <w:rFonts w:hint="eastAsia" w:ascii="宋体" w:hAnsi="宋体"/>
                      <w:bCs/>
                    </w:rPr>
                  </w:pPr>
                  <w:r>
                    <w:rPr>
                      <w:rFonts w:hint="eastAsia" w:ascii="宋体" w:hAnsi="宋体"/>
                      <w:lang w:bidi="ar"/>
                    </w:rPr>
                    <w:t>85</w:t>
                  </w:r>
                </w:p>
              </w:tc>
              <w:tc>
                <w:tcPr>
                  <w:tcW w:w="418" w:type="pct"/>
                  <w:tcBorders>
                    <w:top w:val="single" w:color="auto" w:sz="4" w:space="0"/>
                    <w:left w:val="single" w:color="auto" w:sz="4" w:space="0"/>
                    <w:bottom w:val="single" w:color="auto" w:sz="4" w:space="0"/>
                    <w:right w:val="single" w:color="auto" w:sz="4" w:space="0"/>
                  </w:tcBorders>
                  <w:vAlign w:val="center"/>
                </w:tcPr>
                <w:p w14:paraId="75620872">
                  <w:pPr>
                    <w:tabs>
                      <w:tab w:val="left" w:pos="377"/>
                    </w:tabs>
                    <w:adjustRightInd w:val="0"/>
                    <w:snapToGrid w:val="0"/>
                    <w:spacing w:line="276" w:lineRule="auto"/>
                    <w:jc w:val="center"/>
                    <w:rPr>
                      <w:rFonts w:hint="eastAsia" w:ascii="宋体" w:hAnsi="宋体"/>
                    </w:rPr>
                  </w:pPr>
                  <w:r>
                    <w:rPr>
                      <w:rFonts w:hint="eastAsia" w:ascii="宋体" w:hAnsi="宋体"/>
                      <w:lang w:bidi="ar"/>
                    </w:rPr>
                    <w:t>65.0</w:t>
                  </w:r>
                </w:p>
              </w:tc>
              <w:tc>
                <w:tcPr>
                  <w:tcW w:w="376" w:type="pct"/>
                  <w:tcBorders>
                    <w:top w:val="single" w:color="auto" w:sz="4" w:space="0"/>
                    <w:left w:val="single" w:color="auto" w:sz="4" w:space="0"/>
                    <w:bottom w:val="single" w:color="auto" w:sz="4" w:space="0"/>
                    <w:right w:val="single" w:color="auto" w:sz="4" w:space="0"/>
                  </w:tcBorders>
                  <w:vAlign w:val="center"/>
                </w:tcPr>
                <w:p w14:paraId="4CEAE424">
                  <w:pPr>
                    <w:tabs>
                      <w:tab w:val="left" w:pos="377"/>
                    </w:tabs>
                    <w:adjustRightInd w:val="0"/>
                    <w:snapToGrid w:val="0"/>
                    <w:spacing w:line="276" w:lineRule="auto"/>
                    <w:jc w:val="center"/>
                    <w:rPr>
                      <w:rFonts w:hint="eastAsia" w:ascii="宋体" w:hAnsi="宋体"/>
                    </w:rPr>
                  </w:pPr>
                  <w:r>
                    <w:rPr>
                      <w:rFonts w:hint="eastAsia" w:ascii="宋体" w:hAnsi="宋体"/>
                      <w:lang w:bidi="ar"/>
                    </w:rPr>
                    <w:t>51.0</w:t>
                  </w:r>
                </w:p>
              </w:tc>
              <w:tc>
                <w:tcPr>
                  <w:tcW w:w="378" w:type="pct"/>
                  <w:tcBorders>
                    <w:top w:val="single" w:color="auto" w:sz="4" w:space="0"/>
                    <w:left w:val="single" w:color="auto" w:sz="4" w:space="0"/>
                    <w:bottom w:val="single" w:color="auto" w:sz="4" w:space="0"/>
                    <w:right w:val="single" w:color="auto" w:sz="4" w:space="0"/>
                  </w:tcBorders>
                  <w:vAlign w:val="center"/>
                </w:tcPr>
                <w:p w14:paraId="6A3F141D">
                  <w:pPr>
                    <w:tabs>
                      <w:tab w:val="left" w:pos="377"/>
                    </w:tabs>
                    <w:adjustRightInd w:val="0"/>
                    <w:snapToGrid w:val="0"/>
                    <w:spacing w:line="276" w:lineRule="auto"/>
                    <w:jc w:val="center"/>
                    <w:rPr>
                      <w:rFonts w:hint="eastAsia" w:ascii="宋体" w:hAnsi="宋体"/>
                    </w:rPr>
                  </w:pPr>
                  <w:r>
                    <w:rPr>
                      <w:rFonts w:hint="eastAsia" w:ascii="宋体" w:hAnsi="宋体"/>
                      <w:lang w:bidi="ar"/>
                    </w:rPr>
                    <w:t>45.0</w:t>
                  </w:r>
                </w:p>
              </w:tc>
              <w:tc>
                <w:tcPr>
                  <w:tcW w:w="376" w:type="pct"/>
                  <w:tcBorders>
                    <w:top w:val="single" w:color="auto" w:sz="4" w:space="0"/>
                    <w:left w:val="single" w:color="auto" w:sz="4" w:space="0"/>
                    <w:bottom w:val="single" w:color="auto" w:sz="4" w:space="0"/>
                    <w:right w:val="single" w:color="auto" w:sz="4" w:space="0"/>
                  </w:tcBorders>
                  <w:vAlign w:val="center"/>
                </w:tcPr>
                <w:p w14:paraId="10F390FA">
                  <w:pPr>
                    <w:tabs>
                      <w:tab w:val="left" w:pos="377"/>
                    </w:tabs>
                    <w:adjustRightInd w:val="0"/>
                    <w:snapToGrid w:val="0"/>
                    <w:spacing w:line="276" w:lineRule="auto"/>
                    <w:jc w:val="center"/>
                    <w:rPr>
                      <w:rFonts w:hint="eastAsia" w:ascii="宋体" w:hAnsi="宋体"/>
                    </w:rPr>
                  </w:pPr>
                  <w:r>
                    <w:rPr>
                      <w:rFonts w:hint="eastAsia" w:ascii="宋体" w:hAnsi="宋体"/>
                      <w:lang w:bidi="ar"/>
                    </w:rPr>
                    <w:t>41.5</w:t>
                  </w:r>
                </w:p>
              </w:tc>
              <w:tc>
                <w:tcPr>
                  <w:tcW w:w="349" w:type="pct"/>
                  <w:tcBorders>
                    <w:top w:val="single" w:color="auto" w:sz="4" w:space="0"/>
                    <w:left w:val="single" w:color="auto" w:sz="4" w:space="0"/>
                    <w:bottom w:val="single" w:color="auto" w:sz="4" w:space="0"/>
                    <w:right w:val="single" w:color="auto" w:sz="4" w:space="0"/>
                  </w:tcBorders>
                  <w:vAlign w:val="center"/>
                </w:tcPr>
                <w:p w14:paraId="6B0D84A2">
                  <w:pPr>
                    <w:tabs>
                      <w:tab w:val="left" w:pos="377"/>
                    </w:tabs>
                    <w:adjustRightInd w:val="0"/>
                    <w:snapToGrid w:val="0"/>
                    <w:spacing w:line="276" w:lineRule="auto"/>
                    <w:jc w:val="center"/>
                    <w:rPr>
                      <w:rFonts w:hint="eastAsia" w:ascii="宋体" w:hAnsi="宋体"/>
                    </w:rPr>
                  </w:pPr>
                  <w:r>
                    <w:rPr>
                      <w:rFonts w:hint="eastAsia" w:ascii="宋体" w:hAnsi="宋体"/>
                      <w:lang w:bidi="ar"/>
                    </w:rPr>
                    <w:t>39.0</w:t>
                  </w:r>
                </w:p>
              </w:tc>
              <w:tc>
                <w:tcPr>
                  <w:tcW w:w="349" w:type="pct"/>
                  <w:tcBorders>
                    <w:top w:val="single" w:color="auto" w:sz="4" w:space="0"/>
                    <w:left w:val="single" w:color="auto" w:sz="4" w:space="0"/>
                    <w:bottom w:val="single" w:color="auto" w:sz="4" w:space="0"/>
                    <w:right w:val="single" w:color="auto" w:sz="4" w:space="0"/>
                  </w:tcBorders>
                  <w:vAlign w:val="center"/>
                </w:tcPr>
                <w:p w14:paraId="00A63570">
                  <w:pPr>
                    <w:tabs>
                      <w:tab w:val="left" w:pos="377"/>
                    </w:tabs>
                    <w:adjustRightInd w:val="0"/>
                    <w:snapToGrid w:val="0"/>
                    <w:spacing w:line="276" w:lineRule="auto"/>
                    <w:jc w:val="center"/>
                    <w:rPr>
                      <w:rFonts w:hint="eastAsia" w:ascii="宋体" w:hAnsi="宋体"/>
                    </w:rPr>
                  </w:pPr>
                  <w:r>
                    <w:rPr>
                      <w:rFonts w:hint="eastAsia" w:ascii="宋体" w:hAnsi="宋体"/>
                      <w:lang w:bidi="ar"/>
                    </w:rPr>
                    <w:t>35.5</w:t>
                  </w:r>
                </w:p>
              </w:tc>
              <w:tc>
                <w:tcPr>
                  <w:tcW w:w="351" w:type="pct"/>
                  <w:tcBorders>
                    <w:top w:val="single" w:color="auto" w:sz="4" w:space="0"/>
                    <w:left w:val="single" w:color="auto" w:sz="4" w:space="0"/>
                    <w:bottom w:val="single" w:color="auto" w:sz="4" w:space="0"/>
                    <w:right w:val="single" w:color="auto" w:sz="4" w:space="0"/>
                  </w:tcBorders>
                  <w:vAlign w:val="center"/>
                </w:tcPr>
                <w:p w14:paraId="035CC376">
                  <w:pPr>
                    <w:tabs>
                      <w:tab w:val="left" w:pos="377"/>
                    </w:tabs>
                    <w:adjustRightInd w:val="0"/>
                    <w:snapToGrid w:val="0"/>
                    <w:spacing w:line="276" w:lineRule="auto"/>
                    <w:jc w:val="center"/>
                    <w:rPr>
                      <w:rFonts w:hint="eastAsia" w:ascii="宋体" w:hAnsi="宋体"/>
                    </w:rPr>
                  </w:pPr>
                  <w:r>
                    <w:rPr>
                      <w:rFonts w:hint="eastAsia" w:ascii="宋体" w:hAnsi="宋体"/>
                      <w:lang w:bidi="ar"/>
                    </w:rPr>
                    <w:t>34.1</w:t>
                  </w:r>
                </w:p>
              </w:tc>
              <w:tc>
                <w:tcPr>
                  <w:tcW w:w="690" w:type="pct"/>
                  <w:tcBorders>
                    <w:top w:val="single" w:color="auto" w:sz="4" w:space="0"/>
                    <w:left w:val="single" w:color="auto" w:sz="4" w:space="0"/>
                    <w:bottom w:val="single" w:color="auto" w:sz="4" w:space="0"/>
                    <w:right w:val="single" w:color="auto" w:sz="4" w:space="0"/>
                  </w:tcBorders>
                  <w:vAlign w:val="center"/>
                </w:tcPr>
                <w:p w14:paraId="18C33B12">
                  <w:pPr>
                    <w:tabs>
                      <w:tab w:val="left" w:pos="377"/>
                    </w:tabs>
                    <w:adjustRightInd w:val="0"/>
                    <w:snapToGrid w:val="0"/>
                    <w:spacing w:line="276" w:lineRule="auto"/>
                    <w:jc w:val="center"/>
                    <w:rPr>
                      <w:rFonts w:hint="eastAsia" w:ascii="宋体" w:hAnsi="宋体"/>
                    </w:rPr>
                  </w:pPr>
                  <w:r>
                    <w:rPr>
                      <w:rFonts w:hint="eastAsia" w:ascii="宋体" w:hAnsi="宋体"/>
                      <w:lang w:bidi="ar"/>
                    </w:rPr>
                    <w:t>6</w:t>
                  </w:r>
                </w:p>
              </w:tc>
              <w:tc>
                <w:tcPr>
                  <w:tcW w:w="679" w:type="pct"/>
                  <w:tcBorders>
                    <w:top w:val="single" w:color="auto" w:sz="4" w:space="0"/>
                    <w:left w:val="single" w:color="auto" w:sz="4" w:space="0"/>
                    <w:bottom w:val="single" w:color="auto" w:sz="4" w:space="0"/>
                    <w:right w:val="single" w:color="auto" w:sz="4" w:space="0"/>
                  </w:tcBorders>
                  <w:vAlign w:val="center"/>
                </w:tcPr>
                <w:p w14:paraId="14BDDF2A">
                  <w:pPr>
                    <w:tabs>
                      <w:tab w:val="left" w:pos="377"/>
                    </w:tabs>
                    <w:adjustRightInd w:val="0"/>
                    <w:snapToGrid w:val="0"/>
                    <w:spacing w:line="276" w:lineRule="auto"/>
                    <w:jc w:val="center"/>
                    <w:rPr>
                      <w:rFonts w:hint="eastAsia" w:ascii="宋体" w:hAnsi="宋体"/>
                    </w:rPr>
                  </w:pPr>
                  <w:r>
                    <w:rPr>
                      <w:rFonts w:hint="eastAsia" w:ascii="宋体" w:hAnsi="宋体"/>
                      <w:lang w:bidi="ar"/>
                    </w:rPr>
                    <w:t>32</w:t>
                  </w:r>
                </w:p>
              </w:tc>
            </w:tr>
            <w:tr w14:paraId="28B2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1E819493">
                  <w:pPr>
                    <w:tabs>
                      <w:tab w:val="left" w:pos="377"/>
                    </w:tabs>
                    <w:adjustRightInd w:val="0"/>
                    <w:snapToGrid w:val="0"/>
                    <w:spacing w:line="276" w:lineRule="auto"/>
                    <w:jc w:val="center"/>
                    <w:rPr>
                      <w:rFonts w:hint="eastAsia" w:ascii="宋体" w:hAnsi="宋体"/>
                      <w:bCs/>
                      <w:kern w:val="0"/>
                    </w:rPr>
                  </w:pPr>
                  <w:r>
                    <w:rPr>
                      <w:rFonts w:hint="eastAsia" w:ascii="宋体" w:hAnsi="宋体"/>
                      <w:lang w:bidi="ar"/>
                    </w:rPr>
                    <w:t>仪表车</w:t>
                  </w:r>
                </w:p>
              </w:tc>
              <w:tc>
                <w:tcPr>
                  <w:tcW w:w="557" w:type="pct"/>
                  <w:tcBorders>
                    <w:top w:val="single" w:color="auto" w:sz="4" w:space="0"/>
                    <w:left w:val="single" w:color="auto" w:sz="4" w:space="0"/>
                    <w:bottom w:val="single" w:color="auto" w:sz="4" w:space="0"/>
                    <w:right w:val="single" w:color="auto" w:sz="4" w:space="0"/>
                  </w:tcBorders>
                  <w:vAlign w:val="center"/>
                </w:tcPr>
                <w:p w14:paraId="6C2D99C6">
                  <w:pPr>
                    <w:tabs>
                      <w:tab w:val="left" w:pos="377"/>
                    </w:tabs>
                    <w:adjustRightInd w:val="0"/>
                    <w:snapToGrid w:val="0"/>
                    <w:spacing w:line="276" w:lineRule="auto"/>
                    <w:jc w:val="center"/>
                    <w:rPr>
                      <w:rFonts w:hint="eastAsia" w:ascii="宋体" w:hAnsi="宋体"/>
                      <w:bCs/>
                    </w:rPr>
                  </w:pPr>
                  <w:r>
                    <w:rPr>
                      <w:rFonts w:hint="eastAsia" w:ascii="宋体" w:hAnsi="宋体"/>
                      <w:lang w:bidi="ar"/>
                    </w:rPr>
                    <w:t>80</w:t>
                  </w:r>
                </w:p>
              </w:tc>
              <w:tc>
                <w:tcPr>
                  <w:tcW w:w="418" w:type="pct"/>
                  <w:tcBorders>
                    <w:top w:val="single" w:color="auto" w:sz="4" w:space="0"/>
                    <w:left w:val="single" w:color="auto" w:sz="4" w:space="0"/>
                    <w:bottom w:val="single" w:color="auto" w:sz="4" w:space="0"/>
                    <w:right w:val="single" w:color="auto" w:sz="4" w:space="0"/>
                  </w:tcBorders>
                  <w:vAlign w:val="center"/>
                </w:tcPr>
                <w:p w14:paraId="2C7140FC">
                  <w:pPr>
                    <w:tabs>
                      <w:tab w:val="left" w:pos="377"/>
                    </w:tabs>
                    <w:adjustRightInd w:val="0"/>
                    <w:snapToGrid w:val="0"/>
                    <w:spacing w:line="276" w:lineRule="auto"/>
                    <w:jc w:val="center"/>
                    <w:rPr>
                      <w:rFonts w:hint="eastAsia" w:ascii="宋体" w:hAnsi="宋体"/>
                    </w:rPr>
                  </w:pPr>
                  <w:r>
                    <w:rPr>
                      <w:rFonts w:hint="eastAsia" w:ascii="宋体" w:hAnsi="宋体"/>
                      <w:lang w:bidi="ar"/>
                    </w:rPr>
                    <w:t>60.0</w:t>
                  </w:r>
                </w:p>
              </w:tc>
              <w:tc>
                <w:tcPr>
                  <w:tcW w:w="376" w:type="pct"/>
                  <w:tcBorders>
                    <w:top w:val="single" w:color="auto" w:sz="4" w:space="0"/>
                    <w:left w:val="single" w:color="auto" w:sz="4" w:space="0"/>
                    <w:bottom w:val="single" w:color="auto" w:sz="4" w:space="0"/>
                    <w:right w:val="single" w:color="auto" w:sz="4" w:space="0"/>
                  </w:tcBorders>
                  <w:vAlign w:val="center"/>
                </w:tcPr>
                <w:p w14:paraId="0FD6C75C">
                  <w:pPr>
                    <w:tabs>
                      <w:tab w:val="left" w:pos="377"/>
                    </w:tabs>
                    <w:adjustRightInd w:val="0"/>
                    <w:snapToGrid w:val="0"/>
                    <w:spacing w:line="276" w:lineRule="auto"/>
                    <w:jc w:val="center"/>
                    <w:rPr>
                      <w:rFonts w:hint="eastAsia" w:ascii="宋体" w:hAnsi="宋体"/>
                    </w:rPr>
                  </w:pPr>
                  <w:r>
                    <w:rPr>
                      <w:rFonts w:hint="eastAsia" w:ascii="宋体" w:hAnsi="宋体"/>
                      <w:lang w:bidi="ar"/>
                    </w:rPr>
                    <w:t>46.0</w:t>
                  </w:r>
                </w:p>
              </w:tc>
              <w:tc>
                <w:tcPr>
                  <w:tcW w:w="378" w:type="pct"/>
                  <w:tcBorders>
                    <w:top w:val="single" w:color="auto" w:sz="4" w:space="0"/>
                    <w:left w:val="single" w:color="auto" w:sz="4" w:space="0"/>
                    <w:bottom w:val="single" w:color="auto" w:sz="4" w:space="0"/>
                    <w:right w:val="single" w:color="auto" w:sz="4" w:space="0"/>
                  </w:tcBorders>
                  <w:vAlign w:val="center"/>
                </w:tcPr>
                <w:p w14:paraId="3DAAD6A9">
                  <w:pPr>
                    <w:tabs>
                      <w:tab w:val="left" w:pos="377"/>
                    </w:tabs>
                    <w:adjustRightInd w:val="0"/>
                    <w:snapToGrid w:val="0"/>
                    <w:spacing w:line="276" w:lineRule="auto"/>
                    <w:jc w:val="center"/>
                    <w:rPr>
                      <w:rFonts w:hint="eastAsia" w:ascii="宋体" w:hAnsi="宋体"/>
                    </w:rPr>
                  </w:pPr>
                  <w:r>
                    <w:rPr>
                      <w:rFonts w:hint="eastAsia" w:ascii="宋体" w:hAnsi="宋体"/>
                      <w:lang w:bidi="ar"/>
                    </w:rPr>
                    <w:t>40.0</w:t>
                  </w:r>
                </w:p>
              </w:tc>
              <w:tc>
                <w:tcPr>
                  <w:tcW w:w="376" w:type="pct"/>
                  <w:tcBorders>
                    <w:top w:val="single" w:color="auto" w:sz="4" w:space="0"/>
                    <w:left w:val="single" w:color="auto" w:sz="4" w:space="0"/>
                    <w:bottom w:val="single" w:color="auto" w:sz="4" w:space="0"/>
                    <w:right w:val="single" w:color="auto" w:sz="4" w:space="0"/>
                  </w:tcBorders>
                  <w:vAlign w:val="center"/>
                </w:tcPr>
                <w:p w14:paraId="5DF9DABF">
                  <w:pPr>
                    <w:tabs>
                      <w:tab w:val="left" w:pos="377"/>
                    </w:tabs>
                    <w:adjustRightInd w:val="0"/>
                    <w:snapToGrid w:val="0"/>
                    <w:spacing w:line="276" w:lineRule="auto"/>
                    <w:jc w:val="center"/>
                    <w:rPr>
                      <w:rFonts w:hint="eastAsia" w:ascii="宋体" w:hAnsi="宋体"/>
                    </w:rPr>
                  </w:pPr>
                  <w:r>
                    <w:rPr>
                      <w:rFonts w:hint="eastAsia" w:ascii="宋体" w:hAnsi="宋体"/>
                      <w:lang w:bidi="ar"/>
                    </w:rPr>
                    <w:t>36.5</w:t>
                  </w:r>
                </w:p>
              </w:tc>
              <w:tc>
                <w:tcPr>
                  <w:tcW w:w="349" w:type="pct"/>
                  <w:tcBorders>
                    <w:top w:val="single" w:color="auto" w:sz="4" w:space="0"/>
                    <w:left w:val="single" w:color="auto" w:sz="4" w:space="0"/>
                    <w:bottom w:val="single" w:color="auto" w:sz="4" w:space="0"/>
                    <w:right w:val="single" w:color="auto" w:sz="4" w:space="0"/>
                  </w:tcBorders>
                  <w:vAlign w:val="center"/>
                </w:tcPr>
                <w:p w14:paraId="5549CAEB">
                  <w:pPr>
                    <w:tabs>
                      <w:tab w:val="left" w:pos="377"/>
                    </w:tabs>
                    <w:adjustRightInd w:val="0"/>
                    <w:snapToGrid w:val="0"/>
                    <w:spacing w:line="276" w:lineRule="auto"/>
                    <w:jc w:val="center"/>
                    <w:rPr>
                      <w:rFonts w:hint="eastAsia" w:ascii="宋体" w:hAnsi="宋体"/>
                    </w:rPr>
                  </w:pPr>
                  <w:r>
                    <w:rPr>
                      <w:rFonts w:hint="eastAsia" w:ascii="宋体" w:hAnsi="宋体"/>
                      <w:lang w:bidi="ar"/>
                    </w:rPr>
                    <w:t>34.0</w:t>
                  </w:r>
                </w:p>
              </w:tc>
              <w:tc>
                <w:tcPr>
                  <w:tcW w:w="349" w:type="pct"/>
                  <w:tcBorders>
                    <w:top w:val="single" w:color="auto" w:sz="4" w:space="0"/>
                    <w:left w:val="single" w:color="auto" w:sz="4" w:space="0"/>
                    <w:bottom w:val="single" w:color="auto" w:sz="4" w:space="0"/>
                    <w:right w:val="single" w:color="auto" w:sz="4" w:space="0"/>
                  </w:tcBorders>
                  <w:vAlign w:val="center"/>
                </w:tcPr>
                <w:p w14:paraId="0AFA8B0A">
                  <w:pPr>
                    <w:tabs>
                      <w:tab w:val="left" w:pos="377"/>
                    </w:tabs>
                    <w:adjustRightInd w:val="0"/>
                    <w:snapToGrid w:val="0"/>
                    <w:spacing w:line="276" w:lineRule="auto"/>
                    <w:jc w:val="center"/>
                    <w:rPr>
                      <w:rFonts w:hint="eastAsia" w:ascii="宋体" w:hAnsi="宋体"/>
                    </w:rPr>
                  </w:pPr>
                  <w:r>
                    <w:rPr>
                      <w:rFonts w:hint="eastAsia" w:ascii="宋体" w:hAnsi="宋体"/>
                      <w:lang w:bidi="ar"/>
                    </w:rPr>
                    <w:t>30.5</w:t>
                  </w:r>
                </w:p>
              </w:tc>
              <w:tc>
                <w:tcPr>
                  <w:tcW w:w="351" w:type="pct"/>
                  <w:tcBorders>
                    <w:top w:val="single" w:color="auto" w:sz="4" w:space="0"/>
                    <w:left w:val="single" w:color="auto" w:sz="4" w:space="0"/>
                    <w:bottom w:val="single" w:color="auto" w:sz="4" w:space="0"/>
                    <w:right w:val="single" w:color="auto" w:sz="4" w:space="0"/>
                  </w:tcBorders>
                  <w:vAlign w:val="center"/>
                </w:tcPr>
                <w:p w14:paraId="48B4C72A">
                  <w:pPr>
                    <w:tabs>
                      <w:tab w:val="left" w:pos="377"/>
                    </w:tabs>
                    <w:adjustRightInd w:val="0"/>
                    <w:snapToGrid w:val="0"/>
                    <w:spacing w:line="276" w:lineRule="auto"/>
                    <w:jc w:val="center"/>
                    <w:rPr>
                      <w:rFonts w:hint="eastAsia" w:ascii="宋体" w:hAnsi="宋体"/>
                    </w:rPr>
                  </w:pPr>
                  <w:r>
                    <w:rPr>
                      <w:rFonts w:hint="eastAsia" w:ascii="宋体" w:hAnsi="宋体"/>
                      <w:lang w:bidi="ar"/>
                    </w:rPr>
                    <w:t>29.1</w:t>
                  </w:r>
                </w:p>
              </w:tc>
              <w:tc>
                <w:tcPr>
                  <w:tcW w:w="690" w:type="pct"/>
                  <w:tcBorders>
                    <w:top w:val="single" w:color="auto" w:sz="4" w:space="0"/>
                    <w:left w:val="single" w:color="auto" w:sz="4" w:space="0"/>
                    <w:bottom w:val="single" w:color="auto" w:sz="4" w:space="0"/>
                    <w:right w:val="single" w:color="auto" w:sz="4" w:space="0"/>
                  </w:tcBorders>
                  <w:vAlign w:val="center"/>
                </w:tcPr>
                <w:p w14:paraId="5A496980">
                  <w:pPr>
                    <w:tabs>
                      <w:tab w:val="left" w:pos="377"/>
                    </w:tabs>
                    <w:adjustRightInd w:val="0"/>
                    <w:snapToGrid w:val="0"/>
                    <w:spacing w:line="276" w:lineRule="auto"/>
                    <w:jc w:val="center"/>
                    <w:rPr>
                      <w:rFonts w:hint="eastAsia" w:ascii="宋体" w:hAnsi="宋体"/>
                    </w:rPr>
                  </w:pPr>
                  <w:r>
                    <w:rPr>
                      <w:rFonts w:hint="eastAsia" w:ascii="宋体" w:hAnsi="宋体"/>
                      <w:lang w:bidi="ar"/>
                    </w:rPr>
                    <w:t>3</w:t>
                  </w:r>
                </w:p>
              </w:tc>
              <w:tc>
                <w:tcPr>
                  <w:tcW w:w="679" w:type="pct"/>
                  <w:tcBorders>
                    <w:top w:val="single" w:color="auto" w:sz="4" w:space="0"/>
                    <w:left w:val="single" w:color="auto" w:sz="4" w:space="0"/>
                    <w:bottom w:val="single" w:color="auto" w:sz="4" w:space="0"/>
                    <w:right w:val="single" w:color="auto" w:sz="4" w:space="0"/>
                  </w:tcBorders>
                  <w:vAlign w:val="center"/>
                </w:tcPr>
                <w:p w14:paraId="4D614C22">
                  <w:pPr>
                    <w:tabs>
                      <w:tab w:val="left" w:pos="377"/>
                    </w:tabs>
                    <w:adjustRightInd w:val="0"/>
                    <w:snapToGrid w:val="0"/>
                    <w:spacing w:line="276" w:lineRule="auto"/>
                    <w:jc w:val="center"/>
                    <w:rPr>
                      <w:rFonts w:hint="eastAsia" w:ascii="宋体" w:hAnsi="宋体"/>
                    </w:rPr>
                  </w:pPr>
                  <w:r>
                    <w:rPr>
                      <w:rFonts w:hint="eastAsia" w:ascii="宋体" w:hAnsi="宋体"/>
                      <w:lang w:bidi="ar"/>
                    </w:rPr>
                    <w:t>18</w:t>
                  </w:r>
                </w:p>
              </w:tc>
            </w:tr>
            <w:tr w14:paraId="1C6F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678F623E">
                  <w:pPr>
                    <w:tabs>
                      <w:tab w:val="left" w:pos="377"/>
                    </w:tabs>
                    <w:adjustRightInd w:val="0"/>
                    <w:snapToGrid w:val="0"/>
                    <w:spacing w:line="276" w:lineRule="auto"/>
                    <w:jc w:val="center"/>
                    <w:rPr>
                      <w:rFonts w:hint="eastAsia" w:ascii="宋体" w:hAnsi="宋体"/>
                      <w:lang w:bidi="ar"/>
                    </w:rPr>
                  </w:pPr>
                  <w:r>
                    <w:rPr>
                      <w:rFonts w:hint="eastAsia" w:ascii="宋体" w:hAnsi="宋体"/>
                      <w:lang w:bidi="ar"/>
                    </w:rPr>
                    <w:t>锅炉风机</w:t>
                  </w:r>
                </w:p>
              </w:tc>
              <w:tc>
                <w:tcPr>
                  <w:tcW w:w="557" w:type="pct"/>
                  <w:tcBorders>
                    <w:top w:val="single" w:color="auto" w:sz="4" w:space="0"/>
                    <w:left w:val="single" w:color="auto" w:sz="4" w:space="0"/>
                    <w:bottom w:val="single" w:color="auto" w:sz="4" w:space="0"/>
                    <w:right w:val="single" w:color="auto" w:sz="4" w:space="0"/>
                  </w:tcBorders>
                  <w:vAlign w:val="center"/>
                </w:tcPr>
                <w:p w14:paraId="02B8D9A4">
                  <w:pPr>
                    <w:tabs>
                      <w:tab w:val="left" w:pos="377"/>
                    </w:tabs>
                    <w:adjustRightInd w:val="0"/>
                    <w:snapToGrid w:val="0"/>
                    <w:spacing w:line="276" w:lineRule="auto"/>
                    <w:jc w:val="center"/>
                    <w:rPr>
                      <w:rFonts w:hint="eastAsia" w:ascii="宋体" w:hAnsi="宋体"/>
                      <w:bCs/>
                    </w:rPr>
                  </w:pPr>
                  <w:r>
                    <w:rPr>
                      <w:rFonts w:hint="eastAsia" w:ascii="宋体" w:hAnsi="宋体"/>
                      <w:lang w:bidi="ar"/>
                    </w:rPr>
                    <w:t>85</w:t>
                  </w:r>
                </w:p>
              </w:tc>
              <w:tc>
                <w:tcPr>
                  <w:tcW w:w="418" w:type="pct"/>
                  <w:tcBorders>
                    <w:top w:val="single" w:color="auto" w:sz="4" w:space="0"/>
                    <w:left w:val="single" w:color="auto" w:sz="4" w:space="0"/>
                    <w:bottom w:val="single" w:color="auto" w:sz="4" w:space="0"/>
                    <w:right w:val="single" w:color="auto" w:sz="4" w:space="0"/>
                  </w:tcBorders>
                  <w:vAlign w:val="center"/>
                </w:tcPr>
                <w:p w14:paraId="08821863">
                  <w:pPr>
                    <w:tabs>
                      <w:tab w:val="left" w:pos="377"/>
                    </w:tabs>
                    <w:adjustRightInd w:val="0"/>
                    <w:snapToGrid w:val="0"/>
                    <w:spacing w:line="276" w:lineRule="auto"/>
                    <w:jc w:val="center"/>
                    <w:rPr>
                      <w:rFonts w:hint="eastAsia" w:ascii="宋体" w:hAnsi="宋体"/>
                    </w:rPr>
                  </w:pPr>
                  <w:r>
                    <w:rPr>
                      <w:rFonts w:hint="eastAsia" w:ascii="宋体" w:hAnsi="宋体"/>
                      <w:lang w:bidi="ar"/>
                    </w:rPr>
                    <w:t>65.0</w:t>
                  </w:r>
                </w:p>
              </w:tc>
              <w:tc>
                <w:tcPr>
                  <w:tcW w:w="376" w:type="pct"/>
                  <w:tcBorders>
                    <w:top w:val="single" w:color="auto" w:sz="4" w:space="0"/>
                    <w:left w:val="single" w:color="auto" w:sz="4" w:space="0"/>
                    <w:bottom w:val="single" w:color="auto" w:sz="4" w:space="0"/>
                    <w:right w:val="single" w:color="auto" w:sz="4" w:space="0"/>
                  </w:tcBorders>
                  <w:vAlign w:val="center"/>
                </w:tcPr>
                <w:p w14:paraId="01EE3D1A">
                  <w:pPr>
                    <w:tabs>
                      <w:tab w:val="left" w:pos="377"/>
                    </w:tabs>
                    <w:adjustRightInd w:val="0"/>
                    <w:snapToGrid w:val="0"/>
                    <w:spacing w:line="276" w:lineRule="auto"/>
                    <w:jc w:val="center"/>
                    <w:rPr>
                      <w:rFonts w:hint="eastAsia" w:ascii="宋体" w:hAnsi="宋体"/>
                    </w:rPr>
                  </w:pPr>
                  <w:r>
                    <w:rPr>
                      <w:rFonts w:hint="eastAsia" w:ascii="宋体" w:hAnsi="宋体"/>
                      <w:lang w:bidi="ar"/>
                    </w:rPr>
                    <w:t>51.0</w:t>
                  </w:r>
                </w:p>
              </w:tc>
              <w:tc>
                <w:tcPr>
                  <w:tcW w:w="378" w:type="pct"/>
                  <w:tcBorders>
                    <w:top w:val="single" w:color="auto" w:sz="4" w:space="0"/>
                    <w:left w:val="single" w:color="auto" w:sz="4" w:space="0"/>
                    <w:bottom w:val="single" w:color="auto" w:sz="4" w:space="0"/>
                    <w:right w:val="single" w:color="auto" w:sz="4" w:space="0"/>
                  </w:tcBorders>
                  <w:vAlign w:val="center"/>
                </w:tcPr>
                <w:p w14:paraId="2BAABC38">
                  <w:pPr>
                    <w:tabs>
                      <w:tab w:val="left" w:pos="377"/>
                    </w:tabs>
                    <w:adjustRightInd w:val="0"/>
                    <w:snapToGrid w:val="0"/>
                    <w:spacing w:line="276" w:lineRule="auto"/>
                    <w:jc w:val="center"/>
                    <w:rPr>
                      <w:rFonts w:hint="eastAsia" w:ascii="宋体" w:hAnsi="宋体"/>
                    </w:rPr>
                  </w:pPr>
                  <w:r>
                    <w:rPr>
                      <w:rFonts w:hint="eastAsia" w:ascii="宋体" w:hAnsi="宋体"/>
                      <w:lang w:bidi="ar"/>
                    </w:rPr>
                    <w:t>45.0</w:t>
                  </w:r>
                </w:p>
              </w:tc>
              <w:tc>
                <w:tcPr>
                  <w:tcW w:w="376" w:type="pct"/>
                  <w:tcBorders>
                    <w:top w:val="single" w:color="auto" w:sz="4" w:space="0"/>
                    <w:left w:val="single" w:color="auto" w:sz="4" w:space="0"/>
                    <w:bottom w:val="single" w:color="auto" w:sz="4" w:space="0"/>
                    <w:right w:val="single" w:color="auto" w:sz="4" w:space="0"/>
                  </w:tcBorders>
                  <w:vAlign w:val="center"/>
                </w:tcPr>
                <w:p w14:paraId="50037A41">
                  <w:pPr>
                    <w:tabs>
                      <w:tab w:val="left" w:pos="377"/>
                    </w:tabs>
                    <w:adjustRightInd w:val="0"/>
                    <w:snapToGrid w:val="0"/>
                    <w:spacing w:line="276" w:lineRule="auto"/>
                    <w:jc w:val="center"/>
                    <w:rPr>
                      <w:rFonts w:hint="eastAsia" w:ascii="宋体" w:hAnsi="宋体"/>
                    </w:rPr>
                  </w:pPr>
                  <w:r>
                    <w:rPr>
                      <w:rFonts w:hint="eastAsia" w:ascii="宋体" w:hAnsi="宋体"/>
                      <w:lang w:bidi="ar"/>
                    </w:rPr>
                    <w:t>41.5</w:t>
                  </w:r>
                </w:p>
              </w:tc>
              <w:tc>
                <w:tcPr>
                  <w:tcW w:w="349" w:type="pct"/>
                  <w:tcBorders>
                    <w:top w:val="single" w:color="auto" w:sz="4" w:space="0"/>
                    <w:left w:val="single" w:color="auto" w:sz="4" w:space="0"/>
                    <w:bottom w:val="single" w:color="auto" w:sz="4" w:space="0"/>
                    <w:right w:val="single" w:color="auto" w:sz="4" w:space="0"/>
                  </w:tcBorders>
                  <w:vAlign w:val="center"/>
                </w:tcPr>
                <w:p w14:paraId="3075E542">
                  <w:pPr>
                    <w:tabs>
                      <w:tab w:val="left" w:pos="377"/>
                    </w:tabs>
                    <w:adjustRightInd w:val="0"/>
                    <w:snapToGrid w:val="0"/>
                    <w:spacing w:line="276" w:lineRule="auto"/>
                    <w:jc w:val="center"/>
                    <w:rPr>
                      <w:rFonts w:hint="eastAsia" w:ascii="宋体" w:hAnsi="宋体"/>
                    </w:rPr>
                  </w:pPr>
                  <w:r>
                    <w:rPr>
                      <w:rFonts w:hint="eastAsia" w:ascii="宋体" w:hAnsi="宋体"/>
                      <w:lang w:bidi="ar"/>
                    </w:rPr>
                    <w:t>39.0</w:t>
                  </w:r>
                </w:p>
              </w:tc>
              <w:tc>
                <w:tcPr>
                  <w:tcW w:w="349" w:type="pct"/>
                  <w:tcBorders>
                    <w:top w:val="single" w:color="auto" w:sz="4" w:space="0"/>
                    <w:left w:val="single" w:color="auto" w:sz="4" w:space="0"/>
                    <w:bottom w:val="single" w:color="auto" w:sz="4" w:space="0"/>
                    <w:right w:val="single" w:color="auto" w:sz="4" w:space="0"/>
                  </w:tcBorders>
                  <w:vAlign w:val="center"/>
                </w:tcPr>
                <w:p w14:paraId="35E8E00E">
                  <w:pPr>
                    <w:tabs>
                      <w:tab w:val="left" w:pos="377"/>
                    </w:tabs>
                    <w:adjustRightInd w:val="0"/>
                    <w:snapToGrid w:val="0"/>
                    <w:spacing w:line="276" w:lineRule="auto"/>
                    <w:jc w:val="center"/>
                    <w:rPr>
                      <w:rFonts w:hint="eastAsia" w:ascii="宋体" w:hAnsi="宋体"/>
                    </w:rPr>
                  </w:pPr>
                  <w:r>
                    <w:rPr>
                      <w:rFonts w:hint="eastAsia" w:ascii="宋体" w:hAnsi="宋体"/>
                      <w:lang w:bidi="ar"/>
                    </w:rPr>
                    <w:t>35.5</w:t>
                  </w:r>
                </w:p>
              </w:tc>
              <w:tc>
                <w:tcPr>
                  <w:tcW w:w="351" w:type="pct"/>
                  <w:tcBorders>
                    <w:top w:val="single" w:color="auto" w:sz="4" w:space="0"/>
                    <w:left w:val="single" w:color="auto" w:sz="4" w:space="0"/>
                    <w:bottom w:val="single" w:color="auto" w:sz="4" w:space="0"/>
                    <w:right w:val="single" w:color="auto" w:sz="4" w:space="0"/>
                  </w:tcBorders>
                  <w:vAlign w:val="center"/>
                </w:tcPr>
                <w:p w14:paraId="41E85313">
                  <w:pPr>
                    <w:tabs>
                      <w:tab w:val="left" w:pos="377"/>
                    </w:tabs>
                    <w:adjustRightInd w:val="0"/>
                    <w:snapToGrid w:val="0"/>
                    <w:spacing w:line="276" w:lineRule="auto"/>
                    <w:jc w:val="center"/>
                    <w:rPr>
                      <w:rFonts w:hint="eastAsia" w:ascii="宋体" w:hAnsi="宋体"/>
                    </w:rPr>
                  </w:pPr>
                  <w:r>
                    <w:rPr>
                      <w:rFonts w:hint="eastAsia" w:ascii="宋体" w:hAnsi="宋体"/>
                      <w:lang w:bidi="ar"/>
                    </w:rPr>
                    <w:t>34.1</w:t>
                  </w:r>
                </w:p>
              </w:tc>
              <w:tc>
                <w:tcPr>
                  <w:tcW w:w="690" w:type="pct"/>
                  <w:tcBorders>
                    <w:top w:val="single" w:color="auto" w:sz="4" w:space="0"/>
                    <w:left w:val="single" w:color="auto" w:sz="4" w:space="0"/>
                    <w:bottom w:val="single" w:color="auto" w:sz="4" w:space="0"/>
                    <w:right w:val="single" w:color="auto" w:sz="4" w:space="0"/>
                  </w:tcBorders>
                  <w:vAlign w:val="center"/>
                </w:tcPr>
                <w:p w14:paraId="08C7DF84">
                  <w:pPr>
                    <w:tabs>
                      <w:tab w:val="left" w:pos="377"/>
                    </w:tabs>
                    <w:adjustRightInd w:val="0"/>
                    <w:snapToGrid w:val="0"/>
                    <w:spacing w:line="276" w:lineRule="auto"/>
                    <w:jc w:val="center"/>
                    <w:rPr>
                      <w:rFonts w:hint="eastAsia" w:ascii="宋体" w:hAnsi="宋体"/>
                    </w:rPr>
                  </w:pPr>
                  <w:r>
                    <w:rPr>
                      <w:rFonts w:hint="eastAsia" w:ascii="宋体" w:hAnsi="宋体"/>
                      <w:lang w:bidi="ar"/>
                    </w:rPr>
                    <w:t>6</w:t>
                  </w:r>
                </w:p>
              </w:tc>
              <w:tc>
                <w:tcPr>
                  <w:tcW w:w="679" w:type="pct"/>
                  <w:tcBorders>
                    <w:top w:val="single" w:color="auto" w:sz="4" w:space="0"/>
                    <w:left w:val="single" w:color="auto" w:sz="4" w:space="0"/>
                    <w:bottom w:val="single" w:color="auto" w:sz="4" w:space="0"/>
                    <w:right w:val="single" w:color="auto" w:sz="4" w:space="0"/>
                  </w:tcBorders>
                  <w:vAlign w:val="center"/>
                </w:tcPr>
                <w:p w14:paraId="76D675BC">
                  <w:pPr>
                    <w:tabs>
                      <w:tab w:val="left" w:pos="377"/>
                    </w:tabs>
                    <w:adjustRightInd w:val="0"/>
                    <w:snapToGrid w:val="0"/>
                    <w:spacing w:line="276" w:lineRule="auto"/>
                    <w:jc w:val="center"/>
                    <w:rPr>
                      <w:rFonts w:hint="eastAsia" w:ascii="宋体" w:hAnsi="宋体"/>
                    </w:rPr>
                  </w:pPr>
                  <w:r>
                    <w:rPr>
                      <w:rFonts w:hint="eastAsia" w:ascii="宋体" w:hAnsi="宋体"/>
                      <w:lang w:bidi="ar"/>
                    </w:rPr>
                    <w:t>32</w:t>
                  </w:r>
                </w:p>
              </w:tc>
            </w:tr>
          </w:tbl>
          <w:p w14:paraId="106A6F1B">
            <w:pPr>
              <w:pStyle w:val="3"/>
              <w:ind w:firstLine="420"/>
              <w:rPr>
                <w:rFonts w:hint="eastAsia"/>
                <w:sz w:val="21"/>
              </w:rPr>
            </w:pPr>
          </w:p>
          <w:p w14:paraId="4C4AA3A6">
            <w:pPr>
              <w:pStyle w:val="3"/>
              <w:ind w:firstLine="420"/>
              <w:rPr>
                <w:rFonts w:hint="eastAsia"/>
                <w:sz w:val="21"/>
              </w:rPr>
            </w:pPr>
            <w:r>
              <w:rPr>
                <w:rFonts w:hint="eastAsia"/>
                <w:sz w:val="21"/>
              </w:rPr>
              <w:t>由噪声预测结果可以看出：本项目主要施工机械产生噪声昼间在32m以外，夜间在178m以外不超过《建筑施工场界环境噪声排放标准》（GB 12523-2011）中的标准限值（昼间70dB（A）、夜间55dB（A））。</w:t>
            </w:r>
          </w:p>
          <w:p w14:paraId="5547056B">
            <w:pPr>
              <w:pStyle w:val="3"/>
              <w:ind w:firstLine="420"/>
              <w:rPr>
                <w:rFonts w:hint="eastAsia"/>
                <w:sz w:val="21"/>
              </w:rPr>
            </w:pPr>
            <w:r>
              <w:rPr>
                <w:rFonts w:hint="eastAsia"/>
                <w:sz w:val="21"/>
              </w:rPr>
              <w:t>本项目钻井井场200m以内无声环境敏感目标。为进一步降低施工期噪声影响，该井场钻井施工时应尽可能采取隔声、减振等措施进一步降低噪声影响，优化钻井平台布局。加强施工管理和设备维护，发现设备存在的问题及时维修，保证设备正常运转；整体设备要安放稳固，并与地面保持良好接触，安装消音隔音设施，高噪声设备加装减振支垫，最大限度地降低噪声源的噪声；加强对运输车辆的管理及疏导，尽量压缩施工区汽车数量和行车密度，控制汽车鸣笛。本项目施工期较短，在采取上述各种噪声防范措施后对环境影响较小。</w:t>
            </w:r>
          </w:p>
          <w:p w14:paraId="5FACE465">
            <w:pPr>
              <w:pStyle w:val="3"/>
              <w:ind w:firstLine="420"/>
              <w:rPr>
                <w:rFonts w:hint="eastAsia"/>
                <w:sz w:val="21"/>
              </w:rPr>
            </w:pPr>
            <w:r>
              <w:rPr>
                <w:rFonts w:hint="eastAsia"/>
                <w:sz w:val="21"/>
              </w:rPr>
              <w:t>6、风险影响分析</w:t>
            </w:r>
          </w:p>
          <w:p w14:paraId="06C2D9C0">
            <w:pPr>
              <w:pStyle w:val="3"/>
              <w:ind w:firstLine="420"/>
              <w:rPr>
                <w:rFonts w:hint="eastAsia"/>
                <w:sz w:val="21"/>
              </w:rPr>
            </w:pPr>
            <w:r>
              <w:rPr>
                <w:rFonts w:hint="eastAsia"/>
                <w:sz w:val="21"/>
              </w:rPr>
              <w:t>本项目为钻井和试油作业。污染物排放以正常排放为主，但也存在危害工程安全和环境的危险因素，这些危险因素的存在有可能引起突发性环境事故，造成人员伤亡或环境污染。</w:t>
            </w:r>
          </w:p>
          <w:p w14:paraId="7C28532B">
            <w:pPr>
              <w:pStyle w:val="3"/>
              <w:ind w:firstLine="420"/>
              <w:rPr>
                <w:rFonts w:hint="eastAsia"/>
                <w:sz w:val="21"/>
              </w:rPr>
            </w:pPr>
            <w:r>
              <w:rPr>
                <w:rFonts w:hint="eastAsia"/>
                <w:sz w:val="21"/>
              </w:rPr>
              <w:t>1）风险调查</w:t>
            </w:r>
          </w:p>
          <w:p w14:paraId="320B9035">
            <w:pPr>
              <w:pStyle w:val="3"/>
              <w:ind w:firstLine="420"/>
              <w:rPr>
                <w:rFonts w:hint="eastAsia"/>
                <w:sz w:val="21"/>
              </w:rPr>
            </w:pPr>
            <w:r>
              <w:rPr>
                <w:rFonts w:hint="eastAsia"/>
                <w:sz w:val="21"/>
              </w:rPr>
              <w:t>风险源调查范围主要是主体工程、辅助工程、公用工程、储运工程、依托工程等环节涉及的生产设施。本项目主要环境风险是施工期钻井井场、井喷和硫化氢中毒，其对项目区及周边土壤环境、大气环境和地下水环境的影响均较大。统计新疆近几年油田所发生的风险事故，发生于钻井阶段的占65.9%，油气生产过程中为10.6%，还有23.5%发生于其他生产过程。由此可见，钻井阶段是油田开发建设的事故多发阶段。</w:t>
            </w:r>
          </w:p>
          <w:p w14:paraId="00A81733">
            <w:pPr>
              <w:pStyle w:val="113"/>
              <w:rPr>
                <w:rFonts w:hint="eastAsia"/>
              </w:rPr>
            </w:pPr>
            <w:r>
              <w:rPr>
                <w:rFonts w:hint="eastAsia"/>
              </w:rPr>
              <w:t>综上，项目施工过程中主要环境风险物质为原油、伴生气、柴油、废润滑油。环境风险主要是井喷及引发的硫化氢中毒、井漏、油类物质储罐泄漏及引发的火灾爆炸事故。</w:t>
            </w:r>
          </w:p>
          <w:p w14:paraId="4B8EC01D">
            <w:pPr>
              <w:pStyle w:val="113"/>
              <w:rPr>
                <w:rFonts w:hint="eastAsia"/>
              </w:rPr>
            </w:pPr>
            <w:r>
              <w:rPr>
                <w:rFonts w:hint="eastAsia"/>
              </w:rPr>
              <w:t>（1）井喷</w:t>
            </w:r>
          </w:p>
          <w:p w14:paraId="3E6D0868">
            <w:pPr>
              <w:pStyle w:val="113"/>
              <w:rPr>
                <w:rFonts w:hint="eastAsia"/>
              </w:rPr>
            </w:pPr>
            <w:r>
              <w:rPr>
                <w:rFonts w:hint="eastAsia"/>
              </w:rPr>
              <w:t>钻井过程中遇到地下油、气、水层时，油、气或水窜进井内的钻井液里，加快了钻井液流动和循环的速度。如果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14:paraId="77E843FC">
            <w:pPr>
              <w:pStyle w:val="113"/>
              <w:rPr>
                <w:rFonts w:hint="eastAsia"/>
              </w:rPr>
            </w:pPr>
            <w:r>
              <w:rPr>
                <w:rFonts w:hint="eastAsia"/>
              </w:rPr>
              <w:t>另外</w:t>
            </w:r>
            <w:r>
              <w:t>在注水泥作业后，由于水泥浆体系设计不合理，或固井工程设计不合理，或注水泥施工操作不合理，水泥浆未能完全充满待封固的环形空间</w:t>
            </w:r>
            <w:r>
              <w:rPr>
                <w:rFonts w:hint="eastAsia"/>
              </w:rPr>
              <w:t>等原因</w:t>
            </w:r>
            <w:r>
              <w:t>，不能有效密封环空而</w:t>
            </w:r>
            <w:r>
              <w:rPr>
                <w:rFonts w:hint="eastAsia"/>
              </w:rPr>
              <w:t>可能</w:t>
            </w:r>
            <w:r>
              <w:t>导致井口冒油、气、水，或油、气、水在地下层间互窜</w:t>
            </w:r>
            <w:r>
              <w:rPr>
                <w:rFonts w:hint="eastAsia"/>
              </w:rPr>
              <w:t>。</w:t>
            </w:r>
          </w:p>
          <w:p w14:paraId="24852252">
            <w:pPr>
              <w:pStyle w:val="3"/>
              <w:ind w:firstLine="420"/>
              <w:rPr>
                <w:rFonts w:hint="eastAsia"/>
                <w:sz w:val="21"/>
              </w:rPr>
            </w:pPr>
            <w:r>
              <w:rPr>
                <w:rFonts w:hint="eastAsia"/>
                <w:sz w:val="21"/>
              </w:rPr>
              <w:t>（2）井漏</w:t>
            </w:r>
          </w:p>
          <w:p w14:paraId="22825C5D">
            <w:pPr>
              <w:pStyle w:val="3"/>
              <w:ind w:firstLine="420"/>
              <w:rPr>
                <w:rFonts w:hint="eastAsia"/>
                <w:sz w:val="21"/>
              </w:rPr>
            </w:pPr>
            <w:r>
              <w:rPr>
                <w:rFonts w:hint="eastAsia"/>
                <w:sz w:val="21"/>
              </w:rPr>
              <w:t>钻井过程中，井筒内的钻井液在压力作用下，通过地层中的裂缝、孔隙、溶洞等通道，非正常漏失到地层中，即发生井漏。它会导致钻井液消耗量异常增加，若漏失严重可能引发井筒失稳等问题。</w:t>
            </w:r>
          </w:p>
          <w:p w14:paraId="7E1E1494">
            <w:pPr>
              <w:pStyle w:val="3"/>
              <w:ind w:firstLine="420"/>
              <w:rPr>
                <w:rFonts w:hint="eastAsia"/>
                <w:sz w:val="21"/>
              </w:rPr>
            </w:pPr>
            <w:r>
              <w:rPr>
                <w:rFonts w:hint="eastAsia"/>
                <w:sz w:val="21"/>
              </w:rPr>
              <w:t>（3）硫化氢中毒</w:t>
            </w:r>
          </w:p>
          <w:p w14:paraId="630865D4">
            <w:pPr>
              <w:pStyle w:val="3"/>
              <w:ind w:firstLine="420"/>
              <w:rPr>
                <w:rFonts w:hint="eastAsia"/>
                <w:sz w:val="21"/>
              </w:rPr>
            </w:pPr>
            <w:r>
              <w:rPr>
                <w:rFonts w:hint="eastAsia"/>
                <w:sz w:val="21"/>
              </w:rPr>
              <w:t>H</w:t>
            </w:r>
            <w:r>
              <w:rPr>
                <w:rFonts w:hint="eastAsia"/>
                <w:sz w:val="21"/>
                <w:vertAlign w:val="subscript"/>
              </w:rPr>
              <w:t>2</w:t>
            </w:r>
            <w:r>
              <w:rPr>
                <w:rFonts w:hint="eastAsia"/>
                <w:sz w:val="21"/>
              </w:rPr>
              <w:t>S气体不仅严重威胁着人们的生命安全，造成环境恶性污染，同时，它对金属设备、工具及用具也将造成严重的腐蚀破坏。</w:t>
            </w:r>
          </w:p>
          <w:p w14:paraId="54375DCA">
            <w:pPr>
              <w:pStyle w:val="3"/>
              <w:ind w:firstLine="420"/>
              <w:rPr>
                <w:rFonts w:hint="eastAsia"/>
                <w:sz w:val="21"/>
              </w:rPr>
            </w:pPr>
            <w:r>
              <w:rPr>
                <w:rFonts w:hint="eastAsia"/>
                <w:sz w:val="21"/>
              </w:rPr>
              <w:t>（4）柴油储罐泄漏及造成火灾爆炸</w:t>
            </w:r>
          </w:p>
          <w:p w14:paraId="6B15FE2C">
            <w:pPr>
              <w:pStyle w:val="3"/>
              <w:ind w:firstLine="420"/>
              <w:rPr>
                <w:rFonts w:hint="eastAsia"/>
                <w:sz w:val="21"/>
              </w:rPr>
            </w:pPr>
            <w:r>
              <w:rPr>
                <w:rFonts w:hint="eastAsia"/>
                <w:sz w:val="21"/>
              </w:rPr>
              <w:t>因储罐质量或人为、自然灾害等因素，可能会造成柴油储罐破损泄漏，柴油泄漏造成土壤、地下水污染；储罐内油气通过人孔法兰盖间隙外溢，与空气形成爆炸性混合物，污染大气环境。</w:t>
            </w:r>
          </w:p>
          <w:p w14:paraId="45C4DE7D">
            <w:pPr>
              <w:pStyle w:val="113"/>
              <w:rPr>
                <w:rFonts w:hint="eastAsia"/>
              </w:rPr>
            </w:pPr>
            <w:r>
              <w:rPr>
                <w:rFonts w:hint="eastAsia"/>
              </w:rPr>
              <w:t>柴油储罐及废润滑油发生泄漏事故后，油品进入环境，会对周边范围内的土壤环境造成污染，对与泄漏柴油接触的员工也会产生一定程度的健康损害，油气与空气形成爆炸性混合物，次生/伴生C</w:t>
            </w:r>
            <w:r>
              <w:t>O</w:t>
            </w:r>
            <w:r>
              <w:rPr>
                <w:rFonts w:hint="eastAsia"/>
              </w:rPr>
              <w:t>、S</w:t>
            </w:r>
            <w:r>
              <w:t>O</w:t>
            </w:r>
            <w:r>
              <w:rPr>
                <w:vertAlign w:val="subscript"/>
              </w:rPr>
              <w:t>2</w:t>
            </w:r>
            <w:r>
              <w:rPr>
                <w:rFonts w:hint="eastAsia"/>
              </w:rPr>
              <w:t>、N</w:t>
            </w:r>
            <w:r>
              <w:t>O</w:t>
            </w:r>
            <w:r>
              <w:rPr>
                <w:vertAlign w:val="subscript"/>
              </w:rPr>
              <w:t>X</w:t>
            </w:r>
            <w:r>
              <w:rPr>
                <w:rFonts w:hint="eastAsia"/>
              </w:rPr>
              <w:t>等大气污染物，污染大气环境。</w:t>
            </w:r>
          </w:p>
          <w:p w14:paraId="2C9828AB">
            <w:pPr>
              <w:pStyle w:val="113"/>
              <w:rPr>
                <w:rFonts w:hint="eastAsia"/>
              </w:rPr>
            </w:pPr>
            <w:r>
              <w:rPr>
                <w:rFonts w:hint="eastAsia"/>
              </w:rPr>
              <w:t>2）项目区环境敏感目标情况</w:t>
            </w:r>
          </w:p>
          <w:p w14:paraId="645CF7FE">
            <w:pPr>
              <w:pStyle w:val="113"/>
              <w:rPr>
                <w:rFonts w:hint="eastAsia"/>
              </w:rPr>
            </w:pPr>
            <w:r>
              <w:rPr>
                <w:rFonts w:hint="eastAsia"/>
              </w:rPr>
              <w:t>根据现场勘查，本次部署的勘探井井口周围</w:t>
            </w:r>
            <w:r>
              <w:t>1</w:t>
            </w:r>
            <w:r>
              <w:rPr>
                <w:rFonts w:hint="eastAsia"/>
              </w:rPr>
              <w:t>km范围内无自然保护区、风景名胜区、水源保护区等环境敏感目标。</w:t>
            </w:r>
          </w:p>
          <w:p w14:paraId="5DA2BD3D">
            <w:pPr>
              <w:pStyle w:val="113"/>
              <w:rPr>
                <w:rFonts w:hint="eastAsia"/>
              </w:rPr>
            </w:pPr>
            <w:r>
              <w:rPr>
                <w:rFonts w:hint="eastAsia"/>
              </w:rPr>
              <w:t>3）环境风险识别</w:t>
            </w:r>
          </w:p>
          <w:p w14:paraId="4742B190">
            <w:pPr>
              <w:pStyle w:val="113"/>
              <w:rPr>
                <w:rFonts w:hint="eastAsia"/>
              </w:rPr>
            </w:pPr>
            <w:r>
              <w:rPr>
                <w:rFonts w:hint="eastAsia"/>
              </w:rPr>
              <w:t>项目钻井、试油过程中</w:t>
            </w:r>
            <w:r>
              <w:rPr>
                <w:rFonts w:hint="eastAsia"/>
                <w:lang w:eastAsia="zh-CN"/>
              </w:rPr>
              <w:t>涉及</w:t>
            </w:r>
            <w:r>
              <w:rPr>
                <w:rFonts w:hint="eastAsia"/>
              </w:rPr>
              <w:t>的风险物质主要为原油、伴生气（可能含有H</w:t>
            </w:r>
            <w:r>
              <w:rPr>
                <w:rFonts w:hint="eastAsia"/>
                <w:vertAlign w:val="subscript"/>
              </w:rPr>
              <w:t>2</w:t>
            </w:r>
            <w:r>
              <w:rPr>
                <w:rFonts w:hint="eastAsia"/>
              </w:rPr>
              <w:t>S）、柴油、废润滑油。</w:t>
            </w:r>
          </w:p>
          <w:p w14:paraId="64A2CA6F">
            <w:pPr>
              <w:pStyle w:val="3"/>
              <w:ind w:firstLine="420"/>
              <w:rPr>
                <w:rFonts w:hint="eastAsia"/>
                <w:sz w:val="21"/>
                <w:szCs w:val="21"/>
              </w:rPr>
            </w:pPr>
            <w:r>
              <w:rPr>
                <w:rFonts w:hint="eastAsia"/>
                <w:sz w:val="21"/>
                <w:szCs w:val="21"/>
              </w:rPr>
              <w:t>本项目涉及风险物质的理化性质及危害如下：</w:t>
            </w:r>
          </w:p>
          <w:p w14:paraId="543CFE75">
            <w:pPr>
              <w:pStyle w:val="12"/>
              <w:spacing w:before="120"/>
              <w:rPr>
                <w:rFonts w:hint="eastAsia" w:hAnsi="宋体"/>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36</w:t>
            </w:r>
            <w:r>
              <w:rPr>
                <w:rFonts w:hAnsi="宋体"/>
              </w:rPr>
              <w:fldChar w:fldCharType="end"/>
            </w:r>
            <w:r>
              <w:rPr>
                <w:rFonts w:hAnsi="宋体"/>
              </w:rPr>
              <w:t xml:space="preserve">  </w:t>
            </w:r>
            <w:r>
              <w:rPr>
                <w:rFonts w:hint="eastAsia" w:hAnsi="宋体"/>
                <w:snapToGrid w:val="0"/>
              </w:rPr>
              <w:t>柴油的理化性质及危害特征</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541"/>
              <w:gridCol w:w="3556"/>
            </w:tblGrid>
            <w:tr w14:paraId="5673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Align w:val="center"/>
                </w:tcPr>
                <w:p w14:paraId="42FAAB31">
                  <w:pPr>
                    <w:pStyle w:val="87"/>
                    <w:rPr>
                      <w:rFonts w:hint="eastAsia" w:hAnsi="宋体"/>
                    </w:rPr>
                  </w:pPr>
                  <w:r>
                    <w:rPr>
                      <w:rFonts w:hint="eastAsia" w:hAnsi="宋体"/>
                    </w:rPr>
                    <w:t>标识</w:t>
                  </w:r>
                </w:p>
              </w:tc>
              <w:tc>
                <w:tcPr>
                  <w:tcW w:w="2273" w:type="pct"/>
                  <w:vAlign w:val="center"/>
                </w:tcPr>
                <w:p w14:paraId="258644BA">
                  <w:pPr>
                    <w:pStyle w:val="87"/>
                    <w:rPr>
                      <w:rFonts w:hint="eastAsia" w:hAnsi="宋体"/>
                    </w:rPr>
                  </w:pPr>
                  <w:r>
                    <w:rPr>
                      <w:rFonts w:hint="eastAsia" w:hAnsi="宋体"/>
                    </w:rPr>
                    <w:t>中文名：柴油</w:t>
                  </w:r>
                </w:p>
              </w:tc>
              <w:tc>
                <w:tcPr>
                  <w:tcW w:w="2283" w:type="pct"/>
                  <w:vAlign w:val="center"/>
                </w:tcPr>
                <w:p w14:paraId="2B0769D0">
                  <w:pPr>
                    <w:pStyle w:val="87"/>
                    <w:rPr>
                      <w:rFonts w:hint="eastAsia" w:hAnsi="宋体"/>
                    </w:rPr>
                  </w:pPr>
                  <w:r>
                    <w:rPr>
                      <w:rFonts w:hint="eastAsia" w:hAnsi="宋体"/>
                    </w:rPr>
                    <w:t>英文名：diesel oil；diesel fuel</w:t>
                  </w:r>
                </w:p>
              </w:tc>
            </w:tr>
            <w:tr w14:paraId="39E1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restart"/>
                  <w:vAlign w:val="center"/>
                </w:tcPr>
                <w:p w14:paraId="1B931E91">
                  <w:pPr>
                    <w:pStyle w:val="87"/>
                    <w:rPr>
                      <w:rFonts w:hint="eastAsia" w:hAnsi="宋体"/>
                    </w:rPr>
                  </w:pPr>
                  <w:r>
                    <w:rPr>
                      <w:rFonts w:hint="eastAsia" w:hAnsi="宋体"/>
                    </w:rPr>
                    <w:t>理化性质</w:t>
                  </w:r>
                </w:p>
              </w:tc>
              <w:tc>
                <w:tcPr>
                  <w:tcW w:w="4555" w:type="pct"/>
                  <w:gridSpan w:val="2"/>
                  <w:vAlign w:val="center"/>
                </w:tcPr>
                <w:p w14:paraId="76085CEA">
                  <w:pPr>
                    <w:pStyle w:val="87"/>
                    <w:rPr>
                      <w:rFonts w:hint="eastAsia" w:hAnsi="宋体"/>
                    </w:rPr>
                  </w:pPr>
                  <w:r>
                    <w:rPr>
                      <w:rFonts w:hint="eastAsia" w:hAnsi="宋体"/>
                    </w:rPr>
                    <w:t>外观与形状：稍有粘性的浅黄至棕色液体</w:t>
                  </w:r>
                </w:p>
              </w:tc>
            </w:tr>
            <w:tr w14:paraId="0D25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1AC6CFC8">
                  <w:pPr>
                    <w:pStyle w:val="87"/>
                    <w:rPr>
                      <w:rFonts w:hint="eastAsia" w:hAnsi="宋体"/>
                    </w:rPr>
                  </w:pPr>
                </w:p>
              </w:tc>
              <w:tc>
                <w:tcPr>
                  <w:tcW w:w="4555" w:type="pct"/>
                  <w:gridSpan w:val="2"/>
                  <w:vAlign w:val="center"/>
                </w:tcPr>
                <w:p w14:paraId="581DDFF4">
                  <w:pPr>
                    <w:pStyle w:val="87"/>
                    <w:rPr>
                      <w:rFonts w:hint="eastAsia" w:hAnsi="宋体"/>
                    </w:rPr>
                  </w:pPr>
                  <w:r>
                    <w:rPr>
                      <w:rFonts w:hint="eastAsia" w:hAnsi="宋体"/>
                    </w:rPr>
                    <w:t>主要成分：烷烃、芳烃、烯烃等</w:t>
                  </w:r>
                </w:p>
              </w:tc>
            </w:tr>
            <w:tr w14:paraId="4864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7469655D">
                  <w:pPr>
                    <w:pStyle w:val="87"/>
                    <w:rPr>
                      <w:rFonts w:hint="eastAsia" w:hAnsi="宋体"/>
                    </w:rPr>
                  </w:pPr>
                </w:p>
              </w:tc>
              <w:tc>
                <w:tcPr>
                  <w:tcW w:w="2273" w:type="pct"/>
                  <w:vAlign w:val="center"/>
                </w:tcPr>
                <w:p w14:paraId="0A629980">
                  <w:pPr>
                    <w:pStyle w:val="87"/>
                    <w:rPr>
                      <w:rFonts w:hint="eastAsia" w:hAnsi="宋体"/>
                    </w:rPr>
                  </w:pPr>
                  <w:r>
                    <w:rPr>
                      <w:rFonts w:hAnsi="宋体"/>
                    </w:rPr>
                    <w:t>熔点（</w:t>
                  </w:r>
                  <w:r>
                    <w:rPr>
                      <w:rFonts w:hint="eastAsia" w:hAnsi="宋体"/>
                    </w:rPr>
                    <w:t>℃</w:t>
                  </w:r>
                  <w:r>
                    <w:rPr>
                      <w:rFonts w:hAnsi="宋体"/>
                    </w:rPr>
                    <w:t>）：</w:t>
                  </w:r>
                  <w:r>
                    <w:rPr>
                      <w:rFonts w:hint="eastAsia" w:hAnsi="宋体"/>
                    </w:rPr>
                    <w:t>-35～20</w:t>
                  </w:r>
                </w:p>
              </w:tc>
              <w:tc>
                <w:tcPr>
                  <w:tcW w:w="2283" w:type="pct"/>
                  <w:vAlign w:val="center"/>
                </w:tcPr>
                <w:p w14:paraId="03A76898">
                  <w:pPr>
                    <w:pStyle w:val="87"/>
                    <w:rPr>
                      <w:rFonts w:hint="eastAsia" w:hAnsi="宋体"/>
                    </w:rPr>
                  </w:pPr>
                  <w:r>
                    <w:rPr>
                      <w:rFonts w:hint="eastAsia" w:hAnsi="宋体"/>
                    </w:rPr>
                    <w:t>沸点</w:t>
                  </w:r>
                  <w:r>
                    <w:rPr>
                      <w:rFonts w:hAnsi="宋体"/>
                    </w:rPr>
                    <w:t>（℃）：</w:t>
                  </w:r>
                  <w:r>
                    <w:rPr>
                      <w:rFonts w:hint="eastAsia" w:hAnsi="宋体"/>
                    </w:rPr>
                    <w:t>280～370</w:t>
                  </w:r>
                </w:p>
              </w:tc>
            </w:tr>
            <w:tr w14:paraId="45FE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48DE1E28">
                  <w:pPr>
                    <w:pStyle w:val="87"/>
                    <w:rPr>
                      <w:rFonts w:hint="eastAsia" w:hAnsi="宋体"/>
                    </w:rPr>
                  </w:pPr>
                </w:p>
              </w:tc>
              <w:tc>
                <w:tcPr>
                  <w:tcW w:w="2273" w:type="pct"/>
                  <w:vAlign w:val="center"/>
                </w:tcPr>
                <w:p w14:paraId="0C37B78E">
                  <w:pPr>
                    <w:pStyle w:val="87"/>
                    <w:rPr>
                      <w:rFonts w:hint="eastAsia" w:hAnsi="宋体"/>
                    </w:rPr>
                  </w:pPr>
                  <w:r>
                    <w:rPr>
                      <w:rFonts w:hint="eastAsia" w:hAnsi="宋体"/>
                    </w:rPr>
                    <w:t>相对密度（水=1）：0.8～0.9</w:t>
                  </w:r>
                </w:p>
              </w:tc>
              <w:tc>
                <w:tcPr>
                  <w:tcW w:w="2283" w:type="pct"/>
                  <w:vAlign w:val="center"/>
                </w:tcPr>
                <w:p w14:paraId="50897FF4">
                  <w:pPr>
                    <w:pStyle w:val="87"/>
                    <w:rPr>
                      <w:rFonts w:hint="eastAsia" w:hAnsi="宋体"/>
                    </w:rPr>
                  </w:pPr>
                  <w:r>
                    <w:rPr>
                      <w:rFonts w:hint="eastAsia" w:hAnsi="宋体"/>
                    </w:rPr>
                    <w:t>禁忌物：强化剂、卤素</w:t>
                  </w:r>
                </w:p>
              </w:tc>
            </w:tr>
            <w:tr w14:paraId="02EC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502AA901">
                  <w:pPr>
                    <w:pStyle w:val="87"/>
                    <w:rPr>
                      <w:rFonts w:hint="eastAsia" w:hAnsi="宋体"/>
                    </w:rPr>
                  </w:pPr>
                </w:p>
              </w:tc>
              <w:tc>
                <w:tcPr>
                  <w:tcW w:w="2273" w:type="pct"/>
                  <w:vAlign w:val="center"/>
                </w:tcPr>
                <w:p w14:paraId="0FA264AE">
                  <w:pPr>
                    <w:pStyle w:val="87"/>
                    <w:rPr>
                      <w:rFonts w:hint="eastAsia" w:hAnsi="宋体"/>
                    </w:rPr>
                  </w:pPr>
                  <w:r>
                    <w:rPr>
                      <w:rFonts w:hint="eastAsia" w:hAnsi="宋体"/>
                    </w:rPr>
                    <w:t>稳定性：稳定</w:t>
                  </w:r>
                </w:p>
              </w:tc>
              <w:tc>
                <w:tcPr>
                  <w:tcW w:w="2283" w:type="pct"/>
                  <w:vAlign w:val="center"/>
                </w:tcPr>
                <w:p w14:paraId="63FD2E77">
                  <w:pPr>
                    <w:pStyle w:val="87"/>
                    <w:rPr>
                      <w:rFonts w:hint="eastAsia" w:hAnsi="宋体"/>
                    </w:rPr>
                  </w:pPr>
                  <w:r>
                    <w:rPr>
                      <w:rFonts w:hint="eastAsia" w:hAnsi="宋体"/>
                    </w:rPr>
                    <w:t>聚合危害：不聚合</w:t>
                  </w:r>
                </w:p>
              </w:tc>
            </w:tr>
            <w:tr w14:paraId="4ECE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restart"/>
                  <w:vAlign w:val="center"/>
                </w:tcPr>
                <w:p w14:paraId="462FA432">
                  <w:pPr>
                    <w:pStyle w:val="87"/>
                    <w:rPr>
                      <w:rFonts w:hint="eastAsia" w:hAnsi="宋体"/>
                    </w:rPr>
                  </w:pPr>
                  <w:r>
                    <w:rPr>
                      <w:rFonts w:hint="eastAsia" w:hAnsi="宋体"/>
                    </w:rPr>
                    <w:t>危险特性</w:t>
                  </w:r>
                </w:p>
              </w:tc>
              <w:tc>
                <w:tcPr>
                  <w:tcW w:w="2273" w:type="pct"/>
                  <w:vAlign w:val="center"/>
                </w:tcPr>
                <w:p w14:paraId="2CBAF692">
                  <w:pPr>
                    <w:pStyle w:val="87"/>
                    <w:rPr>
                      <w:rFonts w:hint="eastAsia" w:hAnsi="宋体"/>
                    </w:rPr>
                  </w:pPr>
                  <w:r>
                    <w:rPr>
                      <w:rFonts w:hint="eastAsia" w:hAnsi="宋体"/>
                    </w:rPr>
                    <w:t>危险性类别：丙A类易燃液体</w:t>
                  </w:r>
                </w:p>
              </w:tc>
              <w:tc>
                <w:tcPr>
                  <w:tcW w:w="2283" w:type="pct"/>
                  <w:vAlign w:val="center"/>
                </w:tcPr>
                <w:p w14:paraId="1B9218CE">
                  <w:pPr>
                    <w:pStyle w:val="87"/>
                    <w:rPr>
                      <w:rFonts w:hint="eastAsia" w:hAnsi="宋体"/>
                    </w:rPr>
                  </w:pPr>
                  <w:r>
                    <w:rPr>
                      <w:rFonts w:hint="eastAsia" w:hAnsi="宋体"/>
                    </w:rPr>
                    <w:t>燃烧性：易燃</w:t>
                  </w:r>
                </w:p>
              </w:tc>
            </w:tr>
            <w:tr w14:paraId="6F69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5E80C8A4">
                  <w:pPr>
                    <w:pStyle w:val="87"/>
                    <w:rPr>
                      <w:rFonts w:hint="eastAsia" w:hAnsi="宋体"/>
                    </w:rPr>
                  </w:pPr>
                </w:p>
              </w:tc>
              <w:tc>
                <w:tcPr>
                  <w:tcW w:w="2273" w:type="pct"/>
                  <w:vAlign w:val="center"/>
                </w:tcPr>
                <w:p w14:paraId="0D9E2FCC">
                  <w:pPr>
                    <w:pStyle w:val="87"/>
                    <w:rPr>
                      <w:rFonts w:hint="eastAsia" w:hAnsi="宋体"/>
                    </w:rPr>
                  </w:pPr>
                  <w:r>
                    <w:rPr>
                      <w:rFonts w:hint="eastAsia" w:hAnsi="宋体"/>
                    </w:rPr>
                    <w:t>自然温度（℃）：257</w:t>
                  </w:r>
                </w:p>
              </w:tc>
              <w:tc>
                <w:tcPr>
                  <w:tcW w:w="2283" w:type="pct"/>
                  <w:vAlign w:val="center"/>
                </w:tcPr>
                <w:p w14:paraId="089C4E06">
                  <w:pPr>
                    <w:pStyle w:val="87"/>
                    <w:rPr>
                      <w:rFonts w:hint="eastAsia" w:hAnsi="宋体"/>
                    </w:rPr>
                  </w:pPr>
                  <w:r>
                    <w:rPr>
                      <w:rFonts w:hint="eastAsia" w:hAnsi="宋体"/>
                    </w:rPr>
                    <w:t>闪点（℃）：易燃</w:t>
                  </w:r>
                </w:p>
              </w:tc>
            </w:tr>
            <w:tr w14:paraId="12C9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4F1E8610">
                  <w:pPr>
                    <w:pStyle w:val="87"/>
                    <w:rPr>
                      <w:rFonts w:hint="eastAsia" w:hAnsi="宋体"/>
                    </w:rPr>
                  </w:pPr>
                </w:p>
              </w:tc>
              <w:tc>
                <w:tcPr>
                  <w:tcW w:w="2273" w:type="pct"/>
                  <w:vAlign w:val="center"/>
                </w:tcPr>
                <w:p w14:paraId="6109F9F0">
                  <w:pPr>
                    <w:pStyle w:val="87"/>
                    <w:rPr>
                      <w:rFonts w:hint="eastAsia" w:hAnsi="宋体"/>
                    </w:rPr>
                  </w:pPr>
                  <w:r>
                    <w:rPr>
                      <w:rFonts w:hint="eastAsia" w:hAnsi="宋体"/>
                    </w:rPr>
                    <w:t>爆炸下限（%）：1.5</w:t>
                  </w:r>
                </w:p>
              </w:tc>
              <w:tc>
                <w:tcPr>
                  <w:tcW w:w="2283" w:type="pct"/>
                  <w:vAlign w:val="center"/>
                </w:tcPr>
                <w:p w14:paraId="56C65C21">
                  <w:pPr>
                    <w:pStyle w:val="87"/>
                    <w:rPr>
                      <w:rFonts w:hint="eastAsia" w:hAnsi="宋体"/>
                    </w:rPr>
                  </w:pPr>
                  <w:r>
                    <w:rPr>
                      <w:rFonts w:hint="eastAsia" w:hAnsi="宋体"/>
                    </w:rPr>
                    <w:t>爆炸上限（%）：4.5</w:t>
                  </w:r>
                </w:p>
              </w:tc>
            </w:tr>
            <w:tr w14:paraId="1BF1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4E91B91D">
                  <w:pPr>
                    <w:pStyle w:val="87"/>
                    <w:rPr>
                      <w:rFonts w:hint="eastAsia" w:hAnsi="宋体"/>
                    </w:rPr>
                  </w:pPr>
                </w:p>
              </w:tc>
              <w:tc>
                <w:tcPr>
                  <w:tcW w:w="2273" w:type="pct"/>
                  <w:vAlign w:val="center"/>
                </w:tcPr>
                <w:p w14:paraId="47777D8E">
                  <w:pPr>
                    <w:pStyle w:val="87"/>
                    <w:rPr>
                      <w:rFonts w:hint="eastAsia" w:hAnsi="宋体"/>
                    </w:rPr>
                  </w:pPr>
                  <w:r>
                    <w:rPr>
                      <w:rFonts w:hint="eastAsia" w:hAnsi="宋体"/>
                    </w:rPr>
                    <w:t>燃烧热（KJ/kg）：43732</w:t>
                  </w:r>
                </w:p>
              </w:tc>
              <w:tc>
                <w:tcPr>
                  <w:tcW w:w="2283" w:type="pct"/>
                  <w:vAlign w:val="center"/>
                </w:tcPr>
                <w:p w14:paraId="4E187944">
                  <w:pPr>
                    <w:pStyle w:val="87"/>
                    <w:rPr>
                      <w:rFonts w:hint="eastAsia" w:hAnsi="宋体"/>
                    </w:rPr>
                  </w:pPr>
                  <w:r>
                    <w:rPr>
                      <w:rFonts w:hint="eastAsia" w:hAnsi="宋体"/>
                    </w:rPr>
                    <w:t>燃烧（分解）产物：CO、CO</w:t>
                  </w:r>
                  <w:r>
                    <w:rPr>
                      <w:rFonts w:hint="eastAsia" w:hAnsi="宋体"/>
                      <w:vertAlign w:val="subscript"/>
                    </w:rPr>
                    <w:t>2</w:t>
                  </w:r>
                </w:p>
              </w:tc>
            </w:tr>
            <w:tr w14:paraId="104E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08A1FC7F">
                  <w:pPr>
                    <w:pStyle w:val="87"/>
                    <w:rPr>
                      <w:rFonts w:hint="eastAsia" w:hAnsi="宋体"/>
                    </w:rPr>
                  </w:pPr>
                </w:p>
              </w:tc>
              <w:tc>
                <w:tcPr>
                  <w:tcW w:w="4555" w:type="pct"/>
                  <w:gridSpan w:val="2"/>
                  <w:vAlign w:val="center"/>
                </w:tcPr>
                <w:p w14:paraId="4960594C">
                  <w:pPr>
                    <w:pStyle w:val="87"/>
                    <w:rPr>
                      <w:rFonts w:hint="eastAsia" w:hAnsi="宋体"/>
                    </w:rPr>
                  </w:pPr>
                  <w:r>
                    <w:rPr>
                      <w:rFonts w:hint="eastAsia" w:hAnsi="宋体"/>
                    </w:rPr>
                    <w:t>危险特性：遇明火、高温或与氧化剂接触，有引起燃烧爆炸的危险。若遇高热，容器压力增大，有开裂和爆炸的危险。</w:t>
                  </w:r>
                </w:p>
              </w:tc>
            </w:tr>
            <w:tr w14:paraId="5B25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2F584E57">
                  <w:pPr>
                    <w:pStyle w:val="87"/>
                    <w:rPr>
                      <w:rFonts w:hint="eastAsia" w:hAnsi="宋体"/>
                    </w:rPr>
                  </w:pPr>
                </w:p>
              </w:tc>
              <w:tc>
                <w:tcPr>
                  <w:tcW w:w="4555" w:type="pct"/>
                  <w:gridSpan w:val="2"/>
                  <w:vAlign w:val="center"/>
                </w:tcPr>
                <w:p w14:paraId="69C23984">
                  <w:pPr>
                    <w:pStyle w:val="87"/>
                    <w:rPr>
                      <w:rFonts w:hint="eastAsia" w:hAnsi="宋体"/>
                    </w:rPr>
                  </w:pPr>
                  <w:r>
                    <w:rPr>
                      <w:rFonts w:hint="eastAsia" w:hAnsi="宋体"/>
                    </w:rPr>
                    <w:t>灭火的方法：喷水冷却容器，可能的话将容器从火场移至空旷处。灭火剂：泡沫、干粉、二氧化碳。用水灭火无效。</w:t>
                  </w:r>
                </w:p>
              </w:tc>
            </w:tr>
            <w:tr w14:paraId="3AE2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restart"/>
                  <w:vAlign w:val="center"/>
                </w:tcPr>
                <w:p w14:paraId="48113B46">
                  <w:pPr>
                    <w:pStyle w:val="87"/>
                    <w:rPr>
                      <w:rFonts w:hint="eastAsia" w:hAnsi="宋体"/>
                    </w:rPr>
                  </w:pPr>
                  <w:r>
                    <w:rPr>
                      <w:rFonts w:hint="eastAsia" w:hAnsi="宋体"/>
                    </w:rPr>
                    <w:t>健康危害</w:t>
                  </w:r>
                </w:p>
              </w:tc>
              <w:tc>
                <w:tcPr>
                  <w:tcW w:w="4555" w:type="pct"/>
                  <w:gridSpan w:val="2"/>
                  <w:vAlign w:val="center"/>
                </w:tcPr>
                <w:p w14:paraId="581BBB07">
                  <w:pPr>
                    <w:pStyle w:val="87"/>
                    <w:rPr>
                      <w:rFonts w:hint="eastAsia" w:hAnsi="宋体"/>
                    </w:rPr>
                  </w:pPr>
                  <w:r>
                    <w:rPr>
                      <w:rFonts w:hint="eastAsia" w:hAnsi="宋体"/>
                    </w:rPr>
                    <w:t>侵入途径：吸入、食入、经皮吸收。</w:t>
                  </w:r>
                </w:p>
              </w:tc>
            </w:tr>
            <w:tr w14:paraId="3CA8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vMerge w:val="continue"/>
                  <w:vAlign w:val="center"/>
                </w:tcPr>
                <w:p w14:paraId="2E3D1E74">
                  <w:pPr>
                    <w:pStyle w:val="87"/>
                    <w:rPr>
                      <w:rFonts w:hint="eastAsia" w:hAnsi="宋体"/>
                    </w:rPr>
                  </w:pPr>
                </w:p>
              </w:tc>
              <w:tc>
                <w:tcPr>
                  <w:tcW w:w="4555" w:type="pct"/>
                  <w:gridSpan w:val="2"/>
                  <w:vAlign w:val="center"/>
                </w:tcPr>
                <w:p w14:paraId="79C60488">
                  <w:pPr>
                    <w:pStyle w:val="87"/>
                    <w:rPr>
                      <w:rFonts w:hint="eastAsia" w:hAnsi="宋体"/>
                    </w:rPr>
                  </w:pPr>
                  <w:r>
                    <w:rPr>
                      <w:rFonts w:hint="eastAsia" w:hAnsi="宋体"/>
                    </w:rPr>
                    <w:t>皮肤接触可为主要吸收途径，可致急性肾脏损害。柴油可引起接触性皮炎、油性痤疮。吸入其零滴或液体呛入可引起吸入性肺炎。能经胎盘进入胎儿血中。柴油废气可引起眼、鼻刺激症状，头晕及头痛。</w:t>
                  </w:r>
                </w:p>
              </w:tc>
            </w:tr>
          </w:tbl>
          <w:p w14:paraId="30A7FAFE">
            <w:pPr>
              <w:pStyle w:val="103"/>
              <w:ind w:firstLine="480"/>
              <w:rPr>
                <w:rFonts w:hint="eastAsia"/>
              </w:rPr>
            </w:pPr>
          </w:p>
          <w:p w14:paraId="3754BDB0">
            <w:pPr>
              <w:pStyle w:val="87"/>
              <w:spacing w:line="332" w:lineRule="auto"/>
            </w:pPr>
            <w:r>
              <w:rPr>
                <w:rFonts w:hint="eastAsia"/>
              </w:rPr>
              <w:t>表</w:t>
            </w:r>
            <w:r>
              <w:rPr>
                <w:rFonts w:hint="eastAsia"/>
              </w:rPr>
              <w:fldChar w:fldCharType="begin"/>
            </w:r>
            <w:r>
              <w:rPr>
                <w:rFonts w:hint="eastAsia"/>
              </w:rPr>
              <w:instrText xml:space="preserve"> SEQ 表 \*ARABIC </w:instrText>
            </w:r>
            <w:r>
              <w:rPr>
                <w:rFonts w:hint="eastAsia"/>
              </w:rPr>
              <w:fldChar w:fldCharType="separate"/>
            </w:r>
            <w:r>
              <w:t>37</w:t>
            </w:r>
            <w:r>
              <w:rPr>
                <w:rFonts w:hint="eastAsia"/>
              </w:rPr>
              <w:fldChar w:fldCharType="end"/>
            </w:r>
            <w:r>
              <w:rPr>
                <w:rFonts w:hint="eastAsia"/>
              </w:rPr>
              <w:t xml:space="preserve">  原油的理化性质及危害特征</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541"/>
              <w:gridCol w:w="3556"/>
            </w:tblGrid>
            <w:tr w14:paraId="3983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48FDD37E">
                  <w:pPr>
                    <w:pStyle w:val="87"/>
                    <w:rPr>
                      <w:rFonts w:hint="eastAsia" w:hAnsi="宋体" w:cs="宋体"/>
                      <w:kern w:val="0"/>
                    </w:rPr>
                  </w:pPr>
                  <w:r>
                    <w:rPr>
                      <w:rFonts w:hint="eastAsia" w:hAnsi="宋体" w:cs="宋体"/>
                      <w:kern w:val="0"/>
                    </w:rPr>
                    <w:t>标识</w:t>
                  </w:r>
                </w:p>
              </w:tc>
              <w:tc>
                <w:tcPr>
                  <w:tcW w:w="2273" w:type="pct"/>
                  <w:vAlign w:val="center"/>
                </w:tcPr>
                <w:p w14:paraId="4CA75859">
                  <w:pPr>
                    <w:pStyle w:val="87"/>
                    <w:rPr>
                      <w:rFonts w:hint="eastAsia" w:hAnsi="宋体" w:cs="宋体"/>
                      <w:kern w:val="0"/>
                    </w:rPr>
                  </w:pPr>
                  <w:r>
                    <w:rPr>
                      <w:rFonts w:hint="eastAsia" w:hAnsi="宋体" w:cs="宋体"/>
                      <w:kern w:val="0"/>
                    </w:rPr>
                    <w:t>中文名：原油</w:t>
                  </w:r>
                </w:p>
              </w:tc>
              <w:tc>
                <w:tcPr>
                  <w:tcW w:w="2282" w:type="pct"/>
                  <w:vAlign w:val="center"/>
                </w:tcPr>
                <w:p w14:paraId="4AF5246D">
                  <w:pPr>
                    <w:pStyle w:val="87"/>
                    <w:rPr>
                      <w:rFonts w:hint="eastAsia" w:hAnsi="宋体" w:cs="宋体"/>
                      <w:kern w:val="0"/>
                    </w:rPr>
                  </w:pPr>
                  <w:r>
                    <w:rPr>
                      <w:rFonts w:hint="eastAsia" w:hAnsi="宋体" w:cs="宋体"/>
                      <w:kern w:val="0"/>
                    </w:rPr>
                    <w:t>英文名：petroleum ether</w:t>
                  </w:r>
                </w:p>
              </w:tc>
            </w:tr>
            <w:tr w14:paraId="65B9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vAlign w:val="center"/>
                </w:tcPr>
                <w:p w14:paraId="7A0CE4E2">
                  <w:pPr>
                    <w:pStyle w:val="87"/>
                    <w:rPr>
                      <w:rFonts w:hint="eastAsia" w:hAnsi="宋体" w:cs="宋体"/>
                      <w:kern w:val="0"/>
                    </w:rPr>
                  </w:pPr>
                  <w:r>
                    <w:rPr>
                      <w:rFonts w:hint="eastAsia" w:hAnsi="宋体" w:cs="宋体"/>
                      <w:kern w:val="0"/>
                    </w:rPr>
                    <w:t>理化性质</w:t>
                  </w:r>
                </w:p>
              </w:tc>
              <w:tc>
                <w:tcPr>
                  <w:tcW w:w="4555" w:type="pct"/>
                  <w:gridSpan w:val="2"/>
                  <w:vAlign w:val="center"/>
                </w:tcPr>
                <w:p w14:paraId="5BB5BA52">
                  <w:pPr>
                    <w:pStyle w:val="87"/>
                    <w:rPr>
                      <w:rFonts w:hint="eastAsia" w:hAnsi="宋体" w:cs="宋体"/>
                      <w:kern w:val="0"/>
                    </w:rPr>
                  </w:pPr>
                  <w:r>
                    <w:rPr>
                      <w:rFonts w:hint="eastAsia" w:hAnsi="宋体" w:cs="宋体"/>
                      <w:kern w:val="0"/>
                    </w:rPr>
                    <w:t>外观与形状：无色或浅黄色液体，有特殊气味。</w:t>
                  </w:r>
                </w:p>
              </w:tc>
            </w:tr>
            <w:tr w14:paraId="26FA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21C72429">
                  <w:pPr>
                    <w:pStyle w:val="87"/>
                    <w:rPr>
                      <w:rFonts w:hint="eastAsia" w:hAnsi="宋体" w:cs="宋体"/>
                      <w:kern w:val="0"/>
                    </w:rPr>
                  </w:pPr>
                </w:p>
              </w:tc>
              <w:tc>
                <w:tcPr>
                  <w:tcW w:w="4555" w:type="pct"/>
                  <w:gridSpan w:val="2"/>
                  <w:vAlign w:val="center"/>
                </w:tcPr>
                <w:p w14:paraId="6FC30099">
                  <w:pPr>
                    <w:pStyle w:val="87"/>
                    <w:rPr>
                      <w:rFonts w:hint="eastAsia" w:hAnsi="宋体" w:cs="宋体"/>
                      <w:kern w:val="0"/>
                    </w:rPr>
                  </w:pPr>
                  <w:r>
                    <w:rPr>
                      <w:rFonts w:hint="eastAsia" w:hAnsi="宋体" w:cs="宋体"/>
                      <w:kern w:val="0"/>
                    </w:rPr>
                    <w:t>主要成分：烷烃、芳烃、烯烃等</w:t>
                  </w:r>
                </w:p>
              </w:tc>
            </w:tr>
            <w:tr w14:paraId="1DD3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0286F4F2">
                  <w:pPr>
                    <w:pStyle w:val="87"/>
                    <w:rPr>
                      <w:rFonts w:hint="eastAsia" w:hAnsi="宋体" w:cs="宋体"/>
                      <w:kern w:val="0"/>
                    </w:rPr>
                  </w:pPr>
                </w:p>
              </w:tc>
              <w:tc>
                <w:tcPr>
                  <w:tcW w:w="2273" w:type="pct"/>
                  <w:vAlign w:val="center"/>
                </w:tcPr>
                <w:p w14:paraId="0E6FA835">
                  <w:pPr>
                    <w:pStyle w:val="87"/>
                    <w:rPr>
                      <w:rFonts w:hint="eastAsia" w:hAnsi="宋体" w:cs="宋体"/>
                      <w:kern w:val="0"/>
                    </w:rPr>
                  </w:pPr>
                  <w:r>
                    <w:rPr>
                      <w:rFonts w:hint="eastAsia" w:hAnsi="宋体" w:cs="宋体"/>
                      <w:kern w:val="0"/>
                    </w:rPr>
                    <w:t>熔点（℃）：-72</w:t>
                  </w:r>
                </w:p>
              </w:tc>
              <w:tc>
                <w:tcPr>
                  <w:tcW w:w="2282" w:type="pct"/>
                  <w:vAlign w:val="center"/>
                </w:tcPr>
                <w:p w14:paraId="6C94A6E3">
                  <w:pPr>
                    <w:pStyle w:val="87"/>
                    <w:rPr>
                      <w:rFonts w:hint="eastAsia" w:hAnsi="宋体" w:cs="宋体"/>
                      <w:kern w:val="0"/>
                    </w:rPr>
                  </w:pPr>
                  <w:r>
                    <w:rPr>
                      <w:rFonts w:hint="eastAsia" w:hAnsi="宋体" w:cs="宋体"/>
                      <w:kern w:val="0"/>
                    </w:rPr>
                    <w:t>沸点（℃）：180</w:t>
                  </w:r>
                </w:p>
              </w:tc>
            </w:tr>
            <w:tr w14:paraId="5AF9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4A996F99">
                  <w:pPr>
                    <w:pStyle w:val="87"/>
                    <w:rPr>
                      <w:rFonts w:hint="eastAsia" w:hAnsi="宋体" w:cs="宋体"/>
                      <w:kern w:val="0"/>
                    </w:rPr>
                  </w:pPr>
                </w:p>
              </w:tc>
              <w:tc>
                <w:tcPr>
                  <w:tcW w:w="2273" w:type="pct"/>
                  <w:vAlign w:val="center"/>
                </w:tcPr>
                <w:p w14:paraId="7B5B1FBD">
                  <w:pPr>
                    <w:pStyle w:val="87"/>
                    <w:rPr>
                      <w:rFonts w:hint="eastAsia" w:hAnsi="宋体" w:cs="宋体"/>
                      <w:kern w:val="0"/>
                    </w:rPr>
                  </w:pPr>
                  <w:r>
                    <w:rPr>
                      <w:rFonts w:hint="eastAsia" w:hAnsi="宋体" w:cs="宋体"/>
                      <w:kern w:val="0"/>
                    </w:rPr>
                    <w:t>相对密度（水=1）：0.95</w:t>
                  </w:r>
                </w:p>
              </w:tc>
              <w:tc>
                <w:tcPr>
                  <w:tcW w:w="2282" w:type="pct"/>
                  <w:vAlign w:val="center"/>
                </w:tcPr>
                <w:p w14:paraId="71DD89B9">
                  <w:pPr>
                    <w:pStyle w:val="87"/>
                    <w:rPr>
                      <w:rFonts w:hint="eastAsia" w:hAnsi="宋体" w:cs="宋体"/>
                      <w:kern w:val="0"/>
                    </w:rPr>
                  </w:pPr>
                  <w:r>
                    <w:rPr>
                      <w:rFonts w:hint="eastAsia" w:hAnsi="宋体" w:cs="宋体"/>
                      <w:kern w:val="0"/>
                    </w:rPr>
                    <w:t>禁忌物：强氧化剂</w:t>
                  </w:r>
                </w:p>
              </w:tc>
            </w:tr>
            <w:tr w14:paraId="33FA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2CCA3E0E">
                  <w:pPr>
                    <w:pStyle w:val="87"/>
                    <w:rPr>
                      <w:rFonts w:hint="eastAsia" w:hAnsi="宋体" w:cs="宋体"/>
                      <w:kern w:val="0"/>
                    </w:rPr>
                  </w:pPr>
                </w:p>
              </w:tc>
              <w:tc>
                <w:tcPr>
                  <w:tcW w:w="2273" w:type="pct"/>
                  <w:vAlign w:val="center"/>
                </w:tcPr>
                <w:p w14:paraId="65BB59D4">
                  <w:pPr>
                    <w:pStyle w:val="87"/>
                    <w:rPr>
                      <w:rFonts w:hint="eastAsia" w:hAnsi="宋体" w:cs="宋体"/>
                      <w:kern w:val="0"/>
                    </w:rPr>
                  </w:pPr>
                  <w:r>
                    <w:rPr>
                      <w:rFonts w:hint="eastAsia" w:hAnsi="宋体" w:cs="宋体"/>
                      <w:kern w:val="0"/>
                    </w:rPr>
                    <w:t>稳定性：稳定</w:t>
                  </w:r>
                </w:p>
              </w:tc>
              <w:tc>
                <w:tcPr>
                  <w:tcW w:w="2282" w:type="pct"/>
                  <w:vAlign w:val="center"/>
                </w:tcPr>
                <w:p w14:paraId="5F720370">
                  <w:pPr>
                    <w:pStyle w:val="87"/>
                    <w:rPr>
                      <w:rFonts w:hint="eastAsia" w:hAnsi="宋体" w:cs="宋体"/>
                      <w:kern w:val="0"/>
                    </w:rPr>
                  </w:pPr>
                  <w:r>
                    <w:rPr>
                      <w:rFonts w:hint="eastAsia" w:hAnsi="宋体" w:cs="宋体"/>
                      <w:kern w:val="0"/>
                    </w:rPr>
                    <w:t>聚合危害：不聚合</w:t>
                  </w:r>
                </w:p>
              </w:tc>
            </w:tr>
            <w:tr w14:paraId="15DF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vAlign w:val="center"/>
                </w:tcPr>
                <w:p w14:paraId="37F0BC15">
                  <w:pPr>
                    <w:pStyle w:val="87"/>
                    <w:rPr>
                      <w:rFonts w:hint="eastAsia" w:hAnsi="宋体" w:cs="宋体"/>
                      <w:kern w:val="0"/>
                    </w:rPr>
                  </w:pPr>
                  <w:r>
                    <w:rPr>
                      <w:rFonts w:hint="eastAsia" w:hAnsi="宋体" w:cs="宋体"/>
                      <w:kern w:val="0"/>
                    </w:rPr>
                    <w:t>危险特性</w:t>
                  </w:r>
                </w:p>
              </w:tc>
              <w:tc>
                <w:tcPr>
                  <w:tcW w:w="2273" w:type="pct"/>
                  <w:vAlign w:val="center"/>
                </w:tcPr>
                <w:p w14:paraId="296C410E">
                  <w:pPr>
                    <w:pStyle w:val="87"/>
                    <w:rPr>
                      <w:rFonts w:hint="eastAsia" w:hAnsi="宋体" w:cs="宋体"/>
                      <w:kern w:val="0"/>
                    </w:rPr>
                  </w:pPr>
                  <w:r>
                    <w:rPr>
                      <w:rFonts w:hint="eastAsia" w:hAnsi="宋体" w:cs="宋体"/>
                      <w:kern w:val="0"/>
                    </w:rPr>
                    <w:t>燃烧性：易燃</w:t>
                  </w:r>
                </w:p>
              </w:tc>
              <w:tc>
                <w:tcPr>
                  <w:tcW w:w="2282" w:type="pct"/>
                  <w:vAlign w:val="center"/>
                </w:tcPr>
                <w:p w14:paraId="39087E3E">
                  <w:pPr>
                    <w:pStyle w:val="87"/>
                    <w:rPr>
                      <w:rFonts w:hint="eastAsia" w:hAnsi="宋体" w:cs="宋体"/>
                      <w:kern w:val="0"/>
                    </w:rPr>
                  </w:pPr>
                  <w:r>
                    <w:rPr>
                      <w:rFonts w:hint="eastAsia" w:hAnsi="宋体" w:cs="宋体"/>
                      <w:kern w:val="0"/>
                    </w:rPr>
                    <w:t>燃烧（分解）产物：CO、CO</w:t>
                  </w:r>
                  <w:r>
                    <w:rPr>
                      <w:rFonts w:hint="eastAsia" w:hAnsi="宋体" w:cs="宋体"/>
                      <w:kern w:val="0"/>
                      <w:vertAlign w:val="subscript"/>
                    </w:rPr>
                    <w:t>2</w:t>
                  </w:r>
                </w:p>
              </w:tc>
            </w:tr>
            <w:tr w14:paraId="35C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49B8E8C2">
                  <w:pPr>
                    <w:pStyle w:val="87"/>
                    <w:rPr>
                      <w:rFonts w:hint="eastAsia" w:hAnsi="宋体" w:cs="宋体"/>
                      <w:kern w:val="0"/>
                    </w:rPr>
                  </w:pPr>
                </w:p>
              </w:tc>
              <w:tc>
                <w:tcPr>
                  <w:tcW w:w="2273" w:type="pct"/>
                  <w:vAlign w:val="center"/>
                </w:tcPr>
                <w:p w14:paraId="55C64360">
                  <w:pPr>
                    <w:pStyle w:val="87"/>
                    <w:rPr>
                      <w:rFonts w:hint="eastAsia" w:hAnsi="宋体" w:cs="宋体"/>
                      <w:kern w:val="0"/>
                    </w:rPr>
                  </w:pPr>
                  <w:r>
                    <w:rPr>
                      <w:rFonts w:hint="eastAsia" w:hAnsi="宋体" w:cs="宋体"/>
                      <w:kern w:val="0"/>
                    </w:rPr>
                    <w:t>引燃温度（℃）：255</w:t>
                  </w:r>
                </w:p>
              </w:tc>
              <w:tc>
                <w:tcPr>
                  <w:tcW w:w="2282" w:type="pct"/>
                  <w:vAlign w:val="center"/>
                </w:tcPr>
                <w:p w14:paraId="32139F1B">
                  <w:pPr>
                    <w:pStyle w:val="87"/>
                    <w:rPr>
                      <w:rFonts w:hint="eastAsia" w:hAnsi="宋体" w:cs="宋体"/>
                      <w:kern w:val="0"/>
                    </w:rPr>
                  </w:pPr>
                  <w:r>
                    <w:rPr>
                      <w:rFonts w:hint="eastAsia" w:hAnsi="宋体" w:cs="宋体"/>
                      <w:kern w:val="0"/>
                    </w:rPr>
                    <w:t>闪点（℃）：/</w:t>
                  </w:r>
                </w:p>
              </w:tc>
            </w:tr>
            <w:tr w14:paraId="740F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5D9981F0">
                  <w:pPr>
                    <w:pStyle w:val="87"/>
                    <w:rPr>
                      <w:rFonts w:hint="eastAsia" w:hAnsi="宋体" w:cs="宋体"/>
                      <w:kern w:val="0"/>
                    </w:rPr>
                  </w:pPr>
                </w:p>
              </w:tc>
              <w:tc>
                <w:tcPr>
                  <w:tcW w:w="2273" w:type="pct"/>
                  <w:vAlign w:val="center"/>
                </w:tcPr>
                <w:p w14:paraId="651AB4FE">
                  <w:pPr>
                    <w:pStyle w:val="87"/>
                    <w:rPr>
                      <w:rFonts w:hint="eastAsia" w:hAnsi="宋体" w:cs="宋体"/>
                      <w:kern w:val="0"/>
                    </w:rPr>
                  </w:pPr>
                  <w:r>
                    <w:rPr>
                      <w:rFonts w:hint="eastAsia" w:hAnsi="宋体" w:cs="宋体"/>
                      <w:kern w:val="0"/>
                    </w:rPr>
                    <w:t>爆炸下限（%）：1.1</w:t>
                  </w:r>
                </w:p>
              </w:tc>
              <w:tc>
                <w:tcPr>
                  <w:tcW w:w="2282" w:type="pct"/>
                  <w:vAlign w:val="center"/>
                </w:tcPr>
                <w:p w14:paraId="4C9E6830">
                  <w:pPr>
                    <w:pStyle w:val="87"/>
                    <w:rPr>
                      <w:rFonts w:hint="eastAsia" w:hAnsi="宋体" w:cs="宋体"/>
                      <w:kern w:val="0"/>
                    </w:rPr>
                  </w:pPr>
                  <w:r>
                    <w:rPr>
                      <w:rFonts w:hint="eastAsia" w:hAnsi="宋体" w:cs="宋体"/>
                      <w:kern w:val="0"/>
                    </w:rPr>
                    <w:t>爆炸上限（%）：5.9</w:t>
                  </w:r>
                </w:p>
              </w:tc>
            </w:tr>
            <w:tr w14:paraId="6BC7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1E263C99">
                  <w:pPr>
                    <w:pStyle w:val="87"/>
                    <w:rPr>
                      <w:rFonts w:hint="eastAsia" w:hAnsi="宋体" w:cs="宋体"/>
                      <w:kern w:val="0"/>
                    </w:rPr>
                  </w:pPr>
                </w:p>
              </w:tc>
              <w:tc>
                <w:tcPr>
                  <w:tcW w:w="4555" w:type="pct"/>
                  <w:gridSpan w:val="2"/>
                  <w:vAlign w:val="center"/>
                </w:tcPr>
                <w:p w14:paraId="3BEF70CE">
                  <w:pPr>
                    <w:pStyle w:val="87"/>
                    <w:rPr>
                      <w:rFonts w:hint="eastAsia" w:hAnsi="宋体" w:cs="宋体"/>
                      <w:kern w:val="0"/>
                    </w:rPr>
                  </w:pPr>
                  <w:r>
                    <w:rPr>
                      <w:rFonts w:hint="eastAsia" w:hAnsi="宋体" w:cs="宋体"/>
                      <w:kern w:val="0"/>
                    </w:rPr>
                    <w:t>危险特性：遇高热、明火有燃烧危险。能与氧化剂反应。遇热分解释出有毒的烟雾。吸入大量蒸气能引起神经症状。</w:t>
                  </w:r>
                </w:p>
              </w:tc>
            </w:tr>
            <w:tr w14:paraId="407A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5B46EF2F">
                  <w:pPr>
                    <w:pStyle w:val="87"/>
                    <w:rPr>
                      <w:rFonts w:hint="eastAsia" w:hAnsi="宋体" w:cs="宋体"/>
                      <w:kern w:val="0"/>
                    </w:rPr>
                  </w:pPr>
                </w:p>
              </w:tc>
              <w:tc>
                <w:tcPr>
                  <w:tcW w:w="4555" w:type="pct"/>
                  <w:gridSpan w:val="2"/>
                  <w:vAlign w:val="center"/>
                </w:tcPr>
                <w:p w14:paraId="4B52BF1B">
                  <w:pPr>
                    <w:pStyle w:val="87"/>
                    <w:rPr>
                      <w:rFonts w:hint="eastAsia" w:hAnsi="宋体" w:cs="宋体"/>
                      <w:kern w:val="0"/>
                    </w:rPr>
                  </w:pPr>
                  <w:r>
                    <w:rPr>
                      <w:rFonts w:hint="eastAsia" w:hAnsi="宋体" w:cs="宋体"/>
                      <w:kern w:val="0"/>
                    </w:rPr>
                    <w:t>灭火的方法用泡沫、二氧化碳、干粉、砂土灭火，小面积可用雾状水扑救。</w:t>
                  </w:r>
                </w:p>
              </w:tc>
            </w:tr>
            <w:tr w14:paraId="456C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vAlign w:val="center"/>
                </w:tcPr>
                <w:p w14:paraId="2F8C6B1B">
                  <w:pPr>
                    <w:pStyle w:val="87"/>
                    <w:rPr>
                      <w:rFonts w:hint="eastAsia" w:hAnsi="宋体" w:cs="宋体"/>
                      <w:kern w:val="0"/>
                    </w:rPr>
                  </w:pPr>
                  <w:r>
                    <w:rPr>
                      <w:rFonts w:hint="eastAsia" w:hAnsi="宋体" w:cs="宋体"/>
                      <w:kern w:val="0"/>
                    </w:rPr>
                    <w:t>健康危害</w:t>
                  </w:r>
                </w:p>
              </w:tc>
              <w:tc>
                <w:tcPr>
                  <w:tcW w:w="4555" w:type="pct"/>
                  <w:gridSpan w:val="2"/>
                  <w:vAlign w:val="center"/>
                </w:tcPr>
                <w:p w14:paraId="38F5B6A3">
                  <w:pPr>
                    <w:pStyle w:val="87"/>
                    <w:rPr>
                      <w:rFonts w:hint="eastAsia" w:hAnsi="宋体" w:cs="宋体"/>
                      <w:kern w:val="0"/>
                    </w:rPr>
                  </w:pPr>
                  <w:r>
                    <w:rPr>
                      <w:rFonts w:hint="eastAsia" w:hAnsi="宋体" w:cs="宋体"/>
                      <w:kern w:val="0"/>
                    </w:rPr>
                    <w:t>侵入途径：吸入、食入、经皮吸收。</w:t>
                  </w:r>
                </w:p>
              </w:tc>
            </w:tr>
            <w:tr w14:paraId="235B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696527A7">
                  <w:pPr>
                    <w:pStyle w:val="87"/>
                    <w:rPr>
                      <w:rFonts w:hint="eastAsia" w:hAnsi="宋体" w:cs="宋体"/>
                      <w:kern w:val="0"/>
                    </w:rPr>
                  </w:pPr>
                </w:p>
              </w:tc>
              <w:tc>
                <w:tcPr>
                  <w:tcW w:w="4555" w:type="pct"/>
                  <w:gridSpan w:val="2"/>
                  <w:vAlign w:val="center"/>
                </w:tcPr>
                <w:p w14:paraId="68AF2CEC">
                  <w:pPr>
                    <w:pStyle w:val="87"/>
                    <w:rPr>
                      <w:rFonts w:hint="eastAsia" w:hAnsi="宋体" w:cs="宋体"/>
                      <w:kern w:val="0"/>
                    </w:rPr>
                  </w:pPr>
                  <w:r>
                    <w:rPr>
                      <w:rFonts w:hint="eastAsia" w:hAnsi="宋体" w:cs="宋体"/>
                      <w:kern w:val="0"/>
                    </w:rPr>
                    <w:t>皮肤接触可为主要吸收途径，可致急性肾脏损害。柴油可引起接触性皮炎、油性痤疮。吸入其零滴或液体呛入可引起吸入性肺炎。能经胎盘进入胎儿血中。柴油废气可引起眼、鼻刺激症状，头晕及头痛。</w:t>
                  </w:r>
                </w:p>
              </w:tc>
            </w:tr>
          </w:tbl>
          <w:p w14:paraId="016E0B2F">
            <w:pPr>
              <w:pStyle w:val="87"/>
              <w:spacing w:line="332" w:lineRule="auto"/>
            </w:pPr>
          </w:p>
          <w:p w14:paraId="75AFBF92">
            <w:pPr>
              <w:pStyle w:val="87"/>
              <w:spacing w:line="332" w:lineRule="auto"/>
            </w:pPr>
            <w:bookmarkStart w:id="63" w:name="_Ref206492435"/>
            <w:r>
              <w:rPr>
                <w:rFonts w:hint="eastAsia"/>
              </w:rPr>
              <w:t>表</w:t>
            </w:r>
            <w:r>
              <w:rPr>
                <w:rFonts w:hint="eastAsia"/>
              </w:rPr>
              <w:fldChar w:fldCharType="begin"/>
            </w:r>
            <w:r>
              <w:rPr>
                <w:rFonts w:hint="eastAsia"/>
              </w:rPr>
              <w:instrText xml:space="preserve"> SEQ 表 \*ARABIC </w:instrText>
            </w:r>
            <w:r>
              <w:rPr>
                <w:rFonts w:hint="eastAsia"/>
              </w:rPr>
              <w:fldChar w:fldCharType="separate"/>
            </w:r>
            <w:r>
              <w:t>38</w:t>
            </w:r>
            <w:r>
              <w:rPr>
                <w:rFonts w:hint="eastAsia"/>
              </w:rPr>
              <w:fldChar w:fldCharType="end"/>
            </w:r>
            <w:bookmarkEnd w:id="63"/>
            <w:r>
              <w:rPr>
                <w:rFonts w:hint="eastAsia"/>
              </w:rPr>
              <w:t xml:space="preserve">  天然气（CH</w:t>
            </w:r>
            <w:r>
              <w:rPr>
                <w:rFonts w:hint="eastAsia"/>
                <w:vertAlign w:val="subscript"/>
              </w:rPr>
              <w:t>4</w:t>
            </w:r>
            <w:r>
              <w:rPr>
                <w:rFonts w:hint="eastAsia"/>
              </w:rPr>
              <w:t>）的理化性质及危害特征</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541"/>
              <w:gridCol w:w="3556"/>
            </w:tblGrid>
            <w:tr w14:paraId="11CD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Align w:val="center"/>
                </w:tcPr>
                <w:p w14:paraId="72553867">
                  <w:pPr>
                    <w:pStyle w:val="87"/>
                    <w:rPr>
                      <w:rFonts w:hint="eastAsia" w:hAnsi="宋体" w:cs="宋体"/>
                      <w:kern w:val="0"/>
                    </w:rPr>
                  </w:pPr>
                  <w:r>
                    <w:rPr>
                      <w:rFonts w:hint="eastAsia" w:hAnsi="宋体" w:cs="宋体"/>
                      <w:kern w:val="0"/>
                    </w:rPr>
                    <w:t>标识</w:t>
                  </w:r>
                </w:p>
              </w:tc>
              <w:tc>
                <w:tcPr>
                  <w:tcW w:w="2273" w:type="pct"/>
                  <w:vAlign w:val="center"/>
                </w:tcPr>
                <w:p w14:paraId="4A61B03E">
                  <w:pPr>
                    <w:pStyle w:val="87"/>
                    <w:rPr>
                      <w:rFonts w:hint="eastAsia" w:hAnsi="宋体" w:cs="宋体"/>
                      <w:kern w:val="0"/>
                    </w:rPr>
                  </w:pPr>
                  <w:r>
                    <w:rPr>
                      <w:rFonts w:hint="eastAsia" w:hAnsi="宋体" w:cs="宋体"/>
                      <w:kern w:val="0"/>
                    </w:rPr>
                    <w:t>中文名：天然气</w:t>
                  </w:r>
                </w:p>
              </w:tc>
              <w:tc>
                <w:tcPr>
                  <w:tcW w:w="2282" w:type="pct"/>
                  <w:vAlign w:val="center"/>
                </w:tcPr>
                <w:p w14:paraId="20B318DC">
                  <w:pPr>
                    <w:pStyle w:val="87"/>
                    <w:rPr>
                      <w:rFonts w:hint="eastAsia" w:hAnsi="宋体" w:cs="宋体"/>
                      <w:kern w:val="0"/>
                    </w:rPr>
                  </w:pPr>
                  <w:r>
                    <w:rPr>
                      <w:rFonts w:hint="eastAsia" w:hAnsi="宋体" w:cs="宋体"/>
                      <w:kern w:val="0"/>
                    </w:rPr>
                    <w:t>英文名：Natural gas</w:t>
                  </w:r>
                </w:p>
              </w:tc>
            </w:tr>
            <w:tr w14:paraId="5F8B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vAlign w:val="center"/>
                </w:tcPr>
                <w:p w14:paraId="135C0456">
                  <w:pPr>
                    <w:pStyle w:val="87"/>
                    <w:rPr>
                      <w:rFonts w:hint="eastAsia" w:hAnsi="宋体" w:cs="宋体"/>
                      <w:kern w:val="0"/>
                    </w:rPr>
                  </w:pPr>
                  <w:r>
                    <w:rPr>
                      <w:rFonts w:hint="eastAsia" w:hAnsi="宋体" w:cs="宋体"/>
                      <w:kern w:val="0"/>
                    </w:rPr>
                    <w:t>理化性质</w:t>
                  </w:r>
                </w:p>
              </w:tc>
              <w:tc>
                <w:tcPr>
                  <w:tcW w:w="4555" w:type="pct"/>
                  <w:gridSpan w:val="2"/>
                  <w:vAlign w:val="center"/>
                </w:tcPr>
                <w:p w14:paraId="4C1F1595">
                  <w:pPr>
                    <w:pStyle w:val="87"/>
                    <w:rPr>
                      <w:rFonts w:hint="eastAsia" w:hAnsi="宋体" w:cs="宋体"/>
                      <w:kern w:val="0"/>
                    </w:rPr>
                  </w:pPr>
                  <w:r>
                    <w:rPr>
                      <w:rFonts w:hint="eastAsia" w:hAnsi="宋体" w:cs="宋体"/>
                      <w:kern w:val="0"/>
                    </w:rPr>
                    <w:t>外观与形状：无色无臭气体。</w:t>
                  </w:r>
                </w:p>
              </w:tc>
            </w:tr>
            <w:tr w14:paraId="7716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1247C97E">
                  <w:pPr>
                    <w:pStyle w:val="87"/>
                    <w:rPr>
                      <w:rFonts w:hint="eastAsia" w:hAnsi="宋体" w:cs="宋体"/>
                      <w:kern w:val="0"/>
                    </w:rPr>
                  </w:pPr>
                </w:p>
              </w:tc>
              <w:tc>
                <w:tcPr>
                  <w:tcW w:w="4555" w:type="pct"/>
                  <w:gridSpan w:val="2"/>
                  <w:vAlign w:val="center"/>
                </w:tcPr>
                <w:p w14:paraId="67099E98">
                  <w:pPr>
                    <w:pStyle w:val="87"/>
                    <w:rPr>
                      <w:rFonts w:hint="eastAsia" w:hAnsi="宋体" w:cs="宋体"/>
                      <w:kern w:val="0"/>
                    </w:rPr>
                  </w:pPr>
                  <w:r>
                    <w:rPr>
                      <w:rFonts w:hint="eastAsia" w:hAnsi="宋体" w:cs="宋体"/>
                      <w:kern w:val="0"/>
                    </w:rPr>
                    <w:t>主要成分：CH</w:t>
                  </w:r>
                  <w:r>
                    <w:rPr>
                      <w:rFonts w:hint="eastAsia" w:hAnsi="宋体" w:cs="宋体"/>
                      <w:kern w:val="0"/>
                      <w:vertAlign w:val="subscript"/>
                    </w:rPr>
                    <w:t>4</w:t>
                  </w:r>
                </w:p>
              </w:tc>
            </w:tr>
            <w:tr w14:paraId="3B78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24F3E6C9">
                  <w:pPr>
                    <w:pStyle w:val="87"/>
                    <w:rPr>
                      <w:rFonts w:hint="eastAsia" w:hAnsi="宋体" w:cs="宋体"/>
                      <w:kern w:val="0"/>
                    </w:rPr>
                  </w:pPr>
                </w:p>
              </w:tc>
              <w:tc>
                <w:tcPr>
                  <w:tcW w:w="2273" w:type="pct"/>
                  <w:vAlign w:val="center"/>
                </w:tcPr>
                <w:p w14:paraId="3BE96AB0">
                  <w:pPr>
                    <w:pStyle w:val="87"/>
                    <w:rPr>
                      <w:rFonts w:hint="eastAsia" w:hAnsi="宋体" w:cs="宋体"/>
                      <w:kern w:val="0"/>
                    </w:rPr>
                  </w:pPr>
                  <w:r>
                    <w:rPr>
                      <w:rFonts w:hint="eastAsia" w:hAnsi="宋体" w:cs="宋体"/>
                      <w:kern w:val="0"/>
                    </w:rPr>
                    <w:t>熔点（℃）：/</w:t>
                  </w:r>
                </w:p>
              </w:tc>
              <w:tc>
                <w:tcPr>
                  <w:tcW w:w="2282" w:type="pct"/>
                  <w:vAlign w:val="center"/>
                </w:tcPr>
                <w:p w14:paraId="04AEA839">
                  <w:pPr>
                    <w:pStyle w:val="87"/>
                    <w:rPr>
                      <w:rFonts w:hint="eastAsia" w:hAnsi="宋体" w:cs="宋体"/>
                      <w:kern w:val="0"/>
                    </w:rPr>
                  </w:pPr>
                  <w:r>
                    <w:rPr>
                      <w:rFonts w:hint="eastAsia" w:hAnsi="宋体" w:cs="宋体"/>
                      <w:kern w:val="0"/>
                    </w:rPr>
                    <w:t>沸点（℃）：-160</w:t>
                  </w:r>
                </w:p>
              </w:tc>
            </w:tr>
            <w:tr w14:paraId="5D05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1256F1A9">
                  <w:pPr>
                    <w:pStyle w:val="87"/>
                    <w:rPr>
                      <w:rFonts w:hint="eastAsia" w:hAnsi="宋体" w:cs="宋体"/>
                      <w:kern w:val="0"/>
                    </w:rPr>
                  </w:pPr>
                </w:p>
              </w:tc>
              <w:tc>
                <w:tcPr>
                  <w:tcW w:w="2273" w:type="pct"/>
                  <w:vAlign w:val="center"/>
                </w:tcPr>
                <w:p w14:paraId="2C819991">
                  <w:pPr>
                    <w:pStyle w:val="87"/>
                    <w:rPr>
                      <w:rFonts w:hint="eastAsia" w:hAnsi="宋体" w:cs="宋体"/>
                      <w:kern w:val="0"/>
                    </w:rPr>
                  </w:pPr>
                  <w:r>
                    <w:rPr>
                      <w:rFonts w:hint="eastAsia" w:hAnsi="宋体" w:cs="宋体"/>
                      <w:kern w:val="0"/>
                    </w:rPr>
                    <w:t>相对密度（水=1）：0.45</w:t>
                  </w:r>
                </w:p>
              </w:tc>
              <w:tc>
                <w:tcPr>
                  <w:tcW w:w="2282" w:type="pct"/>
                  <w:vAlign w:val="center"/>
                </w:tcPr>
                <w:p w14:paraId="02ED19DC">
                  <w:pPr>
                    <w:pStyle w:val="87"/>
                    <w:rPr>
                      <w:rFonts w:hint="eastAsia" w:hAnsi="宋体" w:cs="宋体"/>
                      <w:kern w:val="0"/>
                    </w:rPr>
                  </w:pPr>
                  <w:r>
                    <w:rPr>
                      <w:rFonts w:hint="eastAsia" w:hAnsi="宋体" w:cs="宋体"/>
                      <w:kern w:val="0"/>
                    </w:rPr>
                    <w:t>禁忌物：强氧化剂、卤素</w:t>
                  </w:r>
                </w:p>
              </w:tc>
            </w:tr>
            <w:tr w14:paraId="1C14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3FB0265E">
                  <w:pPr>
                    <w:pStyle w:val="87"/>
                    <w:rPr>
                      <w:rFonts w:hint="eastAsia" w:hAnsi="宋体" w:cs="宋体"/>
                      <w:kern w:val="0"/>
                    </w:rPr>
                  </w:pPr>
                </w:p>
              </w:tc>
              <w:tc>
                <w:tcPr>
                  <w:tcW w:w="2273" w:type="pct"/>
                  <w:vAlign w:val="center"/>
                </w:tcPr>
                <w:p w14:paraId="63BCC7CD">
                  <w:pPr>
                    <w:pStyle w:val="87"/>
                    <w:rPr>
                      <w:rFonts w:hint="eastAsia" w:hAnsi="宋体" w:cs="宋体"/>
                      <w:kern w:val="0"/>
                    </w:rPr>
                  </w:pPr>
                  <w:r>
                    <w:rPr>
                      <w:rFonts w:hint="eastAsia" w:hAnsi="宋体" w:cs="宋体"/>
                      <w:kern w:val="0"/>
                    </w:rPr>
                    <w:t>稳定性：稳定</w:t>
                  </w:r>
                </w:p>
              </w:tc>
              <w:tc>
                <w:tcPr>
                  <w:tcW w:w="2282" w:type="pct"/>
                  <w:vAlign w:val="center"/>
                </w:tcPr>
                <w:p w14:paraId="5C49F3A4">
                  <w:pPr>
                    <w:pStyle w:val="87"/>
                    <w:rPr>
                      <w:rFonts w:hint="eastAsia" w:hAnsi="宋体" w:cs="宋体"/>
                      <w:kern w:val="0"/>
                    </w:rPr>
                  </w:pPr>
                  <w:r>
                    <w:rPr>
                      <w:rFonts w:hint="eastAsia" w:hAnsi="宋体" w:cs="宋体"/>
                      <w:kern w:val="0"/>
                    </w:rPr>
                    <w:t>聚合危害：不聚合</w:t>
                  </w:r>
                </w:p>
              </w:tc>
            </w:tr>
            <w:tr w14:paraId="0FAE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vAlign w:val="center"/>
                </w:tcPr>
                <w:p w14:paraId="60DEA41A">
                  <w:pPr>
                    <w:pStyle w:val="87"/>
                    <w:rPr>
                      <w:rFonts w:hint="eastAsia" w:hAnsi="宋体" w:cs="宋体"/>
                      <w:kern w:val="0"/>
                    </w:rPr>
                  </w:pPr>
                  <w:r>
                    <w:rPr>
                      <w:rFonts w:hint="eastAsia" w:hAnsi="宋体" w:cs="宋体"/>
                      <w:kern w:val="0"/>
                    </w:rPr>
                    <w:t>危险特性</w:t>
                  </w:r>
                </w:p>
              </w:tc>
              <w:tc>
                <w:tcPr>
                  <w:tcW w:w="2273" w:type="pct"/>
                  <w:vAlign w:val="center"/>
                </w:tcPr>
                <w:p w14:paraId="584A6A96">
                  <w:pPr>
                    <w:pStyle w:val="87"/>
                    <w:rPr>
                      <w:rFonts w:hint="eastAsia" w:hAnsi="宋体" w:cs="宋体"/>
                      <w:kern w:val="0"/>
                    </w:rPr>
                  </w:pPr>
                  <w:r>
                    <w:rPr>
                      <w:rFonts w:hint="eastAsia" w:hAnsi="宋体" w:cs="宋体"/>
                      <w:kern w:val="0"/>
                    </w:rPr>
                    <w:t>危险性类别：</w:t>
                  </w:r>
                </w:p>
              </w:tc>
              <w:tc>
                <w:tcPr>
                  <w:tcW w:w="2282" w:type="pct"/>
                  <w:vAlign w:val="center"/>
                </w:tcPr>
                <w:p w14:paraId="39E7E0F9">
                  <w:pPr>
                    <w:pStyle w:val="87"/>
                    <w:rPr>
                      <w:rFonts w:hint="eastAsia" w:hAnsi="宋体" w:cs="宋体"/>
                      <w:kern w:val="0"/>
                    </w:rPr>
                  </w:pPr>
                  <w:r>
                    <w:rPr>
                      <w:rFonts w:hint="eastAsia" w:hAnsi="宋体" w:cs="宋体"/>
                      <w:kern w:val="0"/>
                    </w:rPr>
                    <w:t>燃烧性：易燃</w:t>
                  </w:r>
                </w:p>
              </w:tc>
            </w:tr>
            <w:tr w14:paraId="25E2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33925316">
                  <w:pPr>
                    <w:pStyle w:val="87"/>
                    <w:rPr>
                      <w:rFonts w:hint="eastAsia" w:hAnsi="宋体" w:cs="宋体"/>
                      <w:kern w:val="0"/>
                    </w:rPr>
                  </w:pPr>
                </w:p>
              </w:tc>
              <w:tc>
                <w:tcPr>
                  <w:tcW w:w="2273" w:type="pct"/>
                  <w:vAlign w:val="center"/>
                </w:tcPr>
                <w:p w14:paraId="0F8A500E">
                  <w:pPr>
                    <w:pStyle w:val="87"/>
                    <w:rPr>
                      <w:rFonts w:hint="eastAsia" w:hAnsi="宋体" w:cs="宋体"/>
                      <w:kern w:val="0"/>
                    </w:rPr>
                  </w:pPr>
                  <w:r>
                    <w:rPr>
                      <w:rFonts w:hint="eastAsia" w:hAnsi="宋体" w:cs="宋体"/>
                      <w:kern w:val="0"/>
                    </w:rPr>
                    <w:t>自燃温度（℃）：/</w:t>
                  </w:r>
                </w:p>
              </w:tc>
              <w:tc>
                <w:tcPr>
                  <w:tcW w:w="2282" w:type="pct"/>
                  <w:vAlign w:val="center"/>
                </w:tcPr>
                <w:p w14:paraId="482DF37D">
                  <w:pPr>
                    <w:pStyle w:val="87"/>
                    <w:rPr>
                      <w:rFonts w:hint="eastAsia" w:hAnsi="宋体" w:cs="宋体"/>
                      <w:kern w:val="0"/>
                    </w:rPr>
                  </w:pPr>
                  <w:r>
                    <w:rPr>
                      <w:rFonts w:hint="eastAsia" w:hAnsi="宋体" w:cs="宋体"/>
                      <w:kern w:val="0"/>
                    </w:rPr>
                    <w:t>闪点（℃）：/</w:t>
                  </w:r>
                </w:p>
              </w:tc>
            </w:tr>
            <w:tr w14:paraId="61E6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0D479C7C">
                  <w:pPr>
                    <w:pStyle w:val="87"/>
                    <w:rPr>
                      <w:rFonts w:hint="eastAsia" w:hAnsi="宋体" w:cs="宋体"/>
                      <w:kern w:val="0"/>
                    </w:rPr>
                  </w:pPr>
                </w:p>
              </w:tc>
              <w:tc>
                <w:tcPr>
                  <w:tcW w:w="2273" w:type="pct"/>
                  <w:vAlign w:val="center"/>
                </w:tcPr>
                <w:p w14:paraId="0F4AE876">
                  <w:pPr>
                    <w:pStyle w:val="87"/>
                    <w:rPr>
                      <w:rFonts w:hint="eastAsia" w:hAnsi="宋体" w:cs="宋体"/>
                      <w:kern w:val="0"/>
                    </w:rPr>
                  </w:pPr>
                  <w:r>
                    <w:rPr>
                      <w:rFonts w:hint="eastAsia" w:hAnsi="宋体" w:cs="宋体"/>
                      <w:kern w:val="0"/>
                    </w:rPr>
                    <w:t>爆炸下限（%）：5</w:t>
                  </w:r>
                </w:p>
              </w:tc>
              <w:tc>
                <w:tcPr>
                  <w:tcW w:w="2282" w:type="pct"/>
                  <w:vAlign w:val="center"/>
                </w:tcPr>
                <w:p w14:paraId="47C4BF2C">
                  <w:pPr>
                    <w:pStyle w:val="87"/>
                    <w:rPr>
                      <w:rFonts w:hint="eastAsia" w:hAnsi="宋体" w:cs="宋体"/>
                      <w:kern w:val="0"/>
                    </w:rPr>
                  </w:pPr>
                  <w:r>
                    <w:rPr>
                      <w:rFonts w:hint="eastAsia" w:hAnsi="宋体" w:cs="宋体"/>
                      <w:kern w:val="0"/>
                    </w:rPr>
                    <w:t>爆炸上限（%）：14</w:t>
                  </w:r>
                </w:p>
              </w:tc>
            </w:tr>
            <w:tr w14:paraId="7A68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71204192">
                  <w:pPr>
                    <w:pStyle w:val="87"/>
                    <w:rPr>
                      <w:rFonts w:hint="eastAsia" w:hAnsi="宋体" w:cs="宋体"/>
                      <w:kern w:val="0"/>
                    </w:rPr>
                  </w:pPr>
                </w:p>
              </w:tc>
              <w:tc>
                <w:tcPr>
                  <w:tcW w:w="2273" w:type="pct"/>
                  <w:vAlign w:val="center"/>
                </w:tcPr>
                <w:p w14:paraId="7D8067AF">
                  <w:pPr>
                    <w:pStyle w:val="87"/>
                    <w:rPr>
                      <w:rFonts w:hint="eastAsia" w:hAnsi="宋体" w:cs="宋体"/>
                      <w:kern w:val="0"/>
                    </w:rPr>
                  </w:pPr>
                  <w:r>
                    <w:rPr>
                      <w:rFonts w:hint="eastAsia" w:hAnsi="宋体" w:cs="宋体"/>
                      <w:kern w:val="0"/>
                    </w:rPr>
                    <w:t>燃烧热（kJ/kg）48000：</w:t>
                  </w:r>
                </w:p>
              </w:tc>
              <w:tc>
                <w:tcPr>
                  <w:tcW w:w="2282" w:type="pct"/>
                  <w:vAlign w:val="center"/>
                </w:tcPr>
                <w:p w14:paraId="4216A946">
                  <w:pPr>
                    <w:pStyle w:val="87"/>
                    <w:rPr>
                      <w:rFonts w:hint="eastAsia" w:hAnsi="宋体" w:cs="宋体"/>
                      <w:kern w:val="0"/>
                    </w:rPr>
                  </w:pPr>
                  <w:r>
                    <w:rPr>
                      <w:rFonts w:hint="eastAsia" w:hAnsi="宋体" w:cs="宋体"/>
                      <w:kern w:val="0"/>
                    </w:rPr>
                    <w:t>燃烧（分解）产物：CO、CO</w:t>
                  </w:r>
                  <w:r>
                    <w:rPr>
                      <w:rFonts w:hint="eastAsia" w:hAnsi="宋体" w:cs="宋体"/>
                      <w:kern w:val="0"/>
                      <w:vertAlign w:val="subscript"/>
                    </w:rPr>
                    <w:t>2</w:t>
                  </w:r>
                </w:p>
              </w:tc>
            </w:tr>
            <w:tr w14:paraId="6681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1D3F896F">
                  <w:pPr>
                    <w:pStyle w:val="87"/>
                    <w:rPr>
                      <w:rFonts w:hint="eastAsia" w:hAnsi="宋体" w:cs="宋体"/>
                      <w:kern w:val="0"/>
                    </w:rPr>
                  </w:pPr>
                </w:p>
              </w:tc>
              <w:tc>
                <w:tcPr>
                  <w:tcW w:w="4555" w:type="pct"/>
                  <w:gridSpan w:val="2"/>
                  <w:vAlign w:val="center"/>
                </w:tcPr>
                <w:p w14:paraId="298821B2">
                  <w:pPr>
                    <w:pStyle w:val="87"/>
                    <w:rPr>
                      <w:rFonts w:hint="eastAsia" w:hAnsi="宋体" w:cs="宋体"/>
                      <w:kern w:val="0"/>
                    </w:rPr>
                  </w:pPr>
                  <w:r>
                    <w:rPr>
                      <w:rFonts w:hint="eastAsia" w:hAnsi="宋体" w:cs="宋体"/>
                      <w:kern w:val="0"/>
                    </w:rPr>
                    <w:t>危险特性：与空气混合能形成爆炸性混合物，遇明火、高热极易燃烧爆炸。与氟、氯等能发生剧烈的化学反应。其蒸气比空气重，能在较低处扩散到相当远的地方，遇明火会引着回燃。若遇高热，容器内压增大，有开裂和爆炸的危险。</w:t>
                  </w:r>
                </w:p>
              </w:tc>
            </w:tr>
            <w:tr w14:paraId="2528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0EBBFEC6">
                  <w:pPr>
                    <w:pStyle w:val="87"/>
                    <w:rPr>
                      <w:rFonts w:hint="eastAsia" w:hAnsi="宋体" w:cs="宋体"/>
                      <w:kern w:val="0"/>
                    </w:rPr>
                  </w:pPr>
                </w:p>
              </w:tc>
              <w:tc>
                <w:tcPr>
                  <w:tcW w:w="4555" w:type="pct"/>
                  <w:gridSpan w:val="2"/>
                  <w:vAlign w:val="center"/>
                </w:tcPr>
                <w:p w14:paraId="5D29BC42">
                  <w:pPr>
                    <w:pStyle w:val="87"/>
                    <w:rPr>
                      <w:rFonts w:hint="eastAsia" w:hAnsi="宋体" w:cs="宋体"/>
                      <w:kern w:val="0"/>
                    </w:rPr>
                  </w:pPr>
                  <w:r>
                    <w:rPr>
                      <w:rFonts w:hint="eastAsia" w:hAnsi="宋体" w:cs="宋体"/>
                      <w:kern w:val="0"/>
                    </w:rPr>
                    <w:t>灭火的方法：切断气源。若不能立即切断气源，则不允许熄灭正在燃烧的气体，喷水冷却容器，可能的话将容器从火场移至空旷处。雾状水、泡沫、二氧化碳。</w:t>
                  </w:r>
                </w:p>
              </w:tc>
            </w:tr>
            <w:tr w14:paraId="7781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vAlign w:val="center"/>
                </w:tcPr>
                <w:p w14:paraId="0D215C30">
                  <w:pPr>
                    <w:pStyle w:val="87"/>
                    <w:rPr>
                      <w:rFonts w:hint="eastAsia" w:hAnsi="宋体" w:cs="宋体"/>
                      <w:kern w:val="0"/>
                    </w:rPr>
                  </w:pPr>
                  <w:r>
                    <w:rPr>
                      <w:rFonts w:hint="eastAsia" w:hAnsi="宋体" w:cs="宋体"/>
                      <w:kern w:val="0"/>
                    </w:rPr>
                    <w:t>健康危害</w:t>
                  </w:r>
                </w:p>
              </w:tc>
              <w:tc>
                <w:tcPr>
                  <w:tcW w:w="4555" w:type="pct"/>
                  <w:gridSpan w:val="2"/>
                  <w:vAlign w:val="center"/>
                </w:tcPr>
                <w:p w14:paraId="53DA4479">
                  <w:pPr>
                    <w:pStyle w:val="87"/>
                    <w:rPr>
                      <w:rFonts w:hint="eastAsia" w:hAnsi="宋体" w:cs="宋体"/>
                      <w:kern w:val="0"/>
                    </w:rPr>
                  </w:pPr>
                  <w:r>
                    <w:rPr>
                      <w:rFonts w:hint="eastAsia" w:hAnsi="宋体" w:cs="宋体"/>
                      <w:kern w:val="0"/>
                    </w:rPr>
                    <w:t>侵入途径：吸入。</w:t>
                  </w:r>
                </w:p>
              </w:tc>
            </w:tr>
            <w:tr w14:paraId="2215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48E82CC0">
                  <w:pPr>
                    <w:pStyle w:val="87"/>
                    <w:rPr>
                      <w:rFonts w:hint="eastAsia" w:hAnsi="宋体" w:cs="宋体"/>
                      <w:kern w:val="0"/>
                    </w:rPr>
                  </w:pPr>
                </w:p>
              </w:tc>
              <w:tc>
                <w:tcPr>
                  <w:tcW w:w="4555" w:type="pct"/>
                  <w:gridSpan w:val="2"/>
                  <w:vAlign w:val="center"/>
                </w:tcPr>
                <w:p w14:paraId="0E099E97">
                  <w:pPr>
                    <w:pStyle w:val="87"/>
                    <w:rPr>
                      <w:rFonts w:hint="eastAsia" w:hAnsi="宋体" w:cs="宋体"/>
                      <w:kern w:val="0"/>
                    </w:rPr>
                  </w:pPr>
                  <w:r>
                    <w:rPr>
                      <w:rFonts w:hint="eastAsia" w:hAnsi="宋体" w:cs="宋体"/>
                      <w:kern w:val="0"/>
                    </w:rPr>
                    <w:t>急性中毒时，可有头昏、头痛、呕吐、乏力甚至昏迷。病程中尚可出现精神症状，步态不稳，昏迷过程久者，醒后可有运动性失语及偏瘫。长期接触天然气者，可出现神经衰弱综合征。</w:t>
                  </w:r>
                </w:p>
              </w:tc>
            </w:tr>
          </w:tbl>
          <w:p w14:paraId="36E7BD0F">
            <w:pPr>
              <w:pStyle w:val="87"/>
              <w:spacing w:line="332" w:lineRule="auto"/>
            </w:pPr>
          </w:p>
          <w:p w14:paraId="734CC5A8">
            <w:pPr>
              <w:pStyle w:val="87"/>
              <w:spacing w:line="332" w:lineRule="auto"/>
            </w:pPr>
            <w:bookmarkStart w:id="64" w:name="_Ref1432108157"/>
            <w:r>
              <w:rPr>
                <w:rFonts w:hint="eastAsia"/>
              </w:rPr>
              <w:t>表</w:t>
            </w:r>
            <w:r>
              <w:rPr>
                <w:rFonts w:hint="eastAsia"/>
              </w:rPr>
              <w:fldChar w:fldCharType="begin"/>
            </w:r>
            <w:r>
              <w:rPr>
                <w:rFonts w:hint="eastAsia"/>
              </w:rPr>
              <w:instrText xml:space="preserve"> SEQ 表 \*ARABIC </w:instrText>
            </w:r>
            <w:r>
              <w:rPr>
                <w:rFonts w:hint="eastAsia"/>
              </w:rPr>
              <w:fldChar w:fldCharType="separate"/>
            </w:r>
            <w:r>
              <w:t>39</w:t>
            </w:r>
            <w:r>
              <w:rPr>
                <w:rFonts w:hint="eastAsia"/>
              </w:rPr>
              <w:fldChar w:fldCharType="end"/>
            </w:r>
            <w:bookmarkEnd w:id="64"/>
            <w:r>
              <w:rPr>
                <w:rFonts w:hint="eastAsia"/>
              </w:rPr>
              <w:t xml:space="preserve">  H</w:t>
            </w:r>
            <w:r>
              <w:rPr>
                <w:rFonts w:hint="eastAsia"/>
                <w:vertAlign w:val="subscript"/>
              </w:rPr>
              <w:t>2</w:t>
            </w:r>
            <w:r>
              <w:rPr>
                <w:rFonts w:hint="eastAsia"/>
              </w:rPr>
              <w:t>S的理化性质及危害特征</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541"/>
              <w:gridCol w:w="3556"/>
            </w:tblGrid>
            <w:tr w14:paraId="1AF6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Align w:val="center"/>
                </w:tcPr>
                <w:p w14:paraId="6347BCBC">
                  <w:pPr>
                    <w:pStyle w:val="87"/>
                    <w:rPr>
                      <w:rFonts w:hint="eastAsia" w:hAnsi="宋体" w:cs="宋体"/>
                      <w:kern w:val="0"/>
                    </w:rPr>
                  </w:pPr>
                  <w:r>
                    <w:rPr>
                      <w:rFonts w:hint="eastAsia" w:hAnsi="宋体" w:cs="宋体"/>
                      <w:kern w:val="0"/>
                    </w:rPr>
                    <w:t>标识</w:t>
                  </w:r>
                </w:p>
              </w:tc>
              <w:tc>
                <w:tcPr>
                  <w:tcW w:w="2273" w:type="pct"/>
                  <w:vAlign w:val="center"/>
                </w:tcPr>
                <w:p w14:paraId="52205821">
                  <w:pPr>
                    <w:pStyle w:val="87"/>
                    <w:rPr>
                      <w:rFonts w:hint="eastAsia" w:hAnsi="宋体" w:cs="宋体"/>
                      <w:kern w:val="0"/>
                    </w:rPr>
                  </w:pPr>
                  <w:r>
                    <w:rPr>
                      <w:rFonts w:hint="eastAsia" w:hAnsi="宋体" w:cs="宋体"/>
                      <w:kern w:val="0"/>
                    </w:rPr>
                    <w:t>中文名：H</w:t>
                  </w:r>
                  <w:r>
                    <w:rPr>
                      <w:rFonts w:hint="eastAsia" w:hAnsi="宋体" w:cs="宋体"/>
                      <w:kern w:val="0"/>
                      <w:vertAlign w:val="subscript"/>
                    </w:rPr>
                    <w:t>2</w:t>
                  </w:r>
                  <w:r>
                    <w:rPr>
                      <w:rFonts w:hint="eastAsia" w:hAnsi="宋体" w:cs="宋体"/>
                      <w:kern w:val="0"/>
                    </w:rPr>
                    <w:t>S</w:t>
                  </w:r>
                </w:p>
              </w:tc>
              <w:tc>
                <w:tcPr>
                  <w:tcW w:w="2282" w:type="pct"/>
                  <w:vAlign w:val="center"/>
                </w:tcPr>
                <w:p w14:paraId="3DE1D00B">
                  <w:pPr>
                    <w:pStyle w:val="87"/>
                    <w:rPr>
                      <w:rFonts w:hint="eastAsia" w:hAnsi="宋体" w:cs="宋体"/>
                      <w:kern w:val="0"/>
                    </w:rPr>
                  </w:pPr>
                  <w:r>
                    <w:rPr>
                      <w:rFonts w:hint="eastAsia" w:hAnsi="宋体" w:cs="宋体"/>
                      <w:kern w:val="0"/>
                    </w:rPr>
                    <w:t>英文名：hydrogen sulfide</w:t>
                  </w:r>
                </w:p>
              </w:tc>
            </w:tr>
            <w:tr w14:paraId="7858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vAlign w:val="center"/>
                </w:tcPr>
                <w:p w14:paraId="0FAC3E82">
                  <w:pPr>
                    <w:pStyle w:val="87"/>
                    <w:rPr>
                      <w:rFonts w:hint="eastAsia" w:hAnsi="宋体" w:cs="宋体"/>
                      <w:kern w:val="0"/>
                    </w:rPr>
                  </w:pPr>
                  <w:r>
                    <w:rPr>
                      <w:rFonts w:hint="eastAsia" w:hAnsi="宋体" w:cs="宋体"/>
                      <w:kern w:val="0"/>
                    </w:rPr>
                    <w:t>理化性质</w:t>
                  </w:r>
                </w:p>
              </w:tc>
              <w:tc>
                <w:tcPr>
                  <w:tcW w:w="4555" w:type="pct"/>
                  <w:gridSpan w:val="2"/>
                  <w:vAlign w:val="center"/>
                </w:tcPr>
                <w:p w14:paraId="5DE6BFCA">
                  <w:pPr>
                    <w:pStyle w:val="87"/>
                    <w:rPr>
                      <w:rFonts w:hint="eastAsia" w:hAnsi="宋体" w:cs="宋体"/>
                      <w:kern w:val="0"/>
                    </w:rPr>
                  </w:pPr>
                  <w:r>
                    <w:rPr>
                      <w:rFonts w:hint="eastAsia" w:hAnsi="宋体" w:cs="宋体"/>
                      <w:kern w:val="0"/>
                    </w:rPr>
                    <w:t>外观与形状：无色、有恶臭的气体。</w:t>
                  </w:r>
                </w:p>
              </w:tc>
            </w:tr>
            <w:tr w14:paraId="41E1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7A628A04">
                  <w:pPr>
                    <w:pStyle w:val="87"/>
                    <w:rPr>
                      <w:rFonts w:hint="eastAsia" w:hAnsi="宋体" w:cs="宋体"/>
                      <w:kern w:val="0"/>
                    </w:rPr>
                  </w:pPr>
                </w:p>
              </w:tc>
              <w:tc>
                <w:tcPr>
                  <w:tcW w:w="4555" w:type="pct"/>
                  <w:gridSpan w:val="2"/>
                  <w:vAlign w:val="center"/>
                </w:tcPr>
                <w:p w14:paraId="3155C134">
                  <w:pPr>
                    <w:pStyle w:val="87"/>
                    <w:rPr>
                      <w:rFonts w:hint="eastAsia" w:hAnsi="宋体" w:cs="宋体"/>
                      <w:kern w:val="0"/>
                    </w:rPr>
                  </w:pPr>
                  <w:r>
                    <w:rPr>
                      <w:rFonts w:hint="eastAsia" w:hAnsi="宋体" w:cs="宋体"/>
                      <w:kern w:val="0"/>
                    </w:rPr>
                    <w:t>主要成分：H</w:t>
                  </w:r>
                  <w:r>
                    <w:rPr>
                      <w:rFonts w:hint="eastAsia" w:hAnsi="宋体" w:cs="宋体"/>
                      <w:kern w:val="0"/>
                      <w:vertAlign w:val="subscript"/>
                    </w:rPr>
                    <w:t>2</w:t>
                  </w:r>
                  <w:r>
                    <w:rPr>
                      <w:rFonts w:hint="eastAsia" w:hAnsi="宋体" w:cs="宋体"/>
                      <w:kern w:val="0"/>
                    </w:rPr>
                    <w:t>S</w:t>
                  </w:r>
                </w:p>
              </w:tc>
            </w:tr>
            <w:tr w14:paraId="27EA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08656790">
                  <w:pPr>
                    <w:pStyle w:val="87"/>
                    <w:rPr>
                      <w:rFonts w:hint="eastAsia" w:hAnsi="宋体" w:cs="宋体"/>
                      <w:kern w:val="0"/>
                    </w:rPr>
                  </w:pPr>
                </w:p>
              </w:tc>
              <w:tc>
                <w:tcPr>
                  <w:tcW w:w="2273" w:type="pct"/>
                  <w:vAlign w:val="center"/>
                </w:tcPr>
                <w:p w14:paraId="3542BEC7">
                  <w:pPr>
                    <w:pStyle w:val="87"/>
                    <w:rPr>
                      <w:rFonts w:hint="eastAsia" w:hAnsi="宋体" w:cs="宋体"/>
                      <w:kern w:val="0"/>
                    </w:rPr>
                  </w:pPr>
                  <w:r>
                    <w:rPr>
                      <w:rFonts w:hint="eastAsia" w:hAnsi="宋体" w:cs="宋体"/>
                      <w:kern w:val="0"/>
                    </w:rPr>
                    <w:t>熔点（℃）：-85.5</w:t>
                  </w:r>
                </w:p>
              </w:tc>
              <w:tc>
                <w:tcPr>
                  <w:tcW w:w="2282" w:type="pct"/>
                  <w:vAlign w:val="center"/>
                </w:tcPr>
                <w:p w14:paraId="5C9DAC5C">
                  <w:pPr>
                    <w:pStyle w:val="87"/>
                    <w:rPr>
                      <w:rFonts w:hint="eastAsia" w:hAnsi="宋体" w:cs="宋体"/>
                      <w:kern w:val="0"/>
                    </w:rPr>
                  </w:pPr>
                  <w:r>
                    <w:rPr>
                      <w:rFonts w:hint="eastAsia" w:hAnsi="宋体" w:cs="宋体"/>
                      <w:kern w:val="0"/>
                    </w:rPr>
                    <w:t>沸点（℃）：-60.4</w:t>
                  </w:r>
                </w:p>
              </w:tc>
            </w:tr>
            <w:tr w14:paraId="5884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6058A9FD">
                  <w:pPr>
                    <w:pStyle w:val="87"/>
                    <w:rPr>
                      <w:rFonts w:hint="eastAsia" w:hAnsi="宋体" w:cs="宋体"/>
                      <w:kern w:val="0"/>
                    </w:rPr>
                  </w:pPr>
                </w:p>
              </w:tc>
              <w:tc>
                <w:tcPr>
                  <w:tcW w:w="2273" w:type="pct"/>
                  <w:vAlign w:val="center"/>
                </w:tcPr>
                <w:p w14:paraId="447E26A7">
                  <w:pPr>
                    <w:pStyle w:val="87"/>
                    <w:rPr>
                      <w:rFonts w:hint="eastAsia" w:hAnsi="宋体" w:cs="宋体"/>
                      <w:kern w:val="0"/>
                    </w:rPr>
                  </w:pPr>
                  <w:r>
                    <w:rPr>
                      <w:rFonts w:hint="eastAsia" w:hAnsi="宋体" w:cs="宋体"/>
                      <w:kern w:val="0"/>
                    </w:rPr>
                    <w:t>相对密度（空气=1）：1.19</w:t>
                  </w:r>
                </w:p>
              </w:tc>
              <w:tc>
                <w:tcPr>
                  <w:tcW w:w="2282" w:type="pct"/>
                  <w:vAlign w:val="center"/>
                </w:tcPr>
                <w:p w14:paraId="369DA30B">
                  <w:pPr>
                    <w:pStyle w:val="87"/>
                    <w:rPr>
                      <w:rFonts w:hint="eastAsia" w:hAnsi="宋体" w:cs="宋体"/>
                      <w:kern w:val="0"/>
                    </w:rPr>
                  </w:pPr>
                  <w:r>
                    <w:rPr>
                      <w:rFonts w:hint="eastAsia" w:hAnsi="宋体" w:cs="宋体"/>
                      <w:kern w:val="0"/>
                    </w:rPr>
                    <w:t>禁忌物：强氧化剂、碱类</w:t>
                  </w:r>
                </w:p>
              </w:tc>
            </w:tr>
            <w:tr w14:paraId="12BE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766141AB">
                  <w:pPr>
                    <w:pStyle w:val="87"/>
                    <w:rPr>
                      <w:rFonts w:hint="eastAsia" w:hAnsi="宋体" w:cs="宋体"/>
                      <w:kern w:val="0"/>
                    </w:rPr>
                  </w:pPr>
                </w:p>
              </w:tc>
              <w:tc>
                <w:tcPr>
                  <w:tcW w:w="2273" w:type="pct"/>
                  <w:vAlign w:val="center"/>
                </w:tcPr>
                <w:p w14:paraId="0C21451F">
                  <w:pPr>
                    <w:pStyle w:val="87"/>
                    <w:rPr>
                      <w:rFonts w:hint="eastAsia" w:hAnsi="宋体" w:cs="宋体"/>
                      <w:kern w:val="0"/>
                    </w:rPr>
                  </w:pPr>
                  <w:r>
                    <w:rPr>
                      <w:rFonts w:hint="eastAsia" w:hAnsi="宋体" w:cs="宋体"/>
                      <w:kern w:val="0"/>
                    </w:rPr>
                    <w:t>稳定性：/</w:t>
                  </w:r>
                </w:p>
              </w:tc>
              <w:tc>
                <w:tcPr>
                  <w:tcW w:w="2282" w:type="pct"/>
                  <w:vAlign w:val="center"/>
                </w:tcPr>
                <w:p w14:paraId="73655D72">
                  <w:pPr>
                    <w:pStyle w:val="87"/>
                    <w:rPr>
                      <w:rFonts w:hint="eastAsia" w:hAnsi="宋体" w:cs="宋体"/>
                      <w:kern w:val="0"/>
                    </w:rPr>
                  </w:pPr>
                  <w:r>
                    <w:rPr>
                      <w:rFonts w:hint="eastAsia" w:hAnsi="宋体" w:cs="宋体"/>
                      <w:kern w:val="0"/>
                    </w:rPr>
                    <w:t>聚合危害：不聚合</w:t>
                  </w:r>
                </w:p>
              </w:tc>
            </w:tr>
            <w:tr w14:paraId="2C71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vAlign w:val="center"/>
                </w:tcPr>
                <w:p w14:paraId="3F6C455A">
                  <w:pPr>
                    <w:pStyle w:val="87"/>
                    <w:rPr>
                      <w:rFonts w:hint="eastAsia" w:hAnsi="宋体" w:cs="宋体"/>
                      <w:kern w:val="0"/>
                    </w:rPr>
                  </w:pPr>
                  <w:r>
                    <w:rPr>
                      <w:rFonts w:hint="eastAsia" w:hAnsi="宋体" w:cs="宋体"/>
                      <w:kern w:val="0"/>
                    </w:rPr>
                    <w:t>危险特性</w:t>
                  </w:r>
                </w:p>
              </w:tc>
              <w:tc>
                <w:tcPr>
                  <w:tcW w:w="2273" w:type="pct"/>
                  <w:vAlign w:val="center"/>
                </w:tcPr>
                <w:p w14:paraId="37AD52C8">
                  <w:pPr>
                    <w:pStyle w:val="87"/>
                    <w:rPr>
                      <w:rFonts w:hint="eastAsia" w:hAnsi="宋体" w:cs="宋体"/>
                      <w:kern w:val="0"/>
                    </w:rPr>
                  </w:pPr>
                  <w:r>
                    <w:rPr>
                      <w:rFonts w:hint="eastAsia" w:hAnsi="宋体" w:cs="宋体"/>
                      <w:kern w:val="0"/>
                    </w:rPr>
                    <w:t>危险性类别：/</w:t>
                  </w:r>
                </w:p>
              </w:tc>
              <w:tc>
                <w:tcPr>
                  <w:tcW w:w="2282" w:type="pct"/>
                  <w:vAlign w:val="center"/>
                </w:tcPr>
                <w:p w14:paraId="0F4D8845">
                  <w:pPr>
                    <w:pStyle w:val="87"/>
                    <w:rPr>
                      <w:rFonts w:hint="eastAsia" w:hAnsi="宋体" w:cs="宋体"/>
                      <w:kern w:val="0"/>
                    </w:rPr>
                  </w:pPr>
                  <w:r>
                    <w:rPr>
                      <w:rFonts w:hint="eastAsia" w:hAnsi="宋体" w:cs="宋体"/>
                      <w:kern w:val="0"/>
                    </w:rPr>
                    <w:t>燃烧性：/</w:t>
                  </w:r>
                </w:p>
              </w:tc>
            </w:tr>
            <w:tr w14:paraId="489A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15CB811D">
                  <w:pPr>
                    <w:pStyle w:val="87"/>
                    <w:rPr>
                      <w:rFonts w:hint="eastAsia" w:hAnsi="宋体" w:cs="宋体"/>
                      <w:kern w:val="0"/>
                    </w:rPr>
                  </w:pPr>
                </w:p>
              </w:tc>
              <w:tc>
                <w:tcPr>
                  <w:tcW w:w="2273" w:type="pct"/>
                  <w:vAlign w:val="center"/>
                </w:tcPr>
                <w:p w14:paraId="3B24EB56">
                  <w:pPr>
                    <w:pStyle w:val="87"/>
                    <w:rPr>
                      <w:rFonts w:hint="eastAsia" w:hAnsi="宋体" w:cs="宋体"/>
                      <w:kern w:val="0"/>
                    </w:rPr>
                  </w:pPr>
                  <w:r>
                    <w:rPr>
                      <w:rFonts w:hint="eastAsia" w:hAnsi="宋体" w:cs="宋体"/>
                      <w:kern w:val="0"/>
                    </w:rPr>
                    <w:t>引燃温度（℃）：260</w:t>
                  </w:r>
                </w:p>
              </w:tc>
              <w:tc>
                <w:tcPr>
                  <w:tcW w:w="2282" w:type="pct"/>
                  <w:vAlign w:val="center"/>
                </w:tcPr>
                <w:p w14:paraId="126505C1">
                  <w:pPr>
                    <w:pStyle w:val="87"/>
                    <w:rPr>
                      <w:rFonts w:hint="eastAsia" w:hAnsi="宋体" w:cs="宋体"/>
                      <w:kern w:val="0"/>
                    </w:rPr>
                  </w:pPr>
                  <w:r>
                    <w:rPr>
                      <w:rFonts w:hint="eastAsia" w:hAnsi="宋体" w:cs="宋体"/>
                      <w:kern w:val="0"/>
                    </w:rPr>
                    <w:t>闪点（℃）：/</w:t>
                  </w:r>
                </w:p>
              </w:tc>
            </w:tr>
            <w:tr w14:paraId="49D8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6BA6D6F1">
                  <w:pPr>
                    <w:pStyle w:val="87"/>
                    <w:rPr>
                      <w:rFonts w:hint="eastAsia" w:hAnsi="宋体" w:cs="宋体"/>
                      <w:kern w:val="0"/>
                    </w:rPr>
                  </w:pPr>
                </w:p>
              </w:tc>
              <w:tc>
                <w:tcPr>
                  <w:tcW w:w="2273" w:type="pct"/>
                  <w:vAlign w:val="center"/>
                </w:tcPr>
                <w:p w14:paraId="7A90D395">
                  <w:pPr>
                    <w:pStyle w:val="87"/>
                    <w:rPr>
                      <w:rFonts w:hint="eastAsia" w:hAnsi="宋体" w:cs="宋体"/>
                      <w:kern w:val="0"/>
                    </w:rPr>
                  </w:pPr>
                  <w:r>
                    <w:rPr>
                      <w:rFonts w:hint="eastAsia" w:hAnsi="宋体" w:cs="宋体"/>
                      <w:kern w:val="0"/>
                    </w:rPr>
                    <w:t>爆炸下限（%）：4</w:t>
                  </w:r>
                </w:p>
              </w:tc>
              <w:tc>
                <w:tcPr>
                  <w:tcW w:w="2282" w:type="pct"/>
                  <w:vAlign w:val="center"/>
                </w:tcPr>
                <w:p w14:paraId="2111FB09">
                  <w:pPr>
                    <w:pStyle w:val="87"/>
                    <w:rPr>
                      <w:rFonts w:hint="eastAsia" w:hAnsi="宋体" w:cs="宋体"/>
                      <w:kern w:val="0"/>
                    </w:rPr>
                  </w:pPr>
                  <w:r>
                    <w:rPr>
                      <w:rFonts w:hint="eastAsia" w:hAnsi="宋体" w:cs="宋体"/>
                      <w:kern w:val="0"/>
                    </w:rPr>
                    <w:t>爆炸上限（%）：46</w:t>
                  </w:r>
                </w:p>
              </w:tc>
            </w:tr>
            <w:tr w14:paraId="7D61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07D4DBED">
                  <w:pPr>
                    <w:pStyle w:val="87"/>
                    <w:rPr>
                      <w:rFonts w:hint="eastAsia" w:hAnsi="宋体" w:cs="宋体"/>
                      <w:kern w:val="0"/>
                    </w:rPr>
                  </w:pPr>
                </w:p>
              </w:tc>
              <w:tc>
                <w:tcPr>
                  <w:tcW w:w="2273" w:type="pct"/>
                  <w:vAlign w:val="center"/>
                </w:tcPr>
                <w:p w14:paraId="0C05B558">
                  <w:pPr>
                    <w:pStyle w:val="87"/>
                    <w:rPr>
                      <w:rFonts w:hint="eastAsia" w:hAnsi="宋体" w:cs="宋体"/>
                      <w:kern w:val="0"/>
                    </w:rPr>
                  </w:pPr>
                  <w:r>
                    <w:rPr>
                      <w:rFonts w:hint="eastAsia" w:hAnsi="宋体" w:cs="宋体"/>
                      <w:kern w:val="0"/>
                    </w:rPr>
                    <w:t>燃烧热（kJ/kg）：/</w:t>
                  </w:r>
                </w:p>
              </w:tc>
              <w:tc>
                <w:tcPr>
                  <w:tcW w:w="2282" w:type="pct"/>
                  <w:vAlign w:val="center"/>
                </w:tcPr>
                <w:p w14:paraId="520AA4D1">
                  <w:pPr>
                    <w:pStyle w:val="87"/>
                    <w:rPr>
                      <w:rFonts w:hint="eastAsia" w:hAnsi="宋体" w:cs="宋体"/>
                      <w:kern w:val="0"/>
                    </w:rPr>
                  </w:pPr>
                  <w:r>
                    <w:rPr>
                      <w:rFonts w:hint="eastAsia" w:hAnsi="宋体" w:cs="宋体"/>
                      <w:kern w:val="0"/>
                    </w:rPr>
                    <w:t>燃烧（分解）产物：氧化硫</w:t>
                  </w:r>
                </w:p>
              </w:tc>
            </w:tr>
            <w:tr w14:paraId="7B98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2E05E5D6">
                  <w:pPr>
                    <w:pStyle w:val="87"/>
                    <w:rPr>
                      <w:rFonts w:hint="eastAsia" w:hAnsi="宋体" w:cs="宋体"/>
                      <w:kern w:val="0"/>
                    </w:rPr>
                  </w:pPr>
                </w:p>
              </w:tc>
              <w:tc>
                <w:tcPr>
                  <w:tcW w:w="4555" w:type="pct"/>
                  <w:gridSpan w:val="2"/>
                  <w:vAlign w:val="center"/>
                </w:tcPr>
                <w:p w14:paraId="334F12FE">
                  <w:pPr>
                    <w:pStyle w:val="87"/>
                    <w:rPr>
                      <w:rFonts w:hint="eastAsia" w:hAnsi="宋体" w:cs="宋体"/>
                      <w:kern w:val="0"/>
                    </w:rPr>
                  </w:pPr>
                  <w:r>
                    <w:rPr>
                      <w:rFonts w:hint="eastAsia" w:hAnsi="宋体" w:cs="宋体"/>
                      <w:kern w:val="0"/>
                    </w:rPr>
                    <w:t>危险特性：易燃，与空气混合能形成爆炸性混合物，遇明火、高热能引起燃烧爆炸。与浓硝酸、发烟硝酸或其它强氧化剂剧烈反应，发生爆炸。气体比空气重，能在较低处扩散到相当远的地方，遇火源会着火回燃。</w:t>
                  </w:r>
                </w:p>
              </w:tc>
            </w:tr>
            <w:tr w14:paraId="5D21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20020CDC">
                  <w:pPr>
                    <w:pStyle w:val="87"/>
                    <w:rPr>
                      <w:rFonts w:hint="eastAsia" w:hAnsi="宋体" w:cs="宋体"/>
                      <w:kern w:val="0"/>
                    </w:rPr>
                  </w:pPr>
                </w:p>
              </w:tc>
              <w:tc>
                <w:tcPr>
                  <w:tcW w:w="4555" w:type="pct"/>
                  <w:gridSpan w:val="2"/>
                  <w:vAlign w:val="center"/>
                </w:tcPr>
                <w:p w14:paraId="09B418A2">
                  <w:pPr>
                    <w:pStyle w:val="87"/>
                    <w:rPr>
                      <w:rFonts w:hint="eastAsia" w:hAnsi="宋体" w:cs="宋体"/>
                      <w:kern w:val="0"/>
                    </w:rPr>
                  </w:pPr>
                  <w:r>
                    <w:rPr>
                      <w:rFonts w:hint="eastAsia" w:hAnsi="宋体" w:cs="宋体"/>
                      <w:kern w:val="0"/>
                    </w:rPr>
                    <w:t>灭火的方法：消防人员必须穿全身防火防毒服，在上风向灭火。切断气源。若不能切断气源，则不允许熄灭泄漏处的火焰。喷水冷却容器，可能的话将容器从火场移至空旷处。灭火剂：雾状水、抗溶性泡沫、干粉。</w:t>
                  </w:r>
                </w:p>
              </w:tc>
            </w:tr>
            <w:tr w14:paraId="1F89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vAlign w:val="center"/>
                </w:tcPr>
                <w:p w14:paraId="7401CCCF">
                  <w:pPr>
                    <w:pStyle w:val="87"/>
                    <w:rPr>
                      <w:rFonts w:hint="eastAsia" w:hAnsi="宋体" w:cs="宋体"/>
                      <w:kern w:val="0"/>
                    </w:rPr>
                  </w:pPr>
                  <w:r>
                    <w:rPr>
                      <w:rFonts w:hint="eastAsia" w:hAnsi="宋体" w:cs="宋体"/>
                      <w:kern w:val="0"/>
                    </w:rPr>
                    <w:t>健康危害</w:t>
                  </w:r>
                </w:p>
              </w:tc>
              <w:tc>
                <w:tcPr>
                  <w:tcW w:w="4555" w:type="pct"/>
                  <w:gridSpan w:val="2"/>
                  <w:vAlign w:val="center"/>
                </w:tcPr>
                <w:p w14:paraId="041B1F3C">
                  <w:pPr>
                    <w:pStyle w:val="87"/>
                    <w:rPr>
                      <w:rFonts w:hint="eastAsia" w:hAnsi="宋体" w:cs="宋体"/>
                      <w:kern w:val="0"/>
                    </w:rPr>
                  </w:pPr>
                  <w:r>
                    <w:rPr>
                      <w:rFonts w:hint="eastAsia" w:hAnsi="宋体" w:cs="宋体"/>
                      <w:kern w:val="0"/>
                    </w:rPr>
                    <w:t>侵入途径：吸入、眼睛接触。</w:t>
                  </w:r>
                </w:p>
              </w:tc>
            </w:tr>
            <w:tr w14:paraId="33AB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vAlign w:val="center"/>
                </w:tcPr>
                <w:p w14:paraId="07AF92A9">
                  <w:pPr>
                    <w:pStyle w:val="87"/>
                    <w:rPr>
                      <w:rFonts w:hint="eastAsia" w:hAnsi="宋体" w:cs="宋体"/>
                      <w:kern w:val="0"/>
                    </w:rPr>
                  </w:pPr>
                </w:p>
              </w:tc>
              <w:tc>
                <w:tcPr>
                  <w:tcW w:w="4555" w:type="pct"/>
                  <w:gridSpan w:val="2"/>
                  <w:vAlign w:val="center"/>
                </w:tcPr>
                <w:p w14:paraId="759A1883">
                  <w:pPr>
                    <w:pStyle w:val="87"/>
                    <w:rPr>
                      <w:rFonts w:hint="eastAsia" w:hAnsi="宋体" w:cs="宋体"/>
                      <w:kern w:val="0"/>
                    </w:rPr>
                  </w:pPr>
                  <w:r>
                    <w:rPr>
                      <w:rFonts w:hint="eastAsia" w:hAnsi="宋体" w:cs="宋体"/>
                      <w:kern w:val="0"/>
                    </w:rPr>
                    <w:t>本品是强烈的神经毒物，对黏膜有强烈刺激作用。急性中毒：短期内吸入高浓度硫化氢后出现流泪、眼痛、眼内异物感、畏光、视物模糊、流涕、咽喉部灼热感、咳嗽、胸闷、头痛、头晕、乏力、意识模糊等。部分患者可有心肌损害。重者可出现脑水肿、肺水肿。极高浓度（1000mg/m</w:t>
                  </w:r>
                  <w:r>
                    <w:rPr>
                      <w:rFonts w:hint="eastAsia" w:hAnsi="宋体" w:cs="宋体"/>
                      <w:kern w:val="0"/>
                      <w:vertAlign w:val="superscript"/>
                    </w:rPr>
                    <w:t>3</w:t>
                  </w:r>
                  <w:r>
                    <w:rPr>
                      <w:rFonts w:hint="eastAsia" w:hAnsi="宋体" w:cs="宋体"/>
                      <w:kern w:val="0"/>
                    </w:rPr>
                    <w:t>以上）时可在数秒钟内突然昏迷，呼吸和心跳骤停，发生闪电性死亡。高浓度接触眼结膜发生水肿和角膜溃疡。长期低浓度接触，引起神经衰弱综合征和自主神经功能紊乱。</w:t>
                  </w:r>
                </w:p>
              </w:tc>
            </w:tr>
          </w:tbl>
          <w:p w14:paraId="4BAF9FD0">
            <w:pPr>
              <w:pStyle w:val="3"/>
              <w:spacing w:line="317" w:lineRule="auto"/>
              <w:ind w:firstLine="420"/>
              <w:rPr>
                <w:rFonts w:hint="eastAsia"/>
                <w:sz w:val="21"/>
              </w:rPr>
            </w:pPr>
          </w:p>
          <w:p w14:paraId="2B92BCA4">
            <w:pPr>
              <w:pStyle w:val="87"/>
              <w:spacing w:line="332" w:lineRule="auto"/>
            </w:pPr>
            <w:r>
              <w:rPr>
                <w:rFonts w:hint="eastAsia"/>
              </w:rPr>
              <w:t>表</w:t>
            </w:r>
            <w:r>
              <w:rPr>
                <w:rFonts w:hint="eastAsia"/>
              </w:rPr>
              <w:fldChar w:fldCharType="begin"/>
            </w:r>
            <w:r>
              <w:rPr>
                <w:rFonts w:hint="eastAsia"/>
              </w:rPr>
              <w:instrText xml:space="preserve"> SEQ 表 \*ARABIC </w:instrText>
            </w:r>
            <w:r>
              <w:rPr>
                <w:rFonts w:hint="eastAsia"/>
              </w:rPr>
              <w:fldChar w:fldCharType="separate"/>
            </w:r>
            <w:r>
              <w:t>40</w:t>
            </w:r>
            <w:r>
              <w:rPr>
                <w:rFonts w:hint="eastAsia"/>
              </w:rPr>
              <w:fldChar w:fldCharType="end"/>
            </w:r>
            <w:r>
              <w:rPr>
                <w:rFonts w:hint="eastAsia"/>
              </w:rPr>
              <w:t xml:space="preserve">  废润滑油的理化性质及危害特征</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3541"/>
              <w:gridCol w:w="3559"/>
            </w:tblGrid>
            <w:tr w14:paraId="57B3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375B9D65">
                  <w:pPr>
                    <w:pStyle w:val="87"/>
                    <w:rPr>
                      <w:kern w:val="0"/>
                    </w:rPr>
                  </w:pPr>
                  <w:r>
                    <w:rPr>
                      <w:rFonts w:hint="eastAsia"/>
                      <w:kern w:val="0"/>
                    </w:rPr>
                    <w:t>标识</w:t>
                  </w:r>
                </w:p>
              </w:tc>
              <w:tc>
                <w:tcPr>
                  <w:tcW w:w="4557" w:type="pct"/>
                  <w:gridSpan w:val="2"/>
                  <w:vAlign w:val="center"/>
                </w:tcPr>
                <w:p w14:paraId="50B1FFE9">
                  <w:pPr>
                    <w:pStyle w:val="87"/>
                    <w:rPr>
                      <w:kern w:val="0"/>
                    </w:rPr>
                  </w:pPr>
                  <w:r>
                    <w:rPr>
                      <w:rFonts w:hint="eastAsia"/>
                      <w:kern w:val="0"/>
                    </w:rPr>
                    <w:t>中文名：废润滑油</w:t>
                  </w:r>
                </w:p>
              </w:tc>
            </w:tr>
            <w:tr w14:paraId="65C5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restart"/>
                  <w:vAlign w:val="center"/>
                </w:tcPr>
                <w:p w14:paraId="198746DC">
                  <w:pPr>
                    <w:pStyle w:val="87"/>
                    <w:rPr>
                      <w:kern w:val="0"/>
                    </w:rPr>
                  </w:pPr>
                  <w:r>
                    <w:rPr>
                      <w:rFonts w:hint="eastAsia"/>
                      <w:kern w:val="0"/>
                    </w:rPr>
                    <w:t>理化性质</w:t>
                  </w:r>
                </w:p>
              </w:tc>
              <w:tc>
                <w:tcPr>
                  <w:tcW w:w="4557" w:type="pct"/>
                  <w:gridSpan w:val="2"/>
                  <w:vAlign w:val="center"/>
                </w:tcPr>
                <w:p w14:paraId="75B6180C">
                  <w:pPr>
                    <w:pStyle w:val="87"/>
                    <w:rPr>
                      <w:kern w:val="0"/>
                    </w:rPr>
                  </w:pPr>
                  <w:r>
                    <w:rPr>
                      <w:rFonts w:hint="eastAsia"/>
                      <w:kern w:val="0"/>
                    </w:rPr>
                    <w:t>外观与形状：黑色液体</w:t>
                  </w:r>
                </w:p>
              </w:tc>
            </w:tr>
            <w:tr w14:paraId="76A7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vAlign w:val="center"/>
                </w:tcPr>
                <w:p w14:paraId="62B559ED">
                  <w:pPr>
                    <w:pStyle w:val="87"/>
                    <w:rPr>
                      <w:kern w:val="0"/>
                    </w:rPr>
                  </w:pPr>
                </w:p>
              </w:tc>
              <w:tc>
                <w:tcPr>
                  <w:tcW w:w="4557" w:type="pct"/>
                  <w:gridSpan w:val="2"/>
                  <w:vAlign w:val="center"/>
                </w:tcPr>
                <w:p w14:paraId="6247C6F1">
                  <w:pPr>
                    <w:pStyle w:val="87"/>
                    <w:rPr>
                      <w:kern w:val="0"/>
                    </w:rPr>
                  </w:pPr>
                  <w:r>
                    <w:rPr>
                      <w:rFonts w:hint="eastAsia"/>
                      <w:kern w:val="0"/>
                    </w:rPr>
                    <w:t>主要成分：高质基础油、羟基硬脂酸锂皂基、抗磨剂</w:t>
                  </w:r>
                </w:p>
              </w:tc>
            </w:tr>
            <w:tr w14:paraId="12EC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restart"/>
                  <w:vAlign w:val="center"/>
                </w:tcPr>
                <w:p w14:paraId="23BBAC1F">
                  <w:pPr>
                    <w:pStyle w:val="87"/>
                    <w:rPr>
                      <w:kern w:val="0"/>
                    </w:rPr>
                  </w:pPr>
                  <w:r>
                    <w:rPr>
                      <w:rFonts w:hint="eastAsia"/>
                      <w:kern w:val="0"/>
                    </w:rPr>
                    <w:t>危险特性</w:t>
                  </w:r>
                </w:p>
              </w:tc>
              <w:tc>
                <w:tcPr>
                  <w:tcW w:w="2273" w:type="pct"/>
                  <w:vAlign w:val="center"/>
                </w:tcPr>
                <w:p w14:paraId="71C6E06C">
                  <w:pPr>
                    <w:pStyle w:val="87"/>
                    <w:rPr>
                      <w:kern w:val="0"/>
                    </w:rPr>
                  </w:pPr>
                  <w:r>
                    <w:rPr>
                      <w:rFonts w:hint="eastAsia"/>
                      <w:kern w:val="0"/>
                    </w:rPr>
                    <w:t>燃烧性：易燃</w:t>
                  </w:r>
                </w:p>
              </w:tc>
              <w:tc>
                <w:tcPr>
                  <w:tcW w:w="2283" w:type="pct"/>
                  <w:vAlign w:val="center"/>
                </w:tcPr>
                <w:p w14:paraId="759C9427">
                  <w:pPr>
                    <w:pStyle w:val="87"/>
                    <w:rPr>
                      <w:kern w:val="0"/>
                    </w:rPr>
                  </w:pPr>
                  <w:r>
                    <w:rPr>
                      <w:rFonts w:hint="eastAsia"/>
                      <w:kern w:val="0"/>
                    </w:rPr>
                    <w:t>燃烧（分解）产物：CO、CO</w:t>
                  </w:r>
                  <w:r>
                    <w:rPr>
                      <w:rFonts w:hint="eastAsia"/>
                      <w:kern w:val="0"/>
                      <w:vertAlign w:val="subscript"/>
                    </w:rPr>
                    <w:t>2</w:t>
                  </w:r>
                </w:p>
              </w:tc>
            </w:tr>
            <w:tr w14:paraId="5F4F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vAlign w:val="center"/>
                </w:tcPr>
                <w:p w14:paraId="1B90AABE">
                  <w:pPr>
                    <w:pStyle w:val="87"/>
                    <w:rPr>
                      <w:kern w:val="0"/>
                    </w:rPr>
                  </w:pPr>
                </w:p>
              </w:tc>
              <w:tc>
                <w:tcPr>
                  <w:tcW w:w="4557" w:type="pct"/>
                  <w:gridSpan w:val="2"/>
                  <w:vAlign w:val="center"/>
                </w:tcPr>
                <w:p w14:paraId="17F2F937">
                  <w:pPr>
                    <w:pStyle w:val="87"/>
                    <w:rPr>
                      <w:kern w:val="0"/>
                    </w:rPr>
                  </w:pPr>
                  <w:r>
                    <w:rPr>
                      <w:rFonts w:hint="eastAsia"/>
                      <w:kern w:val="0"/>
                    </w:rPr>
                    <w:t>危险特性：遇明火、高温、强氧化剂可燃； 燃烧排放刺激烟雾</w:t>
                  </w:r>
                </w:p>
              </w:tc>
            </w:tr>
            <w:tr w14:paraId="7638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087B75BE">
                  <w:pPr>
                    <w:pStyle w:val="87"/>
                    <w:rPr>
                      <w:kern w:val="0"/>
                    </w:rPr>
                  </w:pPr>
                  <w:r>
                    <w:rPr>
                      <w:rFonts w:hint="eastAsia"/>
                      <w:kern w:val="0"/>
                    </w:rPr>
                    <w:t>健康危害</w:t>
                  </w:r>
                </w:p>
              </w:tc>
              <w:tc>
                <w:tcPr>
                  <w:tcW w:w="4557" w:type="pct"/>
                  <w:gridSpan w:val="2"/>
                  <w:vAlign w:val="center"/>
                </w:tcPr>
                <w:p w14:paraId="0360B11A">
                  <w:pPr>
                    <w:pStyle w:val="87"/>
                    <w:rPr>
                      <w:kern w:val="0"/>
                    </w:rPr>
                  </w:pPr>
                  <w:r>
                    <w:rPr>
                      <w:kern w:val="0"/>
                    </w:rPr>
                    <w:t xml:space="preserve">侵入途径：吸入、接触 </w:t>
                  </w:r>
                </w:p>
                <w:p w14:paraId="2F76D2F7">
                  <w:pPr>
                    <w:pStyle w:val="87"/>
                    <w:rPr>
                      <w:kern w:val="0"/>
                    </w:rPr>
                  </w:pPr>
                  <w:r>
                    <w:rPr>
                      <w:kern w:val="0"/>
                    </w:rPr>
                    <w:t xml:space="preserve">健康危害：长期接触低浓度者，可出现头晕、睡眠不佳、易疲劳、情绪不稳等。 </w:t>
                  </w:r>
                </w:p>
                <w:p w14:paraId="7C88211F">
                  <w:pPr>
                    <w:pStyle w:val="87"/>
                    <w:rPr>
                      <w:kern w:val="0"/>
                    </w:rPr>
                  </w:pPr>
                  <w:r>
                    <w:rPr>
                      <w:kern w:val="0"/>
                    </w:rPr>
                    <w:t xml:space="preserve">皮肤接触：用肥皂或中性洗涤剂洗净 </w:t>
                  </w:r>
                </w:p>
                <w:p w14:paraId="0D6BA8D6">
                  <w:pPr>
                    <w:pStyle w:val="87"/>
                    <w:rPr>
                      <w:kern w:val="0"/>
                    </w:rPr>
                  </w:pPr>
                  <w:r>
                    <w:rPr>
                      <w:kern w:val="0"/>
                    </w:rPr>
                    <w:t>眼睛接触：用湿毛巾擦拭 吸入：立即就诊</w:t>
                  </w:r>
                </w:p>
              </w:tc>
            </w:tr>
            <w:tr w14:paraId="495F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7D732003">
                  <w:pPr>
                    <w:pStyle w:val="87"/>
                    <w:rPr>
                      <w:kern w:val="0"/>
                    </w:rPr>
                  </w:pPr>
                  <w:r>
                    <w:rPr>
                      <w:kern w:val="0"/>
                    </w:rPr>
                    <w:t>灭火方法</w:t>
                  </w:r>
                </w:p>
              </w:tc>
              <w:tc>
                <w:tcPr>
                  <w:tcW w:w="4557" w:type="pct"/>
                  <w:gridSpan w:val="2"/>
                  <w:vAlign w:val="center"/>
                </w:tcPr>
                <w:p w14:paraId="44A0014F">
                  <w:pPr>
                    <w:pStyle w:val="87"/>
                    <w:rPr>
                      <w:kern w:val="0"/>
                    </w:rPr>
                  </w:pPr>
                  <w:r>
                    <w:rPr>
                      <w:kern w:val="0"/>
                    </w:rPr>
                    <w:t>可能使用灭火剂：二氧化碳、磷酸铵盐、沙土；同时可使用干粉灭火器、二氧化碳灭火器灭火</w:t>
                  </w:r>
                </w:p>
              </w:tc>
            </w:tr>
            <w:tr w14:paraId="7229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5FB6ABDF">
                  <w:pPr>
                    <w:pStyle w:val="87"/>
                    <w:rPr>
                      <w:kern w:val="0"/>
                    </w:rPr>
                  </w:pPr>
                  <w:r>
                    <w:rPr>
                      <w:kern w:val="0"/>
                    </w:rPr>
                    <w:t>泄漏应急处理</w:t>
                  </w:r>
                </w:p>
              </w:tc>
              <w:tc>
                <w:tcPr>
                  <w:tcW w:w="4557" w:type="pct"/>
                  <w:gridSpan w:val="2"/>
                  <w:vAlign w:val="center"/>
                </w:tcPr>
                <w:p w14:paraId="7DEC6D4A">
                  <w:pPr>
                    <w:pStyle w:val="87"/>
                    <w:rPr>
                      <w:kern w:val="0"/>
                    </w:rPr>
                  </w:pPr>
                  <w:r>
                    <w:rPr>
                      <w:kern w:val="0"/>
                    </w:rPr>
                    <w:t>立即排除所有明火和暗火隐患，密封和保护容器内剩余部分，将泄露部分清除干净，用沙土隔离，同时用沙土掩埋。</w:t>
                  </w:r>
                </w:p>
              </w:tc>
            </w:tr>
          </w:tbl>
          <w:p w14:paraId="42750343">
            <w:pPr>
              <w:pStyle w:val="113"/>
              <w:rPr>
                <w:rFonts w:hint="eastAsia"/>
              </w:rPr>
            </w:pPr>
          </w:p>
          <w:p w14:paraId="1E0AF87C">
            <w:pPr>
              <w:pStyle w:val="113"/>
              <w:rPr>
                <w:rFonts w:hint="eastAsia"/>
              </w:rPr>
            </w:pPr>
            <w:r>
              <w:rPr>
                <w:rFonts w:hint="eastAsia"/>
              </w:rPr>
              <w:t>4）环境风险潜势初判</w:t>
            </w:r>
          </w:p>
          <w:p w14:paraId="25EB6A0A">
            <w:pPr>
              <w:pStyle w:val="113"/>
              <w:rPr>
                <w:rFonts w:hint="eastAsia"/>
              </w:rPr>
            </w:pPr>
            <w:r>
              <w:rPr>
                <w:rFonts w:hint="eastAsia"/>
              </w:rPr>
              <w:t>根据《建设项目环境风险评价技术导则》（HJ 169-2018），定量分析危险物质数量与临界量的比值（Q）和所属行业及生产工艺特点（M），按照附录C对危险物质及工艺系统危险性（P）等级进行判断。本项目首先确定危险物质数量与临界量的比值（Q）。</w:t>
            </w:r>
          </w:p>
          <w:p w14:paraId="534FD5ED">
            <w:pPr>
              <w:pStyle w:val="113"/>
              <w:rPr>
                <w:rFonts w:hint="eastAsia"/>
              </w:rPr>
            </w:pPr>
            <w:r>
              <w:rPr>
                <w:rFonts w:hint="eastAsia"/>
              </w:rPr>
              <w:t>根据《建设项目环境风险评价技术导则》（HJ 169-2018）中附录C要求，本项目选取危险物质最大存在总量进行计算，最大危险物质分布和数量见</w:t>
            </w:r>
            <w:r>
              <w:rPr>
                <w:rFonts w:hint="eastAsia"/>
              </w:rPr>
              <w:fldChar w:fldCharType="begin"/>
            </w:r>
            <w:r>
              <w:rPr>
                <w:rFonts w:hint="eastAsia"/>
              </w:rPr>
              <w:instrText xml:space="preserve"> REF _Ref216087522 \h </w:instrText>
            </w:r>
            <w:r>
              <w:rPr>
                <w:rFonts w:hint="eastAsia"/>
              </w:rPr>
              <w:fldChar w:fldCharType="separate"/>
            </w:r>
            <w:r>
              <w:rPr>
                <w:rFonts w:hint="eastAsia"/>
              </w:rPr>
              <w:t>表41</w:t>
            </w:r>
            <w:r>
              <w:rPr>
                <w:rFonts w:hint="eastAsia"/>
              </w:rPr>
              <w:fldChar w:fldCharType="end"/>
            </w:r>
            <w:r>
              <w:rPr>
                <w:rFonts w:hint="eastAsia"/>
              </w:rPr>
              <w:t>。</w:t>
            </w:r>
          </w:p>
          <w:p w14:paraId="38CECC33">
            <w:pPr>
              <w:pStyle w:val="12"/>
              <w:spacing w:before="120"/>
              <w:rPr>
                <w:rFonts w:hint="eastAsia" w:hAnsi="宋体"/>
                <w:snapToGrid w:val="0"/>
              </w:rPr>
            </w:pPr>
            <w:bookmarkStart w:id="65" w:name="_Ref216087522"/>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41</w:t>
            </w:r>
            <w:r>
              <w:rPr>
                <w:rFonts w:hAnsi="宋体"/>
              </w:rPr>
              <w:fldChar w:fldCharType="end"/>
            </w:r>
            <w:bookmarkEnd w:id="65"/>
            <w:r>
              <w:rPr>
                <w:rFonts w:hAnsi="宋体"/>
              </w:rPr>
              <w:t xml:space="preserve">  </w:t>
            </w:r>
            <w:r>
              <w:rPr>
                <w:rFonts w:hint="eastAsia" w:hAnsi="宋体"/>
                <w:snapToGrid w:val="0"/>
              </w:rPr>
              <w:t>最大危险物质</w:t>
            </w:r>
            <w:r>
              <w:rPr>
                <w:rFonts w:hAnsi="宋体"/>
                <w:snapToGrid w:val="0"/>
              </w:rPr>
              <w:t>分布及存在数量一览表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993"/>
              <w:gridCol w:w="908"/>
              <w:gridCol w:w="854"/>
              <w:gridCol w:w="1141"/>
              <w:gridCol w:w="1239"/>
              <w:gridCol w:w="1033"/>
              <w:gridCol w:w="743"/>
            </w:tblGrid>
            <w:tr w14:paraId="7C8E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65" w:type="pct"/>
                  <w:vMerge w:val="restart"/>
                  <w:tcBorders>
                    <w:top w:val="single" w:color="auto" w:sz="4" w:space="0"/>
                    <w:left w:val="single" w:color="auto" w:sz="4" w:space="0"/>
                    <w:bottom w:val="single" w:color="auto" w:sz="4" w:space="0"/>
                    <w:right w:val="single" w:color="auto" w:sz="4" w:space="0"/>
                  </w:tcBorders>
                  <w:vAlign w:val="center"/>
                </w:tcPr>
                <w:p w14:paraId="707C97F7">
                  <w:pPr>
                    <w:pStyle w:val="87"/>
                    <w:rPr>
                      <w:rFonts w:hint="eastAsia" w:hAnsi="宋体"/>
                    </w:rPr>
                  </w:pPr>
                  <w:r>
                    <w:rPr>
                      <w:rFonts w:hint="eastAsia" w:hAnsi="宋体"/>
                    </w:rPr>
                    <w:t>时期</w:t>
                  </w:r>
                </w:p>
              </w:tc>
              <w:tc>
                <w:tcPr>
                  <w:tcW w:w="637" w:type="pct"/>
                  <w:vMerge w:val="restart"/>
                  <w:tcBorders>
                    <w:top w:val="single" w:color="auto" w:sz="4" w:space="0"/>
                    <w:left w:val="single" w:color="auto" w:sz="4" w:space="0"/>
                    <w:bottom w:val="single" w:color="auto" w:sz="4" w:space="0"/>
                    <w:right w:val="single" w:color="auto" w:sz="4" w:space="0"/>
                  </w:tcBorders>
                  <w:vAlign w:val="center"/>
                </w:tcPr>
                <w:p w14:paraId="76DEDDF5">
                  <w:pPr>
                    <w:pStyle w:val="87"/>
                    <w:rPr>
                      <w:rFonts w:hint="eastAsia" w:hAnsi="宋体"/>
                    </w:rPr>
                  </w:pPr>
                  <w:r>
                    <w:rPr>
                      <w:rFonts w:hint="eastAsia" w:hAnsi="宋体"/>
                    </w:rPr>
                    <w:t>独立单元名称</w:t>
                  </w:r>
                </w:p>
              </w:tc>
              <w:tc>
                <w:tcPr>
                  <w:tcW w:w="583" w:type="pct"/>
                  <w:vMerge w:val="restart"/>
                  <w:tcBorders>
                    <w:top w:val="single" w:color="auto" w:sz="4" w:space="0"/>
                    <w:left w:val="single" w:color="auto" w:sz="4" w:space="0"/>
                    <w:bottom w:val="single" w:color="auto" w:sz="4" w:space="0"/>
                    <w:right w:val="single" w:color="auto" w:sz="4" w:space="0"/>
                  </w:tcBorders>
                  <w:vAlign w:val="center"/>
                </w:tcPr>
                <w:p w14:paraId="5EF5EA53">
                  <w:pPr>
                    <w:pStyle w:val="87"/>
                    <w:rPr>
                      <w:rFonts w:hint="eastAsia" w:hAnsi="宋体"/>
                    </w:rPr>
                  </w:pPr>
                  <w:r>
                    <w:rPr>
                      <w:rFonts w:hint="eastAsia" w:hAnsi="宋体"/>
                    </w:rPr>
                    <w:t>危险物质</w:t>
                  </w:r>
                </w:p>
              </w:tc>
              <w:tc>
                <w:tcPr>
                  <w:tcW w:w="548" w:type="pct"/>
                  <w:vMerge w:val="restart"/>
                  <w:tcBorders>
                    <w:top w:val="single" w:color="auto" w:sz="4" w:space="0"/>
                    <w:left w:val="single" w:color="auto" w:sz="4" w:space="0"/>
                    <w:bottom w:val="single" w:color="auto" w:sz="4" w:space="0"/>
                    <w:right w:val="single" w:color="auto" w:sz="4" w:space="0"/>
                  </w:tcBorders>
                  <w:vAlign w:val="center"/>
                </w:tcPr>
                <w:p w14:paraId="1B2B68C4">
                  <w:pPr>
                    <w:pStyle w:val="87"/>
                    <w:rPr>
                      <w:rFonts w:hint="eastAsia" w:hAnsi="宋体"/>
                    </w:rPr>
                  </w:pPr>
                  <w:r>
                    <w:rPr>
                      <w:rFonts w:hint="eastAsia" w:hAnsi="宋体"/>
                    </w:rPr>
                    <w:t>存储设施名称</w:t>
                  </w:r>
                </w:p>
              </w:tc>
              <w:tc>
                <w:tcPr>
                  <w:tcW w:w="732" w:type="pct"/>
                  <w:vMerge w:val="restart"/>
                  <w:tcBorders>
                    <w:top w:val="single" w:color="auto" w:sz="4" w:space="0"/>
                    <w:left w:val="single" w:color="auto" w:sz="4" w:space="0"/>
                    <w:bottom w:val="single" w:color="auto" w:sz="4" w:space="0"/>
                    <w:right w:val="single" w:color="auto" w:sz="4" w:space="0"/>
                  </w:tcBorders>
                  <w:vAlign w:val="center"/>
                </w:tcPr>
                <w:p w14:paraId="6B5EEF48">
                  <w:pPr>
                    <w:pStyle w:val="87"/>
                    <w:rPr>
                      <w:rFonts w:hint="eastAsia" w:hAnsi="宋体"/>
                    </w:rPr>
                  </w:pPr>
                  <w:r>
                    <w:rPr>
                      <w:rFonts w:hint="eastAsia" w:hAnsi="宋体"/>
                    </w:rPr>
                    <w:t>设施规格及规模</w:t>
                  </w:r>
                </w:p>
              </w:tc>
              <w:tc>
                <w:tcPr>
                  <w:tcW w:w="795" w:type="pct"/>
                  <w:tcBorders>
                    <w:top w:val="single" w:color="auto" w:sz="4" w:space="0"/>
                    <w:left w:val="single" w:color="auto" w:sz="4" w:space="0"/>
                    <w:bottom w:val="single" w:color="auto" w:sz="4" w:space="0"/>
                    <w:right w:val="single" w:color="auto" w:sz="4" w:space="0"/>
                  </w:tcBorders>
                  <w:vAlign w:val="center"/>
                </w:tcPr>
                <w:p w14:paraId="340E9352">
                  <w:pPr>
                    <w:pStyle w:val="87"/>
                    <w:rPr>
                      <w:rFonts w:hint="eastAsia" w:hAnsi="宋体"/>
                    </w:rPr>
                  </w:pPr>
                  <w:r>
                    <w:rPr>
                      <w:rFonts w:hint="eastAsia" w:hAnsi="宋体"/>
                    </w:rPr>
                    <w:t>最大存在量</w:t>
                  </w:r>
                </w:p>
              </w:tc>
              <w:tc>
                <w:tcPr>
                  <w:tcW w:w="663" w:type="pct"/>
                  <w:tcBorders>
                    <w:top w:val="single" w:color="auto" w:sz="4" w:space="0"/>
                    <w:left w:val="single" w:color="auto" w:sz="4" w:space="0"/>
                    <w:bottom w:val="single" w:color="auto" w:sz="4" w:space="0"/>
                    <w:right w:val="single" w:color="auto" w:sz="4" w:space="0"/>
                  </w:tcBorders>
                  <w:vAlign w:val="center"/>
                </w:tcPr>
                <w:p w14:paraId="2E367580">
                  <w:pPr>
                    <w:pStyle w:val="87"/>
                    <w:rPr>
                      <w:rFonts w:hint="eastAsia" w:hAnsi="宋体"/>
                    </w:rPr>
                  </w:pPr>
                  <w:r>
                    <w:rPr>
                      <w:rFonts w:hint="eastAsia" w:hAnsi="宋体"/>
                    </w:rPr>
                    <w:t>临界量</w:t>
                  </w:r>
                </w:p>
              </w:tc>
              <w:tc>
                <w:tcPr>
                  <w:tcW w:w="477" w:type="pct"/>
                  <w:vMerge w:val="restart"/>
                  <w:tcBorders>
                    <w:top w:val="single" w:color="auto" w:sz="4" w:space="0"/>
                    <w:left w:val="single" w:color="auto" w:sz="4" w:space="0"/>
                    <w:bottom w:val="single" w:color="auto" w:sz="4" w:space="0"/>
                    <w:right w:val="single" w:color="auto" w:sz="4" w:space="0"/>
                  </w:tcBorders>
                  <w:vAlign w:val="center"/>
                </w:tcPr>
                <w:p w14:paraId="7A4678A0">
                  <w:pPr>
                    <w:pStyle w:val="87"/>
                    <w:rPr>
                      <w:rFonts w:hint="eastAsia" w:hAnsi="宋体"/>
                    </w:rPr>
                  </w:pPr>
                  <w:r>
                    <w:rPr>
                      <w:rFonts w:hint="eastAsia" w:hAnsi="宋体"/>
                    </w:rPr>
                    <w:t>Q</w:t>
                  </w:r>
                </w:p>
              </w:tc>
            </w:tr>
            <w:tr w14:paraId="78EA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79" w:type="dxa"/>
                  <w:vMerge w:val="continue"/>
                  <w:tcBorders>
                    <w:top w:val="single" w:color="auto" w:sz="4" w:space="0"/>
                    <w:left w:val="single" w:color="auto" w:sz="4" w:space="0"/>
                    <w:bottom w:val="single" w:color="auto" w:sz="4" w:space="0"/>
                    <w:right w:val="single" w:color="auto" w:sz="4" w:space="0"/>
                  </w:tcBorders>
                  <w:vAlign w:val="center"/>
                </w:tcPr>
                <w:p w14:paraId="062E5FA5">
                  <w:pPr>
                    <w:widowControl/>
                    <w:jc w:val="left"/>
                    <w:rPr>
                      <w:rFonts w:hint="eastAsia" w:ascii="宋体" w:hAnsi="宋体"/>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3C17E507">
                  <w:pPr>
                    <w:widowControl/>
                    <w:jc w:val="left"/>
                    <w:rPr>
                      <w:rFonts w:hint="eastAsia" w:ascii="宋体" w:hAnsi="宋体"/>
                      <w:szCs w:val="21"/>
                    </w:rPr>
                  </w:pPr>
                </w:p>
              </w:tc>
              <w:tc>
                <w:tcPr>
                  <w:tcW w:w="909" w:type="dxa"/>
                  <w:vMerge w:val="continue"/>
                  <w:tcBorders>
                    <w:top w:val="single" w:color="auto" w:sz="4" w:space="0"/>
                    <w:left w:val="single" w:color="auto" w:sz="4" w:space="0"/>
                    <w:bottom w:val="single" w:color="auto" w:sz="4" w:space="0"/>
                    <w:right w:val="single" w:color="auto" w:sz="4" w:space="0"/>
                  </w:tcBorders>
                  <w:vAlign w:val="center"/>
                </w:tcPr>
                <w:p w14:paraId="7BBA1E32">
                  <w:pPr>
                    <w:widowControl/>
                    <w:jc w:val="left"/>
                    <w:rPr>
                      <w:rFonts w:hint="eastAsia" w:ascii="宋体" w:hAnsi="宋体"/>
                      <w:szCs w:val="21"/>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2E257082">
                  <w:pPr>
                    <w:widowControl/>
                    <w:jc w:val="left"/>
                    <w:rPr>
                      <w:rFonts w:hint="eastAsia" w:ascii="宋体" w:hAnsi="宋体"/>
                      <w:szCs w:val="21"/>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6D59E6F1">
                  <w:pPr>
                    <w:widowControl/>
                    <w:jc w:val="left"/>
                    <w:rPr>
                      <w:rFonts w:hint="eastAsia" w:ascii="宋体" w:hAnsi="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14:paraId="2CFDA2D7">
                  <w:pPr>
                    <w:pStyle w:val="87"/>
                    <w:rPr>
                      <w:rFonts w:hint="eastAsia" w:hAnsi="宋体"/>
                    </w:rPr>
                  </w:pPr>
                  <w:r>
                    <w:rPr>
                      <w:rFonts w:hint="eastAsia" w:hAnsi="宋体"/>
                    </w:rPr>
                    <w:t>q</w:t>
                  </w:r>
                  <w:r>
                    <w:rPr>
                      <w:rFonts w:hint="eastAsia" w:hAnsi="宋体"/>
                      <w:vertAlign w:val="subscript"/>
                    </w:rPr>
                    <w:t>i</w:t>
                  </w:r>
                  <w:r>
                    <w:rPr>
                      <w:rFonts w:hint="eastAsia" w:hAnsi="宋体"/>
                    </w:rPr>
                    <w:t>（t）</w:t>
                  </w:r>
                </w:p>
              </w:tc>
              <w:tc>
                <w:tcPr>
                  <w:tcW w:w="663" w:type="pct"/>
                  <w:tcBorders>
                    <w:top w:val="single" w:color="auto" w:sz="4" w:space="0"/>
                    <w:left w:val="single" w:color="auto" w:sz="4" w:space="0"/>
                    <w:bottom w:val="single" w:color="auto" w:sz="4" w:space="0"/>
                    <w:right w:val="single" w:color="auto" w:sz="4" w:space="0"/>
                  </w:tcBorders>
                  <w:vAlign w:val="center"/>
                </w:tcPr>
                <w:p w14:paraId="195CCC2D">
                  <w:pPr>
                    <w:pStyle w:val="87"/>
                    <w:rPr>
                      <w:rFonts w:hint="eastAsia" w:hAnsi="宋体"/>
                    </w:rPr>
                  </w:pPr>
                  <w:r>
                    <w:rPr>
                      <w:rFonts w:hint="eastAsia" w:hAnsi="宋体"/>
                    </w:rPr>
                    <w:t>Q</w:t>
                  </w:r>
                  <w:r>
                    <w:rPr>
                      <w:rFonts w:hint="eastAsia" w:hAnsi="宋体"/>
                      <w:vertAlign w:val="subscript"/>
                    </w:rPr>
                    <w:t>i</w:t>
                  </w:r>
                  <w:r>
                    <w:rPr>
                      <w:rFonts w:hint="eastAsia" w:hAnsi="宋体"/>
                    </w:rPr>
                    <w:t>（t）</w:t>
                  </w:r>
                </w:p>
              </w:tc>
              <w:tc>
                <w:tcPr>
                  <w:tcW w:w="745" w:type="dxa"/>
                  <w:vMerge w:val="continue"/>
                  <w:tcBorders>
                    <w:top w:val="single" w:color="auto" w:sz="4" w:space="0"/>
                    <w:left w:val="single" w:color="auto" w:sz="4" w:space="0"/>
                    <w:bottom w:val="single" w:color="auto" w:sz="4" w:space="0"/>
                    <w:right w:val="single" w:color="auto" w:sz="4" w:space="0"/>
                  </w:tcBorders>
                  <w:vAlign w:val="center"/>
                </w:tcPr>
                <w:p w14:paraId="1811AB6C">
                  <w:pPr>
                    <w:widowControl/>
                    <w:jc w:val="left"/>
                    <w:rPr>
                      <w:rFonts w:hint="eastAsia" w:ascii="宋体" w:hAnsi="宋体"/>
                      <w:szCs w:val="21"/>
                    </w:rPr>
                  </w:pPr>
                </w:p>
              </w:tc>
            </w:tr>
            <w:tr w14:paraId="7298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65" w:type="pct"/>
                  <w:vMerge w:val="restart"/>
                  <w:tcBorders>
                    <w:top w:val="single" w:color="auto" w:sz="4" w:space="0"/>
                    <w:left w:val="single" w:color="auto" w:sz="4" w:space="0"/>
                    <w:right w:val="single" w:color="auto" w:sz="4" w:space="0"/>
                  </w:tcBorders>
                  <w:vAlign w:val="center"/>
                </w:tcPr>
                <w:p w14:paraId="4764115B">
                  <w:pPr>
                    <w:pStyle w:val="87"/>
                    <w:rPr>
                      <w:rFonts w:hint="eastAsia" w:hAnsi="宋体"/>
                    </w:rPr>
                  </w:pPr>
                  <w:r>
                    <w:rPr>
                      <w:rFonts w:hint="eastAsia" w:hAnsi="宋体"/>
                    </w:rPr>
                    <w:t>施工期</w:t>
                  </w:r>
                </w:p>
              </w:tc>
              <w:tc>
                <w:tcPr>
                  <w:tcW w:w="637" w:type="pct"/>
                  <w:vMerge w:val="restart"/>
                  <w:tcBorders>
                    <w:top w:val="single" w:color="auto" w:sz="4" w:space="0"/>
                    <w:left w:val="single" w:color="auto" w:sz="4" w:space="0"/>
                    <w:right w:val="single" w:color="auto" w:sz="4" w:space="0"/>
                  </w:tcBorders>
                  <w:vAlign w:val="center"/>
                </w:tcPr>
                <w:p w14:paraId="64FA98D0">
                  <w:pPr>
                    <w:pStyle w:val="87"/>
                    <w:rPr>
                      <w:rFonts w:hint="eastAsia" w:hAnsi="宋体"/>
                    </w:rPr>
                  </w:pPr>
                  <w:r>
                    <w:rPr>
                      <w:rFonts w:hint="eastAsia" w:hAnsi="宋体"/>
                    </w:rPr>
                    <w:t>钻井井场</w:t>
                  </w:r>
                </w:p>
              </w:tc>
              <w:tc>
                <w:tcPr>
                  <w:tcW w:w="583" w:type="pct"/>
                  <w:tcBorders>
                    <w:top w:val="single" w:color="auto" w:sz="4" w:space="0"/>
                    <w:left w:val="single" w:color="auto" w:sz="4" w:space="0"/>
                    <w:bottom w:val="single" w:color="auto" w:sz="4" w:space="0"/>
                    <w:right w:val="single" w:color="auto" w:sz="4" w:space="0"/>
                  </w:tcBorders>
                  <w:vAlign w:val="center"/>
                </w:tcPr>
                <w:p w14:paraId="7CC54BB6">
                  <w:pPr>
                    <w:pStyle w:val="87"/>
                    <w:rPr>
                      <w:rFonts w:hint="eastAsia" w:hAnsi="宋体"/>
                    </w:rPr>
                  </w:pPr>
                  <w:r>
                    <w:rPr>
                      <w:rFonts w:hint="eastAsia" w:hAnsi="宋体"/>
                    </w:rPr>
                    <w:t>柴油</w:t>
                  </w:r>
                </w:p>
              </w:tc>
              <w:tc>
                <w:tcPr>
                  <w:tcW w:w="548" w:type="pct"/>
                  <w:tcBorders>
                    <w:top w:val="single" w:color="auto" w:sz="4" w:space="0"/>
                    <w:left w:val="single" w:color="auto" w:sz="4" w:space="0"/>
                    <w:bottom w:val="single" w:color="auto" w:sz="4" w:space="0"/>
                    <w:right w:val="single" w:color="auto" w:sz="4" w:space="0"/>
                  </w:tcBorders>
                  <w:vAlign w:val="center"/>
                </w:tcPr>
                <w:p w14:paraId="37F67164">
                  <w:pPr>
                    <w:pStyle w:val="87"/>
                    <w:rPr>
                      <w:rFonts w:hint="eastAsia" w:hAnsi="宋体"/>
                    </w:rPr>
                  </w:pPr>
                  <w:r>
                    <w:rPr>
                      <w:rFonts w:hint="eastAsia" w:hAnsi="宋体"/>
                    </w:rPr>
                    <w:t>柴油罐</w:t>
                  </w:r>
                </w:p>
              </w:tc>
              <w:tc>
                <w:tcPr>
                  <w:tcW w:w="732" w:type="pct"/>
                  <w:tcBorders>
                    <w:top w:val="single" w:color="auto" w:sz="4" w:space="0"/>
                    <w:left w:val="single" w:color="auto" w:sz="4" w:space="0"/>
                    <w:bottom w:val="single" w:color="auto" w:sz="4" w:space="0"/>
                    <w:right w:val="single" w:color="auto" w:sz="4" w:space="0"/>
                  </w:tcBorders>
                  <w:vAlign w:val="center"/>
                </w:tcPr>
                <w:p w14:paraId="0468CEF1">
                  <w:pPr>
                    <w:pStyle w:val="87"/>
                    <w:rPr>
                      <w:rFonts w:hint="eastAsia" w:hAnsi="宋体"/>
                    </w:rPr>
                  </w:pPr>
                  <w:r>
                    <w:rPr>
                      <w:rFonts w:hint="eastAsia" w:hAnsi="宋体"/>
                    </w:rPr>
                    <w:t>40m</w:t>
                  </w:r>
                  <w:r>
                    <w:rPr>
                      <w:rFonts w:hint="eastAsia" w:hAnsi="宋体"/>
                      <w:vertAlign w:val="superscript"/>
                    </w:rPr>
                    <w:t>3</w:t>
                  </w:r>
                  <w:r>
                    <w:rPr>
                      <w:rFonts w:hint="eastAsia" w:hAnsi="宋体"/>
                    </w:rPr>
                    <w:t>×2座（1用1备）</w:t>
                  </w:r>
                </w:p>
              </w:tc>
              <w:tc>
                <w:tcPr>
                  <w:tcW w:w="795" w:type="pct"/>
                  <w:tcBorders>
                    <w:top w:val="single" w:color="auto" w:sz="4" w:space="0"/>
                    <w:left w:val="single" w:color="auto" w:sz="4" w:space="0"/>
                    <w:bottom w:val="single" w:color="auto" w:sz="4" w:space="0"/>
                    <w:right w:val="single" w:color="auto" w:sz="4" w:space="0"/>
                  </w:tcBorders>
                  <w:vAlign w:val="center"/>
                </w:tcPr>
                <w:p w14:paraId="43D79D36">
                  <w:pPr>
                    <w:pStyle w:val="87"/>
                    <w:rPr>
                      <w:rFonts w:hint="eastAsia" w:hAnsi="宋体"/>
                    </w:rPr>
                  </w:pPr>
                  <w:r>
                    <w:rPr>
                      <w:rFonts w:hint="eastAsia" w:hAnsi="宋体"/>
                    </w:rPr>
                    <w:t>34.00</w:t>
                  </w:r>
                </w:p>
              </w:tc>
              <w:tc>
                <w:tcPr>
                  <w:tcW w:w="663" w:type="pct"/>
                  <w:tcBorders>
                    <w:top w:val="single" w:color="auto" w:sz="4" w:space="0"/>
                    <w:left w:val="single" w:color="auto" w:sz="4" w:space="0"/>
                    <w:bottom w:val="single" w:color="auto" w:sz="4" w:space="0"/>
                    <w:right w:val="single" w:color="auto" w:sz="4" w:space="0"/>
                  </w:tcBorders>
                  <w:vAlign w:val="center"/>
                </w:tcPr>
                <w:p w14:paraId="41B6FA28">
                  <w:pPr>
                    <w:pStyle w:val="87"/>
                    <w:rPr>
                      <w:rFonts w:hint="eastAsia" w:hAnsi="宋体"/>
                    </w:rPr>
                  </w:pPr>
                  <w:r>
                    <w:rPr>
                      <w:rFonts w:hint="eastAsia" w:hAnsi="宋体"/>
                    </w:rPr>
                    <w:t>2500</w:t>
                  </w:r>
                </w:p>
              </w:tc>
              <w:tc>
                <w:tcPr>
                  <w:tcW w:w="477" w:type="pct"/>
                  <w:tcBorders>
                    <w:top w:val="single" w:color="auto" w:sz="4" w:space="0"/>
                    <w:left w:val="single" w:color="auto" w:sz="4" w:space="0"/>
                    <w:bottom w:val="single" w:color="auto" w:sz="4" w:space="0"/>
                    <w:right w:val="single" w:color="auto" w:sz="4" w:space="0"/>
                  </w:tcBorders>
                  <w:vAlign w:val="center"/>
                </w:tcPr>
                <w:p w14:paraId="23A7ACB2">
                  <w:pPr>
                    <w:pStyle w:val="87"/>
                    <w:rPr>
                      <w:rFonts w:hint="eastAsia" w:hAnsi="宋体"/>
                    </w:rPr>
                  </w:pPr>
                  <w:r>
                    <w:rPr>
                      <w:rFonts w:hint="eastAsia" w:hAnsi="宋体"/>
                    </w:rPr>
                    <w:t>0.014</w:t>
                  </w:r>
                </w:p>
              </w:tc>
            </w:tr>
            <w:tr w14:paraId="6ED4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65" w:type="pct"/>
                  <w:vMerge w:val="continue"/>
                  <w:tcBorders>
                    <w:left w:val="single" w:color="auto" w:sz="4" w:space="0"/>
                    <w:right w:val="single" w:color="auto" w:sz="4" w:space="0"/>
                  </w:tcBorders>
                  <w:vAlign w:val="center"/>
                </w:tcPr>
                <w:p w14:paraId="6FA94712">
                  <w:pPr>
                    <w:pStyle w:val="87"/>
                    <w:rPr>
                      <w:rFonts w:hint="eastAsia" w:hAnsi="宋体"/>
                    </w:rPr>
                  </w:pPr>
                </w:p>
              </w:tc>
              <w:tc>
                <w:tcPr>
                  <w:tcW w:w="637" w:type="pct"/>
                  <w:vMerge w:val="continue"/>
                  <w:tcBorders>
                    <w:left w:val="single" w:color="auto" w:sz="4" w:space="0"/>
                    <w:bottom w:val="single" w:color="auto" w:sz="4" w:space="0"/>
                    <w:right w:val="single" w:color="auto" w:sz="4" w:space="0"/>
                  </w:tcBorders>
                  <w:vAlign w:val="center"/>
                </w:tcPr>
                <w:p w14:paraId="4C187DBE">
                  <w:pPr>
                    <w:pStyle w:val="87"/>
                    <w:rPr>
                      <w:rFonts w:hint="eastAsia" w:hAnsi="宋体"/>
                    </w:rPr>
                  </w:pPr>
                </w:p>
              </w:tc>
              <w:tc>
                <w:tcPr>
                  <w:tcW w:w="583" w:type="pct"/>
                  <w:tcBorders>
                    <w:top w:val="single" w:color="auto" w:sz="4" w:space="0"/>
                    <w:left w:val="single" w:color="auto" w:sz="4" w:space="0"/>
                    <w:bottom w:val="single" w:color="auto" w:sz="4" w:space="0"/>
                    <w:right w:val="single" w:color="auto" w:sz="4" w:space="0"/>
                  </w:tcBorders>
                  <w:vAlign w:val="center"/>
                </w:tcPr>
                <w:p w14:paraId="629CB3C5">
                  <w:pPr>
                    <w:pStyle w:val="87"/>
                    <w:rPr>
                      <w:rFonts w:hint="eastAsia" w:hAnsi="宋体"/>
                    </w:rPr>
                  </w:pPr>
                  <w:r>
                    <w:rPr>
                      <w:rFonts w:hint="eastAsia" w:hAnsi="宋体"/>
                    </w:rPr>
                    <w:t>废润滑油</w:t>
                  </w:r>
                </w:p>
              </w:tc>
              <w:tc>
                <w:tcPr>
                  <w:tcW w:w="548" w:type="pct"/>
                  <w:tcBorders>
                    <w:top w:val="single" w:color="auto" w:sz="4" w:space="0"/>
                    <w:left w:val="single" w:color="auto" w:sz="4" w:space="0"/>
                    <w:bottom w:val="single" w:color="auto" w:sz="4" w:space="0"/>
                    <w:right w:val="single" w:color="auto" w:sz="4" w:space="0"/>
                  </w:tcBorders>
                  <w:vAlign w:val="center"/>
                </w:tcPr>
                <w:p w14:paraId="30A96CED">
                  <w:pPr>
                    <w:pStyle w:val="87"/>
                    <w:rPr>
                      <w:rFonts w:hint="eastAsia" w:hAnsi="宋体"/>
                    </w:rPr>
                  </w:pPr>
                  <w:r>
                    <w:rPr>
                      <w:rFonts w:hint="eastAsia" w:hAnsi="宋体"/>
                    </w:rPr>
                    <w:t>危废贮存点</w:t>
                  </w:r>
                </w:p>
              </w:tc>
              <w:tc>
                <w:tcPr>
                  <w:tcW w:w="732" w:type="pct"/>
                  <w:tcBorders>
                    <w:top w:val="single" w:color="auto" w:sz="4" w:space="0"/>
                    <w:left w:val="single" w:color="auto" w:sz="4" w:space="0"/>
                    <w:bottom w:val="single" w:color="auto" w:sz="4" w:space="0"/>
                    <w:right w:val="single" w:color="auto" w:sz="4" w:space="0"/>
                  </w:tcBorders>
                  <w:vAlign w:val="center"/>
                </w:tcPr>
                <w:p w14:paraId="6EC48A33">
                  <w:pPr>
                    <w:pStyle w:val="87"/>
                    <w:rPr>
                      <w:rFonts w:hint="eastAsia" w:hAnsi="宋体"/>
                    </w:rPr>
                  </w:pPr>
                  <w:r>
                    <w:rPr>
                      <w:rFonts w:hint="eastAsia" w:hAnsi="宋体"/>
                    </w:rPr>
                    <w:t>/</w:t>
                  </w:r>
                </w:p>
              </w:tc>
              <w:tc>
                <w:tcPr>
                  <w:tcW w:w="795" w:type="pct"/>
                  <w:tcBorders>
                    <w:top w:val="single" w:color="auto" w:sz="4" w:space="0"/>
                    <w:left w:val="single" w:color="auto" w:sz="4" w:space="0"/>
                    <w:bottom w:val="single" w:color="auto" w:sz="4" w:space="0"/>
                    <w:right w:val="single" w:color="auto" w:sz="4" w:space="0"/>
                  </w:tcBorders>
                  <w:vAlign w:val="center"/>
                </w:tcPr>
                <w:p w14:paraId="04F6B906">
                  <w:pPr>
                    <w:pStyle w:val="87"/>
                    <w:rPr>
                      <w:rFonts w:hint="eastAsia" w:hAnsi="宋体"/>
                    </w:rPr>
                  </w:pPr>
                  <w:r>
                    <w:rPr>
                      <w:rFonts w:hint="eastAsia" w:hAnsi="宋体"/>
                    </w:rPr>
                    <w:t>0</w:t>
                  </w:r>
                  <w:r>
                    <w:rPr>
                      <w:rFonts w:hAnsi="宋体"/>
                    </w:rPr>
                    <w:t>.05</w:t>
                  </w:r>
                </w:p>
              </w:tc>
              <w:tc>
                <w:tcPr>
                  <w:tcW w:w="663" w:type="pct"/>
                  <w:tcBorders>
                    <w:top w:val="single" w:color="auto" w:sz="4" w:space="0"/>
                    <w:left w:val="single" w:color="auto" w:sz="4" w:space="0"/>
                    <w:bottom w:val="single" w:color="auto" w:sz="4" w:space="0"/>
                    <w:right w:val="single" w:color="auto" w:sz="4" w:space="0"/>
                  </w:tcBorders>
                  <w:vAlign w:val="center"/>
                </w:tcPr>
                <w:p w14:paraId="0824BD47">
                  <w:pPr>
                    <w:pStyle w:val="87"/>
                    <w:rPr>
                      <w:rFonts w:hint="eastAsia" w:hAnsi="宋体"/>
                    </w:rPr>
                  </w:pPr>
                  <w:r>
                    <w:rPr>
                      <w:rFonts w:hint="eastAsia" w:hAnsi="宋体"/>
                    </w:rPr>
                    <w:t>2</w:t>
                  </w:r>
                  <w:r>
                    <w:rPr>
                      <w:rFonts w:hAnsi="宋体"/>
                    </w:rPr>
                    <w:t>500</w:t>
                  </w:r>
                </w:p>
              </w:tc>
              <w:tc>
                <w:tcPr>
                  <w:tcW w:w="477" w:type="pct"/>
                  <w:tcBorders>
                    <w:top w:val="single" w:color="auto" w:sz="4" w:space="0"/>
                    <w:left w:val="single" w:color="auto" w:sz="4" w:space="0"/>
                    <w:bottom w:val="single" w:color="auto" w:sz="4" w:space="0"/>
                    <w:right w:val="single" w:color="auto" w:sz="4" w:space="0"/>
                  </w:tcBorders>
                  <w:vAlign w:val="center"/>
                </w:tcPr>
                <w:p w14:paraId="047DF2B6">
                  <w:pPr>
                    <w:pStyle w:val="87"/>
                    <w:rPr>
                      <w:rFonts w:hint="eastAsia" w:hAnsi="宋体"/>
                    </w:rPr>
                  </w:pPr>
                  <w:r>
                    <w:rPr>
                      <w:rFonts w:hint="eastAsia" w:hAnsi="宋体"/>
                    </w:rPr>
                    <w:t>0</w:t>
                  </w:r>
                  <w:r>
                    <w:rPr>
                      <w:rFonts w:hAnsi="宋体"/>
                    </w:rPr>
                    <w:t>.00002</w:t>
                  </w:r>
                </w:p>
              </w:tc>
            </w:tr>
            <w:tr w14:paraId="5D58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79" w:type="dxa"/>
                  <w:vMerge w:val="continue"/>
                  <w:tcBorders>
                    <w:left w:val="single" w:color="auto" w:sz="4" w:space="0"/>
                    <w:right w:val="single" w:color="auto" w:sz="4" w:space="0"/>
                  </w:tcBorders>
                  <w:vAlign w:val="center"/>
                </w:tcPr>
                <w:p w14:paraId="77A7D5D6">
                  <w:pPr>
                    <w:widowControl/>
                    <w:jc w:val="left"/>
                    <w:rPr>
                      <w:rFonts w:hint="eastAsia" w:ascii="宋体" w:hAnsi="宋体"/>
                      <w:szCs w:val="21"/>
                    </w:rPr>
                  </w:pPr>
                </w:p>
              </w:tc>
              <w:tc>
                <w:tcPr>
                  <w:tcW w:w="637" w:type="pct"/>
                  <w:vMerge w:val="restart"/>
                  <w:tcBorders>
                    <w:top w:val="single" w:color="auto" w:sz="4" w:space="0"/>
                    <w:left w:val="single" w:color="auto" w:sz="4" w:space="0"/>
                    <w:right w:val="single" w:color="auto" w:sz="4" w:space="0"/>
                  </w:tcBorders>
                  <w:vAlign w:val="center"/>
                </w:tcPr>
                <w:p w14:paraId="7CC3703E">
                  <w:pPr>
                    <w:pStyle w:val="87"/>
                    <w:rPr>
                      <w:rFonts w:hint="eastAsia" w:hAnsi="宋体"/>
                    </w:rPr>
                  </w:pPr>
                  <w:r>
                    <w:rPr>
                      <w:rFonts w:hint="eastAsia" w:hAnsi="宋体"/>
                    </w:rPr>
                    <w:t>试油井场</w:t>
                  </w:r>
                </w:p>
              </w:tc>
              <w:tc>
                <w:tcPr>
                  <w:tcW w:w="583" w:type="pct"/>
                  <w:tcBorders>
                    <w:top w:val="single" w:color="auto" w:sz="4" w:space="0"/>
                    <w:left w:val="single" w:color="auto" w:sz="4" w:space="0"/>
                    <w:bottom w:val="single" w:color="auto" w:sz="4" w:space="0"/>
                    <w:right w:val="single" w:color="auto" w:sz="4" w:space="0"/>
                  </w:tcBorders>
                  <w:vAlign w:val="center"/>
                </w:tcPr>
                <w:p w14:paraId="70B60450">
                  <w:pPr>
                    <w:pStyle w:val="87"/>
                    <w:rPr>
                      <w:rFonts w:hint="eastAsia" w:hAnsi="宋体"/>
                      <w:b/>
                    </w:rPr>
                  </w:pPr>
                  <w:r>
                    <w:rPr>
                      <w:rFonts w:hint="eastAsia" w:hAnsi="宋体"/>
                    </w:rPr>
                    <w:t>柴油</w:t>
                  </w:r>
                </w:p>
              </w:tc>
              <w:tc>
                <w:tcPr>
                  <w:tcW w:w="548" w:type="pct"/>
                  <w:tcBorders>
                    <w:top w:val="single" w:color="auto" w:sz="4" w:space="0"/>
                    <w:left w:val="single" w:color="auto" w:sz="4" w:space="0"/>
                    <w:bottom w:val="single" w:color="auto" w:sz="4" w:space="0"/>
                    <w:right w:val="single" w:color="auto" w:sz="4" w:space="0"/>
                  </w:tcBorders>
                  <w:vAlign w:val="center"/>
                </w:tcPr>
                <w:p w14:paraId="11D072C4">
                  <w:pPr>
                    <w:pStyle w:val="87"/>
                    <w:rPr>
                      <w:rFonts w:hint="eastAsia" w:hAnsi="宋体"/>
                      <w:b/>
                    </w:rPr>
                  </w:pPr>
                  <w:r>
                    <w:rPr>
                      <w:rFonts w:hint="eastAsia" w:hAnsi="宋体"/>
                    </w:rPr>
                    <w:t>柴油罐</w:t>
                  </w:r>
                </w:p>
              </w:tc>
              <w:tc>
                <w:tcPr>
                  <w:tcW w:w="732" w:type="pct"/>
                  <w:tcBorders>
                    <w:top w:val="single" w:color="auto" w:sz="4" w:space="0"/>
                    <w:left w:val="single" w:color="auto" w:sz="4" w:space="0"/>
                    <w:bottom w:val="single" w:color="auto" w:sz="4" w:space="0"/>
                    <w:right w:val="single" w:color="auto" w:sz="4" w:space="0"/>
                  </w:tcBorders>
                  <w:vAlign w:val="center"/>
                </w:tcPr>
                <w:p w14:paraId="04CF8CDE">
                  <w:pPr>
                    <w:pStyle w:val="87"/>
                    <w:rPr>
                      <w:rFonts w:hint="eastAsia" w:hAnsi="宋体"/>
                      <w:b/>
                    </w:rPr>
                  </w:pPr>
                  <w:r>
                    <w:rPr>
                      <w:rFonts w:hint="eastAsia" w:hAnsi="宋体"/>
                    </w:rPr>
                    <w:t>40m</w:t>
                  </w:r>
                  <w:r>
                    <w:rPr>
                      <w:rFonts w:hint="eastAsia" w:hAnsi="宋体"/>
                      <w:vertAlign w:val="superscript"/>
                    </w:rPr>
                    <w:t>3</w:t>
                  </w:r>
                  <w:r>
                    <w:rPr>
                      <w:rFonts w:hint="eastAsia" w:hAnsi="宋体"/>
                    </w:rPr>
                    <w:t>×1座</w:t>
                  </w:r>
                </w:p>
              </w:tc>
              <w:tc>
                <w:tcPr>
                  <w:tcW w:w="795" w:type="pct"/>
                  <w:tcBorders>
                    <w:top w:val="single" w:color="auto" w:sz="4" w:space="0"/>
                    <w:left w:val="single" w:color="auto" w:sz="4" w:space="0"/>
                    <w:bottom w:val="single" w:color="auto" w:sz="4" w:space="0"/>
                    <w:right w:val="single" w:color="auto" w:sz="4" w:space="0"/>
                  </w:tcBorders>
                  <w:vAlign w:val="center"/>
                </w:tcPr>
                <w:p w14:paraId="295BD4F3">
                  <w:pPr>
                    <w:pStyle w:val="87"/>
                    <w:rPr>
                      <w:rFonts w:hint="eastAsia" w:hAnsi="宋体"/>
                    </w:rPr>
                  </w:pPr>
                  <w:r>
                    <w:rPr>
                      <w:rFonts w:hint="eastAsia" w:hAnsi="宋体"/>
                    </w:rPr>
                    <w:t>34.00</w:t>
                  </w:r>
                </w:p>
              </w:tc>
              <w:tc>
                <w:tcPr>
                  <w:tcW w:w="663" w:type="pct"/>
                  <w:tcBorders>
                    <w:top w:val="single" w:color="auto" w:sz="4" w:space="0"/>
                    <w:left w:val="single" w:color="auto" w:sz="4" w:space="0"/>
                    <w:bottom w:val="single" w:color="auto" w:sz="4" w:space="0"/>
                    <w:right w:val="single" w:color="auto" w:sz="4" w:space="0"/>
                  </w:tcBorders>
                  <w:vAlign w:val="center"/>
                </w:tcPr>
                <w:p w14:paraId="43053FE0">
                  <w:pPr>
                    <w:pStyle w:val="87"/>
                    <w:rPr>
                      <w:rFonts w:hint="eastAsia" w:hAnsi="宋体"/>
                    </w:rPr>
                  </w:pPr>
                  <w:r>
                    <w:rPr>
                      <w:rFonts w:hint="eastAsia" w:hAnsi="宋体"/>
                    </w:rPr>
                    <w:t>2500</w:t>
                  </w:r>
                </w:p>
              </w:tc>
              <w:tc>
                <w:tcPr>
                  <w:tcW w:w="477" w:type="pct"/>
                  <w:tcBorders>
                    <w:top w:val="single" w:color="auto" w:sz="4" w:space="0"/>
                    <w:left w:val="single" w:color="auto" w:sz="4" w:space="0"/>
                    <w:bottom w:val="single" w:color="auto" w:sz="4" w:space="0"/>
                    <w:right w:val="single" w:color="auto" w:sz="4" w:space="0"/>
                  </w:tcBorders>
                  <w:vAlign w:val="center"/>
                </w:tcPr>
                <w:p w14:paraId="3B7046CC">
                  <w:pPr>
                    <w:pStyle w:val="87"/>
                    <w:rPr>
                      <w:rFonts w:hint="eastAsia" w:hAnsi="宋体"/>
                    </w:rPr>
                  </w:pPr>
                  <w:r>
                    <w:rPr>
                      <w:rFonts w:hint="eastAsia" w:hAnsi="宋体"/>
                    </w:rPr>
                    <w:t>0.014</w:t>
                  </w:r>
                </w:p>
              </w:tc>
            </w:tr>
            <w:tr w14:paraId="6A2B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79" w:type="dxa"/>
                  <w:vMerge w:val="continue"/>
                  <w:tcBorders>
                    <w:left w:val="single" w:color="auto" w:sz="4" w:space="0"/>
                    <w:bottom w:val="single" w:color="auto" w:sz="4" w:space="0"/>
                    <w:right w:val="single" w:color="auto" w:sz="4" w:space="0"/>
                  </w:tcBorders>
                  <w:vAlign w:val="center"/>
                </w:tcPr>
                <w:p w14:paraId="338E9DE2">
                  <w:pPr>
                    <w:widowControl/>
                    <w:jc w:val="left"/>
                    <w:rPr>
                      <w:rFonts w:hint="eastAsia" w:ascii="宋体" w:hAnsi="宋体"/>
                      <w:szCs w:val="21"/>
                    </w:rPr>
                  </w:pPr>
                </w:p>
              </w:tc>
              <w:tc>
                <w:tcPr>
                  <w:tcW w:w="637" w:type="pct"/>
                  <w:vMerge w:val="continue"/>
                  <w:tcBorders>
                    <w:left w:val="single" w:color="auto" w:sz="4" w:space="0"/>
                    <w:bottom w:val="single" w:color="auto" w:sz="4" w:space="0"/>
                    <w:right w:val="single" w:color="auto" w:sz="4" w:space="0"/>
                  </w:tcBorders>
                  <w:vAlign w:val="center"/>
                </w:tcPr>
                <w:p w14:paraId="014BB69B">
                  <w:pPr>
                    <w:pStyle w:val="87"/>
                    <w:rPr>
                      <w:rFonts w:hint="eastAsia" w:hAnsi="宋体"/>
                    </w:rPr>
                  </w:pPr>
                </w:p>
              </w:tc>
              <w:tc>
                <w:tcPr>
                  <w:tcW w:w="583" w:type="pct"/>
                  <w:tcBorders>
                    <w:top w:val="single" w:color="auto" w:sz="4" w:space="0"/>
                    <w:left w:val="single" w:color="auto" w:sz="4" w:space="0"/>
                    <w:bottom w:val="single" w:color="auto" w:sz="4" w:space="0"/>
                    <w:right w:val="single" w:color="auto" w:sz="4" w:space="0"/>
                  </w:tcBorders>
                  <w:vAlign w:val="center"/>
                </w:tcPr>
                <w:p w14:paraId="50A90112">
                  <w:pPr>
                    <w:pStyle w:val="87"/>
                    <w:rPr>
                      <w:rFonts w:hint="eastAsia" w:hAnsi="宋体"/>
                    </w:rPr>
                  </w:pPr>
                  <w:r>
                    <w:rPr>
                      <w:rFonts w:hint="eastAsia" w:hAnsi="宋体"/>
                    </w:rPr>
                    <w:t>废润滑油</w:t>
                  </w:r>
                </w:p>
              </w:tc>
              <w:tc>
                <w:tcPr>
                  <w:tcW w:w="548" w:type="pct"/>
                  <w:tcBorders>
                    <w:top w:val="single" w:color="auto" w:sz="4" w:space="0"/>
                    <w:left w:val="single" w:color="auto" w:sz="4" w:space="0"/>
                    <w:bottom w:val="single" w:color="auto" w:sz="4" w:space="0"/>
                    <w:right w:val="single" w:color="auto" w:sz="4" w:space="0"/>
                  </w:tcBorders>
                  <w:vAlign w:val="center"/>
                </w:tcPr>
                <w:p w14:paraId="7E9AE22F">
                  <w:pPr>
                    <w:pStyle w:val="87"/>
                    <w:rPr>
                      <w:rFonts w:hint="eastAsia" w:hAnsi="宋体"/>
                    </w:rPr>
                  </w:pPr>
                  <w:r>
                    <w:rPr>
                      <w:rFonts w:hint="eastAsia" w:hAnsi="宋体"/>
                    </w:rPr>
                    <w:t>危废贮存点</w:t>
                  </w:r>
                </w:p>
              </w:tc>
              <w:tc>
                <w:tcPr>
                  <w:tcW w:w="732" w:type="pct"/>
                  <w:tcBorders>
                    <w:top w:val="single" w:color="auto" w:sz="4" w:space="0"/>
                    <w:left w:val="single" w:color="auto" w:sz="4" w:space="0"/>
                    <w:bottom w:val="single" w:color="auto" w:sz="4" w:space="0"/>
                    <w:right w:val="single" w:color="auto" w:sz="4" w:space="0"/>
                  </w:tcBorders>
                  <w:vAlign w:val="center"/>
                </w:tcPr>
                <w:p w14:paraId="16E417CB">
                  <w:pPr>
                    <w:pStyle w:val="87"/>
                    <w:rPr>
                      <w:rFonts w:hint="eastAsia" w:hAnsi="宋体"/>
                    </w:rPr>
                  </w:pPr>
                  <w:r>
                    <w:rPr>
                      <w:rFonts w:hint="eastAsia" w:hAnsi="宋体"/>
                    </w:rPr>
                    <w:t>/</w:t>
                  </w:r>
                </w:p>
              </w:tc>
              <w:tc>
                <w:tcPr>
                  <w:tcW w:w="795" w:type="pct"/>
                  <w:tcBorders>
                    <w:top w:val="single" w:color="auto" w:sz="4" w:space="0"/>
                    <w:left w:val="single" w:color="auto" w:sz="4" w:space="0"/>
                    <w:bottom w:val="single" w:color="auto" w:sz="4" w:space="0"/>
                    <w:right w:val="single" w:color="auto" w:sz="4" w:space="0"/>
                  </w:tcBorders>
                  <w:vAlign w:val="center"/>
                </w:tcPr>
                <w:p w14:paraId="47717DD1">
                  <w:pPr>
                    <w:pStyle w:val="87"/>
                    <w:rPr>
                      <w:rFonts w:hint="eastAsia" w:hAnsi="宋体"/>
                    </w:rPr>
                  </w:pPr>
                  <w:r>
                    <w:rPr>
                      <w:rFonts w:hint="eastAsia" w:hAnsi="宋体"/>
                    </w:rPr>
                    <w:t>0</w:t>
                  </w:r>
                  <w:r>
                    <w:rPr>
                      <w:rFonts w:hAnsi="宋体"/>
                    </w:rPr>
                    <w:t>.05</w:t>
                  </w:r>
                </w:p>
              </w:tc>
              <w:tc>
                <w:tcPr>
                  <w:tcW w:w="663" w:type="pct"/>
                  <w:tcBorders>
                    <w:top w:val="single" w:color="auto" w:sz="4" w:space="0"/>
                    <w:left w:val="single" w:color="auto" w:sz="4" w:space="0"/>
                    <w:bottom w:val="single" w:color="auto" w:sz="4" w:space="0"/>
                    <w:right w:val="single" w:color="auto" w:sz="4" w:space="0"/>
                  </w:tcBorders>
                  <w:vAlign w:val="center"/>
                </w:tcPr>
                <w:p w14:paraId="67F4A82B">
                  <w:pPr>
                    <w:pStyle w:val="87"/>
                    <w:rPr>
                      <w:rFonts w:hint="eastAsia" w:hAnsi="宋体"/>
                    </w:rPr>
                  </w:pPr>
                  <w:r>
                    <w:rPr>
                      <w:rFonts w:hint="eastAsia" w:hAnsi="宋体"/>
                    </w:rPr>
                    <w:t>2</w:t>
                  </w:r>
                  <w:r>
                    <w:rPr>
                      <w:rFonts w:hAnsi="宋体"/>
                    </w:rPr>
                    <w:t>500</w:t>
                  </w:r>
                </w:p>
              </w:tc>
              <w:tc>
                <w:tcPr>
                  <w:tcW w:w="477" w:type="pct"/>
                  <w:tcBorders>
                    <w:top w:val="single" w:color="auto" w:sz="4" w:space="0"/>
                    <w:left w:val="single" w:color="auto" w:sz="4" w:space="0"/>
                    <w:bottom w:val="single" w:color="auto" w:sz="4" w:space="0"/>
                    <w:right w:val="single" w:color="auto" w:sz="4" w:space="0"/>
                  </w:tcBorders>
                  <w:vAlign w:val="center"/>
                </w:tcPr>
                <w:p w14:paraId="2FE47362">
                  <w:pPr>
                    <w:pStyle w:val="87"/>
                    <w:rPr>
                      <w:rFonts w:hint="eastAsia" w:hAnsi="宋体"/>
                    </w:rPr>
                  </w:pPr>
                  <w:r>
                    <w:rPr>
                      <w:rFonts w:hint="eastAsia" w:hAnsi="宋体"/>
                    </w:rPr>
                    <w:t>0</w:t>
                  </w:r>
                  <w:r>
                    <w:rPr>
                      <w:rFonts w:hAnsi="宋体"/>
                    </w:rPr>
                    <w:t>.00002</w:t>
                  </w:r>
                </w:p>
              </w:tc>
            </w:tr>
          </w:tbl>
          <w:p w14:paraId="15EE67F3"/>
          <w:p w14:paraId="76168348">
            <w:pPr>
              <w:pStyle w:val="113"/>
              <w:rPr>
                <w:rFonts w:hint="eastAsia"/>
              </w:rPr>
            </w:pPr>
            <w:r>
              <w:t>按照</w:t>
            </w:r>
            <w:r>
              <w:rPr>
                <w:rFonts w:hint="eastAsia"/>
              </w:rPr>
              <w:t>《建设项目环境风险评价技术导则》（HJ 169-2018）</w:t>
            </w:r>
            <w:r>
              <w:t>中的有关规定，风险评价工作等级划分如</w:t>
            </w:r>
            <w:r>
              <w:rPr>
                <w:rFonts w:hint="eastAsia"/>
              </w:rPr>
              <w:fldChar w:fldCharType="begin"/>
            </w:r>
            <w:r>
              <w:rPr>
                <w:rFonts w:hint="eastAsia"/>
              </w:rPr>
              <w:instrText xml:space="preserve"> </w:instrText>
            </w:r>
            <w:r>
              <w:instrText xml:space="preserve">REF _Ref216087532 \h</w:instrText>
            </w:r>
            <w:r>
              <w:rPr>
                <w:rFonts w:hint="eastAsia"/>
              </w:rPr>
              <w:instrText xml:space="preserve"> </w:instrText>
            </w:r>
            <w:r>
              <w:rPr>
                <w:rFonts w:hint="eastAsia"/>
              </w:rPr>
              <w:fldChar w:fldCharType="separate"/>
            </w:r>
            <w:r>
              <w:rPr>
                <w:rFonts w:hint="eastAsia"/>
              </w:rPr>
              <w:t>表42</w:t>
            </w:r>
            <w:r>
              <w:rPr>
                <w:rFonts w:hint="eastAsia"/>
              </w:rPr>
              <w:fldChar w:fldCharType="end"/>
            </w:r>
            <w:r>
              <w:t>。</w:t>
            </w:r>
          </w:p>
          <w:p w14:paraId="58B74F3A">
            <w:pPr>
              <w:pStyle w:val="12"/>
              <w:spacing w:before="120"/>
              <w:rPr>
                <w:rFonts w:hint="eastAsia" w:hAnsi="宋体"/>
              </w:rPr>
            </w:pPr>
            <w:bookmarkStart w:id="66" w:name="_Ref216087532"/>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42</w:t>
            </w:r>
            <w:r>
              <w:rPr>
                <w:rFonts w:hAnsi="宋体"/>
              </w:rPr>
              <w:fldChar w:fldCharType="end"/>
            </w:r>
            <w:bookmarkEnd w:id="66"/>
            <w:r>
              <w:rPr>
                <w:rFonts w:hAnsi="宋体"/>
              </w:rPr>
              <w:t xml:space="preserve">  </w:t>
            </w:r>
            <w:r>
              <w:rPr>
                <w:rFonts w:hAnsi="宋体"/>
                <w:snapToGrid w:val="0"/>
              </w:rPr>
              <w:t>风险评价工作级别表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20" w:color="auto" w:fill="auto"/>
              <w:tblLayout w:type="fixed"/>
              <w:tblCellMar>
                <w:top w:w="0" w:type="dxa"/>
                <w:left w:w="108" w:type="dxa"/>
                <w:bottom w:w="0" w:type="dxa"/>
                <w:right w:w="108" w:type="dxa"/>
              </w:tblCellMar>
            </w:tblPr>
            <w:tblGrid>
              <w:gridCol w:w="1810"/>
              <w:gridCol w:w="1560"/>
              <w:gridCol w:w="1301"/>
              <w:gridCol w:w="1560"/>
              <w:gridCol w:w="1560"/>
            </w:tblGrid>
            <w:tr w14:paraId="286A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2" w:type="pct"/>
                  <w:shd w:val="pct20" w:color="auto" w:fill="auto"/>
                  <w:vAlign w:val="center"/>
                </w:tcPr>
                <w:p w14:paraId="0B673778">
                  <w:pPr>
                    <w:pStyle w:val="87"/>
                    <w:rPr>
                      <w:rFonts w:hint="eastAsia" w:hAnsi="宋体"/>
                    </w:rPr>
                  </w:pPr>
                  <w:r>
                    <w:rPr>
                      <w:rFonts w:hint="eastAsia" w:hAnsi="宋体"/>
                    </w:rPr>
                    <w:t>环境风险潜势</w:t>
                  </w:r>
                </w:p>
              </w:tc>
              <w:tc>
                <w:tcPr>
                  <w:tcW w:w="1001" w:type="pct"/>
                  <w:shd w:val="pct20" w:color="auto" w:fill="auto"/>
                  <w:vAlign w:val="center"/>
                </w:tcPr>
                <w:p w14:paraId="11C7B071">
                  <w:pPr>
                    <w:pStyle w:val="87"/>
                    <w:rPr>
                      <w:rFonts w:hint="eastAsia" w:hAnsi="宋体"/>
                    </w:rPr>
                  </w:pPr>
                  <w:r>
                    <w:rPr>
                      <w:rFonts w:hint="eastAsia" w:hAnsi="宋体"/>
                    </w:rPr>
                    <w:t>Ⅳ、Ⅳ</w:t>
                  </w:r>
                  <w:r>
                    <w:rPr>
                      <w:rFonts w:hint="eastAsia" w:hAnsi="宋体"/>
                      <w:vertAlign w:val="superscript"/>
                    </w:rPr>
                    <w:t>＋</w:t>
                  </w:r>
                </w:p>
              </w:tc>
              <w:tc>
                <w:tcPr>
                  <w:tcW w:w="835" w:type="pct"/>
                  <w:shd w:val="pct20" w:color="auto" w:fill="auto"/>
                  <w:vAlign w:val="center"/>
                </w:tcPr>
                <w:p w14:paraId="34C89B38">
                  <w:pPr>
                    <w:pStyle w:val="87"/>
                    <w:rPr>
                      <w:rFonts w:hint="eastAsia" w:hAnsi="宋体"/>
                    </w:rPr>
                  </w:pPr>
                  <w:r>
                    <w:rPr>
                      <w:rFonts w:hint="eastAsia" w:hAnsi="宋体"/>
                    </w:rPr>
                    <w:t>Ⅲ</w:t>
                  </w:r>
                </w:p>
              </w:tc>
              <w:tc>
                <w:tcPr>
                  <w:tcW w:w="1001" w:type="pct"/>
                  <w:shd w:val="pct20" w:color="auto" w:fill="auto"/>
                  <w:vAlign w:val="center"/>
                </w:tcPr>
                <w:p w14:paraId="0EF787B7">
                  <w:pPr>
                    <w:pStyle w:val="87"/>
                    <w:rPr>
                      <w:rFonts w:hint="eastAsia" w:hAnsi="宋体"/>
                    </w:rPr>
                  </w:pPr>
                  <w:r>
                    <w:rPr>
                      <w:rFonts w:hint="eastAsia" w:hAnsi="宋体"/>
                    </w:rPr>
                    <w:t>Ⅱ</w:t>
                  </w:r>
                </w:p>
              </w:tc>
              <w:tc>
                <w:tcPr>
                  <w:tcW w:w="1001" w:type="pct"/>
                  <w:shd w:val="pct20" w:color="auto" w:fill="auto"/>
                  <w:vAlign w:val="center"/>
                </w:tcPr>
                <w:p w14:paraId="491E3F30">
                  <w:pPr>
                    <w:pStyle w:val="87"/>
                    <w:rPr>
                      <w:rFonts w:hint="eastAsia" w:hAnsi="宋体"/>
                    </w:rPr>
                  </w:pPr>
                  <w:r>
                    <w:rPr>
                      <w:rFonts w:hint="eastAsia" w:hAnsi="宋体"/>
                    </w:rPr>
                    <w:t>Ⅰ</w:t>
                  </w:r>
                </w:p>
              </w:tc>
            </w:tr>
            <w:tr w14:paraId="0AB3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2" w:type="pct"/>
                  <w:shd w:val="pct20" w:color="auto" w:fill="auto"/>
                  <w:vAlign w:val="center"/>
                </w:tcPr>
                <w:p w14:paraId="2849D6B8">
                  <w:pPr>
                    <w:pStyle w:val="87"/>
                    <w:rPr>
                      <w:rFonts w:hint="eastAsia" w:hAnsi="宋体"/>
                    </w:rPr>
                  </w:pPr>
                  <w:r>
                    <w:rPr>
                      <w:rFonts w:hint="eastAsia" w:hAnsi="宋体"/>
                    </w:rPr>
                    <w:t>评价工作等级</w:t>
                  </w:r>
                </w:p>
              </w:tc>
              <w:tc>
                <w:tcPr>
                  <w:tcW w:w="1001" w:type="pct"/>
                  <w:shd w:val="pct20" w:color="auto" w:fill="auto"/>
                  <w:vAlign w:val="center"/>
                </w:tcPr>
                <w:p w14:paraId="33BF1122">
                  <w:pPr>
                    <w:pStyle w:val="87"/>
                    <w:rPr>
                      <w:rFonts w:hint="eastAsia" w:hAnsi="宋体"/>
                    </w:rPr>
                  </w:pPr>
                  <w:r>
                    <w:rPr>
                      <w:rFonts w:hAnsi="宋体"/>
                    </w:rPr>
                    <w:t>一</w:t>
                  </w:r>
                </w:p>
              </w:tc>
              <w:tc>
                <w:tcPr>
                  <w:tcW w:w="835" w:type="pct"/>
                  <w:shd w:val="pct20" w:color="auto" w:fill="auto"/>
                  <w:vAlign w:val="center"/>
                </w:tcPr>
                <w:p w14:paraId="44011959">
                  <w:pPr>
                    <w:pStyle w:val="87"/>
                    <w:rPr>
                      <w:rFonts w:hint="eastAsia" w:hAnsi="宋体"/>
                    </w:rPr>
                  </w:pPr>
                  <w:r>
                    <w:rPr>
                      <w:rFonts w:hAnsi="宋体"/>
                    </w:rPr>
                    <w:t>二</w:t>
                  </w:r>
                </w:p>
              </w:tc>
              <w:tc>
                <w:tcPr>
                  <w:tcW w:w="1001" w:type="pct"/>
                  <w:shd w:val="pct20" w:color="auto" w:fill="auto"/>
                  <w:vAlign w:val="center"/>
                </w:tcPr>
                <w:p w14:paraId="7936368F">
                  <w:pPr>
                    <w:pStyle w:val="87"/>
                    <w:rPr>
                      <w:rFonts w:hint="eastAsia" w:hAnsi="宋体"/>
                    </w:rPr>
                  </w:pPr>
                  <w:r>
                    <w:rPr>
                      <w:rFonts w:hint="eastAsia" w:hAnsi="宋体"/>
                    </w:rPr>
                    <w:t>三</w:t>
                  </w:r>
                </w:p>
              </w:tc>
              <w:tc>
                <w:tcPr>
                  <w:tcW w:w="1001" w:type="pct"/>
                  <w:shd w:val="pct20" w:color="auto" w:fill="auto"/>
                  <w:vAlign w:val="center"/>
                </w:tcPr>
                <w:p w14:paraId="2FD7F3E0">
                  <w:pPr>
                    <w:pStyle w:val="87"/>
                    <w:rPr>
                      <w:rFonts w:hint="eastAsia" w:hAnsi="宋体"/>
                    </w:rPr>
                  </w:pPr>
                  <w:r>
                    <w:rPr>
                      <w:rFonts w:hint="eastAsia" w:hAnsi="宋体"/>
                    </w:rPr>
                    <w:t>简单分析</w:t>
                  </w:r>
                </w:p>
              </w:tc>
            </w:tr>
          </w:tbl>
          <w:p w14:paraId="2A6CBDCB">
            <w:pPr>
              <w:pStyle w:val="113"/>
              <w:rPr>
                <w:rFonts w:hint="eastAsia"/>
              </w:rPr>
            </w:pPr>
          </w:p>
          <w:p w14:paraId="28B9D88F">
            <w:pPr>
              <w:pStyle w:val="113"/>
              <w:rPr>
                <w:rFonts w:hint="eastAsia"/>
              </w:rPr>
            </w:pPr>
            <w:r>
              <w:rPr>
                <w:rFonts w:hint="eastAsia"/>
              </w:rPr>
              <w:t>本项目环境</w:t>
            </w:r>
            <w:r>
              <w:t>风险潜</w:t>
            </w:r>
            <w:r>
              <w:rPr>
                <w:rFonts w:hint="eastAsia"/>
              </w:rPr>
              <w:t>势</w:t>
            </w:r>
            <w:r>
              <w:t>为</w:t>
            </w:r>
            <w:r>
              <w:rPr>
                <w:rFonts w:hint="eastAsia"/>
              </w:rPr>
              <w:t>Ⅰ，按照《建设项目环境风险评价技术导则》（HJ 169-2018）附录A要求风险</w:t>
            </w:r>
            <w:r>
              <w:t>评价</w:t>
            </w:r>
            <w:r>
              <w:rPr>
                <w:rFonts w:hint="eastAsia"/>
              </w:rPr>
              <w:t>可开展简单分析。</w:t>
            </w:r>
          </w:p>
          <w:p w14:paraId="7CB5A82F">
            <w:pPr>
              <w:pStyle w:val="113"/>
              <w:rPr>
                <w:rFonts w:hint="eastAsia"/>
                <w:kern w:val="0"/>
              </w:rPr>
            </w:pPr>
            <w:r>
              <w:rPr>
                <w:rFonts w:hint="eastAsia"/>
                <w:kern w:val="0"/>
              </w:rPr>
              <w:t>5）环境风险分析</w:t>
            </w:r>
          </w:p>
          <w:p w14:paraId="600202CA">
            <w:pPr>
              <w:pStyle w:val="113"/>
              <w:rPr>
                <w:rFonts w:hint="eastAsia"/>
                <w:kern w:val="0"/>
              </w:rPr>
            </w:pPr>
            <w:r>
              <w:rPr>
                <w:rFonts w:hint="eastAsia"/>
                <w:kern w:val="0"/>
              </w:rPr>
              <w:t>（1）对土壤的影响</w:t>
            </w:r>
          </w:p>
          <w:p w14:paraId="4831F8FE">
            <w:pPr>
              <w:pStyle w:val="113"/>
              <w:rPr>
                <w:rFonts w:hint="eastAsia"/>
                <w:kern w:val="0"/>
              </w:rPr>
            </w:pPr>
            <w:r>
              <w:rPr>
                <w:rFonts w:hint="eastAsia"/>
                <w:kern w:val="0"/>
              </w:rPr>
              <w:t>泄漏的油类物质（柴油、原油等）可使土壤透气性下降、土壤理化性质发生变化，使土壤透气性和呼吸作用减弱，影响土壤中的微生物生存，造成土壤盐碱化，破坏土壤结构，增加土壤中石油类污染物，造成土地肥力下降，影响土壤正常的结构和功能。泄漏的油品如果进入土壤，从而使土壤质地、结构发生改变，影响到土地功能，进而影响植被的生长，并可影响局部的生态环境。</w:t>
            </w:r>
          </w:p>
          <w:p w14:paraId="4029FA8C">
            <w:pPr>
              <w:pStyle w:val="113"/>
              <w:rPr>
                <w:rFonts w:hint="eastAsia"/>
                <w:kern w:val="0"/>
              </w:rPr>
            </w:pPr>
            <w:r>
              <w:rPr>
                <w:rFonts w:hint="eastAsia"/>
                <w:kern w:val="0"/>
              </w:rPr>
              <w:t>储罐铺设防渗膜，储罐发生泄漏后，及时清理，不能回收的油类物质、污水以及受污染的土壤应集中收集后交由有相应处理资质的单位进行回收处置。发生事故后，及时采取相应的措施，不会对周围土壤环境产生明显影响。</w:t>
            </w:r>
          </w:p>
          <w:p w14:paraId="257D9145">
            <w:pPr>
              <w:pStyle w:val="113"/>
              <w:rPr>
                <w:rFonts w:hint="eastAsia"/>
                <w:kern w:val="0"/>
              </w:rPr>
            </w:pPr>
            <w:r>
              <w:rPr>
                <w:rFonts w:hint="eastAsia"/>
                <w:kern w:val="0"/>
              </w:rPr>
              <w:t>（2）对植被的影响</w:t>
            </w:r>
          </w:p>
          <w:p w14:paraId="5D3AD7AF">
            <w:pPr>
              <w:pStyle w:val="113"/>
              <w:rPr>
                <w:rFonts w:hint="eastAsia"/>
                <w:kern w:val="0"/>
              </w:rPr>
            </w:pPr>
            <w:r>
              <w:rPr>
                <w:rFonts w:hint="eastAsia"/>
                <w:kern w:val="0"/>
              </w:rPr>
              <w:t>泄漏的油类物质（柴油、原油等）对植被的影响主要分为三种途径，一是泄漏的油类物质直接粘附于植物上阻断植物的光合作用，使植物枯萎、死亡；二是油类物质污染土壤造成的土壤理化性质变化间接影响植物生长，严重时会导致植物死亡；三是泄漏的油类物质中的轻烃组分挥发，在对空气环境产生影响的同时，也对周围植物产生影响。发生事故后，及时采取相应的措施，不会对周围植被产生明显影响。</w:t>
            </w:r>
          </w:p>
          <w:p w14:paraId="357149B0">
            <w:pPr>
              <w:pStyle w:val="113"/>
              <w:rPr>
                <w:rFonts w:hint="eastAsia"/>
                <w:kern w:val="0"/>
              </w:rPr>
            </w:pPr>
            <w:r>
              <w:rPr>
                <w:rFonts w:hint="eastAsia"/>
                <w:kern w:val="0"/>
              </w:rPr>
              <w:t>（3）对地下水环境的影响</w:t>
            </w:r>
          </w:p>
          <w:p w14:paraId="5624BB1B">
            <w:pPr>
              <w:pStyle w:val="113"/>
              <w:rPr>
                <w:rFonts w:hint="eastAsia"/>
                <w:kern w:val="0"/>
              </w:rPr>
            </w:pPr>
            <w:r>
              <w:rPr>
                <w:rFonts w:hint="eastAsia"/>
                <w:kern w:val="0"/>
              </w:rPr>
              <w:t>泄漏的油类物质（柴油、原油等）下渗而可能导致地下水污染风险的发生。发生泄漏事故后，及时维修处理，即使有少量的污染物泄漏，也很难通过防渗层渗入包气带。储罐底部铺设防渗膜，采取钢制储罐，发生泄漏的概率极小，同时一旦发生泄漏会在较短时间内发现并采取的堵漏措施，出现长期连续性泄漏的可能性很低，发生渗漏污染地下水的风险事故概率较低。</w:t>
            </w:r>
          </w:p>
          <w:p w14:paraId="5A2AD04D">
            <w:pPr>
              <w:pStyle w:val="113"/>
              <w:rPr>
                <w:rFonts w:hint="eastAsia"/>
                <w:kern w:val="0"/>
              </w:rPr>
            </w:pPr>
            <w:r>
              <w:rPr>
                <w:rFonts w:hint="eastAsia"/>
                <w:kern w:val="0"/>
              </w:rPr>
              <w:t>钻井过程中主要环境风险是可能发生的井喷事故，做好风险防范工作，防止对周围环境、工作人员人身安全造成的危害。本工程的环境风险防范措施及制定的预案切实可行、有效。在落实风险防范措施、应急预案后，其发生事故的概率较低，其环境危害也是较小的，环境风险水平是可接受的，工程建设可行。</w:t>
            </w:r>
          </w:p>
          <w:p w14:paraId="3785FD7A">
            <w:pPr>
              <w:pStyle w:val="113"/>
              <w:rPr>
                <w:rFonts w:hint="eastAsia"/>
                <w:kern w:val="0"/>
              </w:rPr>
            </w:pPr>
            <w:r>
              <w:rPr>
                <w:kern w:val="0"/>
              </w:rPr>
              <w:t>6）</w:t>
            </w:r>
            <w:r>
              <w:rPr>
                <w:rFonts w:hint="eastAsia"/>
                <w:kern w:val="0"/>
              </w:rPr>
              <w:t>建设项目环境风险简单分析内容表</w:t>
            </w:r>
          </w:p>
          <w:p w14:paraId="2A5A138E">
            <w:pPr>
              <w:pStyle w:val="87"/>
              <w:spacing w:line="332" w:lineRule="auto"/>
            </w:pPr>
            <w:r>
              <w:rPr>
                <w:rFonts w:hint="eastAsia"/>
              </w:rPr>
              <w:t>表</w:t>
            </w:r>
            <w:r>
              <w:rPr>
                <w:rFonts w:hint="eastAsia"/>
              </w:rPr>
              <w:fldChar w:fldCharType="begin"/>
            </w:r>
            <w:r>
              <w:rPr>
                <w:rFonts w:hint="eastAsia"/>
              </w:rPr>
              <w:instrText xml:space="preserve"> SEQ 表 \*ARABIC </w:instrText>
            </w:r>
            <w:r>
              <w:rPr>
                <w:rFonts w:hint="eastAsia"/>
              </w:rPr>
              <w:fldChar w:fldCharType="separate"/>
            </w:r>
            <w:r>
              <w:t>43</w:t>
            </w:r>
            <w:r>
              <w:rPr>
                <w:rFonts w:hint="eastAsia"/>
              </w:rPr>
              <w:fldChar w:fldCharType="end"/>
            </w:r>
            <w:r>
              <w:rPr>
                <w:rFonts w:hint="eastAsia"/>
              </w:rPr>
              <w:t xml:space="preserve">  环境风险简单分析内容表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1179"/>
              <w:gridCol w:w="1179"/>
              <w:gridCol w:w="690"/>
              <w:gridCol w:w="490"/>
              <w:gridCol w:w="514"/>
              <w:gridCol w:w="666"/>
              <w:gridCol w:w="1189"/>
            </w:tblGrid>
            <w:tr w14:paraId="12D5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CACE715">
                  <w:pPr>
                    <w:pStyle w:val="87"/>
                    <w:rPr>
                      <w:kern w:val="0"/>
                    </w:rPr>
                  </w:pPr>
                  <w:r>
                    <w:rPr>
                      <w:rFonts w:hint="eastAsia"/>
                      <w:kern w:val="0"/>
                    </w:rPr>
                    <w:t>建设项目名称</w:t>
                  </w:r>
                </w:p>
              </w:tc>
              <w:tc>
                <w:tcPr>
                  <w:tcW w:w="3791" w:type="pct"/>
                  <w:gridSpan w:val="7"/>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029E8D1">
                  <w:pPr>
                    <w:pStyle w:val="87"/>
                    <w:rPr>
                      <w:kern w:val="0"/>
                    </w:rPr>
                  </w:pPr>
                  <w:r>
                    <w:rPr>
                      <w:rFonts w:hint="eastAsia"/>
                    </w:rPr>
                    <w:t>征121井</w:t>
                  </w:r>
                </w:p>
              </w:tc>
            </w:tr>
            <w:tr w14:paraId="49F8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26532380">
                  <w:pPr>
                    <w:pStyle w:val="87"/>
                    <w:rPr>
                      <w:kern w:val="0"/>
                    </w:rPr>
                  </w:pPr>
                  <w:r>
                    <w:rPr>
                      <w:rFonts w:hint="eastAsia"/>
                      <w:kern w:val="0"/>
                    </w:rPr>
                    <w:t>建设地点</w:t>
                  </w:r>
                </w:p>
              </w:tc>
              <w:tc>
                <w:tcPr>
                  <w:tcW w:w="757"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E85AB7B">
                  <w:pPr>
                    <w:pStyle w:val="87"/>
                    <w:rPr>
                      <w:kern w:val="0"/>
                    </w:rPr>
                  </w:pPr>
                  <w:r>
                    <w:rPr>
                      <w:rFonts w:hint="eastAsia"/>
                    </w:rPr>
                    <w:t>新疆维吾尔自治区</w:t>
                  </w:r>
                </w:p>
              </w:tc>
              <w:tc>
                <w:tcPr>
                  <w:tcW w:w="757"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910808C">
                  <w:pPr>
                    <w:pStyle w:val="87"/>
                    <w:rPr>
                      <w:kern w:val="0"/>
                    </w:rPr>
                  </w:pPr>
                  <w:r>
                    <w:rPr>
                      <w:rFonts w:hint="eastAsia"/>
                    </w:rPr>
                    <w:t>昌吉回族自治州</w:t>
                  </w:r>
                </w:p>
              </w:tc>
              <w:tc>
                <w:tcPr>
                  <w:tcW w:w="758" w:type="pct"/>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9206629">
                  <w:pPr>
                    <w:pStyle w:val="87"/>
                    <w:rPr>
                      <w:kern w:val="0"/>
                    </w:rPr>
                  </w:pPr>
                  <w:r>
                    <w:rPr>
                      <w:rFonts w:hint="eastAsia"/>
                      <w:kern w:val="0"/>
                    </w:rPr>
                    <w:t>（/）区</w:t>
                  </w:r>
                </w:p>
              </w:tc>
              <w:tc>
                <w:tcPr>
                  <w:tcW w:w="757" w:type="pct"/>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AFBEA92">
                  <w:pPr>
                    <w:pStyle w:val="87"/>
                    <w:rPr>
                      <w:kern w:val="0"/>
                    </w:rPr>
                  </w:pPr>
                  <w:r>
                    <w:rPr>
                      <w:rFonts w:hint="eastAsia"/>
                    </w:rPr>
                    <w:t>玛纳斯县</w:t>
                  </w:r>
                </w:p>
              </w:tc>
              <w:tc>
                <w:tcPr>
                  <w:tcW w:w="762"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D6294F0">
                  <w:pPr>
                    <w:pStyle w:val="87"/>
                    <w:rPr>
                      <w:kern w:val="0"/>
                    </w:rPr>
                  </w:pPr>
                  <w:r>
                    <w:rPr>
                      <w:rFonts w:hint="eastAsia"/>
                      <w:kern w:val="0"/>
                    </w:rPr>
                    <w:t>（/）园区</w:t>
                  </w:r>
                </w:p>
              </w:tc>
            </w:tr>
            <w:tr w14:paraId="159C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6117EE2">
                  <w:pPr>
                    <w:pStyle w:val="87"/>
                    <w:rPr>
                      <w:kern w:val="0"/>
                    </w:rPr>
                  </w:pPr>
                  <w:r>
                    <w:rPr>
                      <w:rFonts w:hint="eastAsia"/>
                      <w:kern w:val="0"/>
                    </w:rPr>
                    <w:t>地理坐标</w:t>
                  </w:r>
                </w:p>
              </w:tc>
              <w:tc>
                <w:tcPr>
                  <w:tcW w:w="757"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83D97CA">
                  <w:pPr>
                    <w:pStyle w:val="87"/>
                    <w:rPr>
                      <w:kern w:val="0"/>
                    </w:rPr>
                  </w:pPr>
                  <w:r>
                    <w:rPr>
                      <w:rFonts w:hint="eastAsia"/>
                      <w:kern w:val="0"/>
                    </w:rPr>
                    <w:t>经度</w:t>
                  </w:r>
                </w:p>
              </w:tc>
              <w:tc>
                <w:tcPr>
                  <w:tcW w:w="1200" w:type="pct"/>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DF50B9A">
                  <w:pPr>
                    <w:pStyle w:val="87"/>
                    <w:rPr>
                      <w:kern w:val="0"/>
                    </w:rPr>
                  </w:pPr>
                  <w:r>
                    <w:rPr>
                      <w:rFonts w:hint="eastAsia"/>
                      <w:kern w:val="0"/>
                    </w:rPr>
                    <w:t>85.71555982</w:t>
                  </w:r>
                </w:p>
              </w:tc>
              <w:tc>
                <w:tcPr>
                  <w:tcW w:w="645" w:type="pct"/>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CCB1060">
                  <w:pPr>
                    <w:pStyle w:val="87"/>
                    <w:rPr>
                      <w:kern w:val="0"/>
                    </w:rPr>
                  </w:pPr>
                  <w:r>
                    <w:rPr>
                      <w:rFonts w:hint="eastAsia"/>
                      <w:kern w:val="0"/>
                    </w:rPr>
                    <w:t>纬度</w:t>
                  </w:r>
                </w:p>
              </w:tc>
              <w:tc>
                <w:tcPr>
                  <w:tcW w:w="1188" w:type="pct"/>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5400F69">
                  <w:pPr>
                    <w:pStyle w:val="87"/>
                    <w:rPr>
                      <w:kern w:val="0"/>
                    </w:rPr>
                  </w:pPr>
                  <w:r>
                    <w:rPr>
                      <w:rFonts w:hint="eastAsia"/>
                      <w:kern w:val="0"/>
                    </w:rPr>
                    <w:t>44.93911836</w:t>
                  </w:r>
                </w:p>
              </w:tc>
            </w:tr>
            <w:tr w14:paraId="1CC1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FF187A0">
                  <w:pPr>
                    <w:pStyle w:val="87"/>
                    <w:rPr>
                      <w:kern w:val="0"/>
                    </w:rPr>
                  </w:pPr>
                  <w:r>
                    <w:rPr>
                      <w:rFonts w:hint="eastAsia"/>
                      <w:kern w:val="0"/>
                    </w:rPr>
                    <w:t>主要危险物质</w:t>
                  </w:r>
                </w:p>
                <w:p w14:paraId="0FECBA7A">
                  <w:pPr>
                    <w:pStyle w:val="87"/>
                    <w:rPr>
                      <w:kern w:val="0"/>
                    </w:rPr>
                  </w:pPr>
                  <w:r>
                    <w:rPr>
                      <w:rFonts w:hint="eastAsia"/>
                      <w:kern w:val="0"/>
                    </w:rPr>
                    <w:t>及分布</w:t>
                  </w:r>
                </w:p>
              </w:tc>
              <w:tc>
                <w:tcPr>
                  <w:tcW w:w="3791" w:type="pct"/>
                  <w:gridSpan w:val="7"/>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7BA9A63">
                  <w:pPr>
                    <w:pStyle w:val="87"/>
                    <w:jc w:val="both"/>
                    <w:rPr>
                      <w:kern w:val="0"/>
                    </w:rPr>
                  </w:pPr>
                  <w:r>
                    <w:rPr>
                      <w:rFonts w:hint="eastAsia"/>
                      <w:kern w:val="0"/>
                    </w:rPr>
                    <w:t>本项目所涉及危险物质主要是</w:t>
                  </w:r>
                  <w:r>
                    <w:rPr>
                      <w:rFonts w:hint="eastAsia"/>
                    </w:rPr>
                    <w:t>原油、伴生气（可能含有H</w:t>
                  </w:r>
                  <w:r>
                    <w:rPr>
                      <w:rFonts w:hint="eastAsia"/>
                      <w:vertAlign w:val="subscript"/>
                    </w:rPr>
                    <w:t>2</w:t>
                  </w:r>
                  <w:r>
                    <w:rPr>
                      <w:rFonts w:hint="eastAsia"/>
                    </w:rPr>
                    <w:t>S）、柴油、废润滑油</w:t>
                  </w:r>
                  <w:r>
                    <w:rPr>
                      <w:rFonts w:hint="eastAsia"/>
                      <w:kern w:val="0"/>
                    </w:rPr>
                    <w:t>，属于易燃液体。柴油储存于40m</w:t>
                  </w:r>
                  <w:r>
                    <w:rPr>
                      <w:rFonts w:hint="eastAsia"/>
                      <w:kern w:val="0"/>
                      <w:vertAlign w:val="superscript"/>
                    </w:rPr>
                    <w:t>3</w:t>
                  </w:r>
                  <w:r>
                    <w:rPr>
                      <w:rFonts w:hint="eastAsia"/>
                      <w:kern w:val="0"/>
                    </w:rPr>
                    <w:t>柴油罐（2座）中，</w:t>
                  </w:r>
                  <w:r>
                    <w:rPr>
                      <w:rFonts w:hint="eastAsia"/>
                    </w:rPr>
                    <w:t>废润滑油存储与危废暂存间，</w:t>
                  </w:r>
                  <w:r>
                    <w:rPr>
                      <w:rFonts w:hint="eastAsia"/>
                      <w:kern w:val="0"/>
                    </w:rPr>
                    <w:t>具有一定的潜在危险性。</w:t>
                  </w:r>
                </w:p>
              </w:tc>
            </w:tr>
            <w:tr w14:paraId="2EE4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766FBAD">
                  <w:pPr>
                    <w:pStyle w:val="87"/>
                    <w:rPr>
                      <w:kern w:val="0"/>
                    </w:rPr>
                  </w:pPr>
                  <w:r>
                    <w:rPr>
                      <w:rFonts w:hint="eastAsia"/>
                      <w:kern w:val="0"/>
                    </w:rPr>
                    <w:t>环境影响途径及危害后果（大气、地表水、地下水等）</w:t>
                  </w:r>
                </w:p>
              </w:tc>
              <w:tc>
                <w:tcPr>
                  <w:tcW w:w="3791" w:type="pct"/>
                  <w:gridSpan w:val="7"/>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4D202A6">
                  <w:pPr>
                    <w:pStyle w:val="87"/>
                    <w:jc w:val="both"/>
                    <w:rPr>
                      <w:kern w:val="0"/>
                    </w:rPr>
                  </w:pPr>
                  <w:r>
                    <w:rPr>
                      <w:rFonts w:hint="eastAsia"/>
                      <w:kern w:val="0"/>
                    </w:rPr>
                    <w:t>（1）大气环境风险分析</w:t>
                  </w:r>
                </w:p>
                <w:p w14:paraId="17BC7C3D">
                  <w:pPr>
                    <w:pStyle w:val="87"/>
                    <w:jc w:val="both"/>
                    <w:rPr>
                      <w:kern w:val="0"/>
                    </w:rPr>
                  </w:pPr>
                  <w:r>
                    <w:rPr>
                      <w:rFonts w:hint="eastAsia"/>
                      <w:kern w:val="0"/>
                    </w:rPr>
                    <w:t>钻井期间发生井喷后，若不能及时采取措施制止，即发生井喷失控，致使大量原油从井口敞喷进入环境当中，原油在喷射过程中若遇明火则会引发火灾等危害极大的事故。原油喷射最大的可能是形成垂直喷射，初始喷射由于井筒内有泥浆液柱，因此喷出的原油中携带大量的泥浆和岩屑，将危害周围的道路、河流和植被等。原油及伴生气的喷射释放速率，将随着井筒内的泥浆液柱压力减少而增大，当井筒内的泥浆喷完后，达到最大喷射释放速度，遇明火就会引发火灾，对周围的环境及人群造成影响。</w:t>
                  </w:r>
                </w:p>
                <w:p w14:paraId="34F6F326">
                  <w:pPr>
                    <w:pStyle w:val="87"/>
                    <w:jc w:val="both"/>
                    <w:rPr>
                      <w:kern w:val="0"/>
                    </w:rPr>
                  </w:pPr>
                  <w:r>
                    <w:rPr>
                      <w:rFonts w:hint="eastAsia"/>
                      <w:kern w:val="0"/>
                    </w:rPr>
                    <w:t>井场内禁止烟火，天然气泄漏时立刻关闭上游阀门，并疏散人群撤离。</w:t>
                  </w:r>
                </w:p>
                <w:p w14:paraId="00DABB1F">
                  <w:pPr>
                    <w:pStyle w:val="87"/>
                    <w:jc w:val="both"/>
                    <w:rPr>
                      <w:kern w:val="0"/>
                    </w:rPr>
                  </w:pPr>
                  <w:r>
                    <w:rPr>
                      <w:rFonts w:hint="eastAsia"/>
                      <w:kern w:val="0"/>
                    </w:rPr>
                    <w:t>（2）地下水环境分析</w:t>
                  </w:r>
                </w:p>
                <w:p w14:paraId="62493E38">
                  <w:pPr>
                    <w:pStyle w:val="87"/>
                    <w:jc w:val="both"/>
                    <w:rPr>
                      <w:kern w:val="0"/>
                    </w:rPr>
                  </w:pPr>
                  <w:r>
                    <w:rPr>
                      <w:rFonts w:hint="eastAsia"/>
                      <w:kern w:val="0"/>
                    </w:rPr>
                    <w:t>发生井喷后，会有大量原油从井口敞喷进入环境当中，且初始喷射会携带大量的泥浆和岩屑落在周围地表。井喷事故发生后，散落于地表的原油和泥浆岩屑等污染物，会被及时收集，并转运处理。在钻井和试油等过程中，在井场周围均可能散落落地油，根据该项目工程设计，通过铺设防渗材料进行收集的方法，回收率可达到100%，因此对地下水环境的影响较小。</w:t>
                  </w:r>
                </w:p>
              </w:tc>
            </w:tr>
            <w:tr w14:paraId="5FB1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8" w:type="pct"/>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D68EC9F">
                  <w:pPr>
                    <w:pStyle w:val="87"/>
                    <w:rPr>
                      <w:kern w:val="0"/>
                    </w:rPr>
                  </w:pPr>
                  <w:r>
                    <w:rPr>
                      <w:rFonts w:hint="eastAsia"/>
                      <w:kern w:val="0"/>
                    </w:rPr>
                    <w:t>风险防范措施要求</w:t>
                  </w:r>
                </w:p>
              </w:tc>
              <w:tc>
                <w:tcPr>
                  <w:tcW w:w="3791" w:type="pct"/>
                  <w:gridSpan w:val="7"/>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D4A4CC0">
                  <w:pPr>
                    <w:pStyle w:val="87"/>
                    <w:jc w:val="both"/>
                    <w:rPr>
                      <w:kern w:val="0"/>
                    </w:rPr>
                  </w:pPr>
                  <w:r>
                    <w:rPr>
                      <w:rFonts w:hint="eastAsia"/>
                      <w:kern w:val="0"/>
                    </w:rPr>
                    <w:t>（1）严格执行国家的环保标准规范及相关的法律法规。</w:t>
                  </w:r>
                </w:p>
                <w:p w14:paraId="066F5C69">
                  <w:pPr>
                    <w:pStyle w:val="87"/>
                    <w:jc w:val="both"/>
                    <w:rPr>
                      <w:kern w:val="0"/>
                    </w:rPr>
                  </w:pPr>
                  <w:r>
                    <w:rPr>
                      <w:rFonts w:hint="eastAsia"/>
                      <w:kern w:val="0"/>
                    </w:rPr>
                    <w:t>（2）制定环保生产方针、政策、计划和各种规范，完善安全管理制度和安全操作规程，建立健全环境管理体系和监测体系，完善各种规章、制度和标准。</w:t>
                  </w:r>
                </w:p>
                <w:p w14:paraId="7938E8E1">
                  <w:pPr>
                    <w:pStyle w:val="87"/>
                    <w:jc w:val="both"/>
                    <w:rPr>
                      <w:kern w:val="0"/>
                    </w:rPr>
                  </w:pPr>
                  <w:r>
                    <w:rPr>
                      <w:rFonts w:hint="eastAsia"/>
                      <w:kern w:val="0"/>
                    </w:rPr>
                    <w:t>（3）对施工单位及人员定期进行环保、安全教育，增强职工的环保意识和安全意识。</w:t>
                  </w:r>
                </w:p>
                <w:p w14:paraId="174AFD8C">
                  <w:pPr>
                    <w:pStyle w:val="87"/>
                    <w:jc w:val="both"/>
                    <w:rPr>
                      <w:kern w:val="0"/>
                    </w:rPr>
                  </w:pPr>
                  <w:r>
                    <w:rPr>
                      <w:rFonts w:hint="eastAsia"/>
                      <w:kern w:val="0"/>
                    </w:rPr>
                    <w:t>（4）在施工、选材等环节严守质量关，加强技术工人的培训，提高操作水平。</w:t>
                  </w:r>
                </w:p>
                <w:p w14:paraId="32ED9670">
                  <w:pPr>
                    <w:pStyle w:val="87"/>
                    <w:jc w:val="both"/>
                    <w:rPr>
                      <w:kern w:val="0"/>
                    </w:rPr>
                  </w:pPr>
                  <w:r>
                    <w:rPr>
                      <w:rFonts w:hint="eastAsia"/>
                      <w:kern w:val="0"/>
                    </w:rPr>
                    <w:t>（5）研究各种事故，总结经验，充分吸取教训，并注意在技术措施上的改进和防范，尽可能减少人为的繁琐操作过程。</w:t>
                  </w:r>
                </w:p>
              </w:tc>
            </w:tr>
            <w:tr w14:paraId="2266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26F7E6B6">
                  <w:pPr>
                    <w:pStyle w:val="87"/>
                    <w:jc w:val="both"/>
                    <w:rPr>
                      <w:kern w:val="0"/>
                      <w:sz w:val="18"/>
                      <w:szCs w:val="18"/>
                    </w:rPr>
                  </w:pPr>
                  <w:r>
                    <w:rPr>
                      <w:rFonts w:hint="eastAsia"/>
                      <w:kern w:val="0"/>
                      <w:sz w:val="18"/>
                      <w:szCs w:val="18"/>
                    </w:rPr>
                    <w:t>填表说明：本项目涉及危险物质的量极小，Q</w:t>
                  </w:r>
                  <w:r>
                    <w:rPr>
                      <w:rFonts w:hint="eastAsia"/>
                      <w:kern w:val="0"/>
                      <w:sz w:val="18"/>
                      <w:szCs w:val="18"/>
                      <w:vertAlign w:val="subscript"/>
                    </w:rPr>
                    <w:t>max</w:t>
                  </w:r>
                  <w:r>
                    <w:rPr>
                      <w:rFonts w:hint="eastAsia"/>
                      <w:kern w:val="0"/>
                      <w:sz w:val="18"/>
                      <w:szCs w:val="18"/>
                    </w:rPr>
                    <w:t>＜1环境风险潜势判定为Ⅰ，风险评价开展简单分析。</w:t>
                  </w:r>
                </w:p>
                <w:p w14:paraId="0F5A9DDA">
                  <w:pPr>
                    <w:pStyle w:val="87"/>
                    <w:jc w:val="both"/>
                    <w:rPr>
                      <w:kern w:val="0"/>
                    </w:rPr>
                  </w:pPr>
                </w:p>
              </w:tc>
            </w:tr>
          </w:tbl>
          <w:p w14:paraId="4C1D14BE">
            <w:pPr>
              <w:pStyle w:val="113"/>
              <w:ind w:firstLine="0" w:firstLineChars="0"/>
              <w:rPr>
                <w:rFonts w:hint="eastAsia"/>
              </w:rPr>
            </w:pPr>
          </w:p>
        </w:tc>
      </w:tr>
      <w:tr w14:paraId="7361A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tcMar>
              <w:left w:w="28" w:type="dxa"/>
              <w:right w:w="28" w:type="dxa"/>
            </w:tcMar>
            <w:vAlign w:val="center"/>
          </w:tcPr>
          <w:p w14:paraId="45650662">
            <w:pPr>
              <w:pStyle w:val="26"/>
              <w:adjustRightInd w:val="0"/>
              <w:snapToGrid w:val="0"/>
              <w:spacing w:before="0" w:beforeAutospacing="0" w:after="0" w:afterAutospacing="0"/>
              <w:jc w:val="center"/>
              <w:rPr>
                <w:rFonts w:hint="eastAsia" w:cs="宋体"/>
                <w:bCs/>
                <w:kern w:val="2"/>
                <w:sz w:val="21"/>
                <w:szCs w:val="21"/>
              </w:rPr>
            </w:pPr>
            <w:r>
              <w:rPr>
                <w:rFonts w:hint="eastAsia" w:cs="宋体"/>
                <w:bCs/>
                <w:spacing w:val="10"/>
                <w:kern w:val="2"/>
                <w:sz w:val="21"/>
                <w:szCs w:val="21"/>
              </w:rPr>
              <w:t>运营期生态环境影响分析</w:t>
            </w:r>
          </w:p>
        </w:tc>
        <w:tc>
          <w:tcPr>
            <w:tcW w:w="4748" w:type="pct"/>
            <w:vAlign w:val="center"/>
          </w:tcPr>
          <w:p w14:paraId="4FB2BBF0">
            <w:pPr>
              <w:pStyle w:val="113"/>
              <w:rPr>
                <w:rFonts w:hint="eastAsia"/>
                <w:snapToGrid w:val="0"/>
              </w:rPr>
            </w:pPr>
            <w:r>
              <w:rPr>
                <w:rFonts w:hint="eastAsia"/>
                <w:snapToGrid w:val="0"/>
              </w:rPr>
              <w:t>由于本项目部署</w:t>
            </w:r>
            <w:r>
              <w:rPr>
                <w:snapToGrid w:val="0"/>
              </w:rPr>
              <w:t>1</w:t>
            </w:r>
            <w:r>
              <w:rPr>
                <w:rFonts w:hint="eastAsia"/>
                <w:snapToGrid w:val="0"/>
              </w:rPr>
              <w:t>口勘探井，不涉及油气生产开采等工艺，本次探井若转为生产井，则须重新进行环境影响评价，对其环境影响进行分析预测，并提出相应的保护措施，因此本报告不对其运营期环境影响进行评价，但对闭井期的环境影响进行分析。</w:t>
            </w:r>
          </w:p>
          <w:p w14:paraId="16E0B3F7">
            <w:pPr>
              <w:pStyle w:val="113"/>
              <w:rPr>
                <w:rFonts w:hint="eastAsia"/>
              </w:rPr>
            </w:pPr>
            <w:r>
              <w:rPr>
                <w:rFonts w:hint="eastAsia"/>
              </w:rPr>
              <w:t>试油期结束，对于获得工业油气流的探井一般采取暂时封井（向井管内灌注</w:t>
            </w:r>
            <w:r>
              <w:t>100m</w:t>
            </w:r>
            <w:r>
              <w:rPr>
                <w:rFonts w:hint="eastAsia"/>
              </w:rPr>
              <w:t>～</w:t>
            </w:r>
            <w:r>
              <w:t>200m</w:t>
            </w:r>
            <w:r>
              <w:rPr>
                <w:rFonts w:hint="eastAsia"/>
              </w:rPr>
              <w:t>高密度水泥），作为储备待今后开发。对达不到工业开采要求的探井进行永久封井（向井管内全程灌注高密度水泥），</w:t>
            </w:r>
            <w:r>
              <w:rPr>
                <w:rFonts w:hint="eastAsia"/>
                <w:kern w:val="0"/>
              </w:rPr>
              <w:t>具体做法是拆除地表井台水泥基础，地表无遗留</w:t>
            </w:r>
            <w:r>
              <w:rPr>
                <w:rFonts w:hint="eastAsia"/>
              </w:rPr>
              <w:t>。</w:t>
            </w:r>
            <w:r>
              <w:t>同时根据</w:t>
            </w:r>
            <w:r>
              <w:rPr>
                <w:rFonts w:hint="eastAsia"/>
              </w:rPr>
              <w:t>《土地复垦条例》（2011年3月5日）</w:t>
            </w:r>
            <w:r>
              <w:t>，编制土地利用复垦方案，对井场临时占地进行土地复垦，土地复垦应当坚持科学规划、因地制宜、综合治理、经济可行、合理利用的原则，应因地制宜地建立植被与恢复体系，同时遵循破坏土地与周边现状保持一致的原则</w:t>
            </w:r>
            <w:r>
              <w:rPr>
                <w:rFonts w:hint="eastAsia"/>
              </w:rPr>
              <w:t>。</w:t>
            </w:r>
          </w:p>
          <w:p w14:paraId="4564D309">
            <w:pPr>
              <w:pStyle w:val="113"/>
              <w:rPr>
                <w:rFonts w:hint="eastAsia"/>
              </w:rPr>
            </w:pPr>
            <w:r>
              <w:rPr>
                <w:rFonts w:hint="eastAsia"/>
              </w:rPr>
              <w:t>封井完成后，对钻井时产生的各种废弃物进行彻底清理，做到“工完、料尽、场地清”。将施工队伍使用的活动钢木基础、其他设备和活动营房拉走。将本项目建设的防渗放喷池等进行掩埋；及时对施工场地进行平整，尽量利用井场及临时道路施工时产生的表层土对临时占地进行覆盖，覆盖厚度根据植被恢复类型和场地用途决定；施工结束后土地复垦。</w:t>
            </w:r>
          </w:p>
          <w:p w14:paraId="4800E4F9">
            <w:pPr>
              <w:pStyle w:val="113"/>
              <w:rPr>
                <w:rFonts w:hint="eastAsia"/>
              </w:rPr>
            </w:pPr>
            <w:r>
              <w:rPr>
                <w:rFonts w:hint="eastAsia"/>
              </w:rPr>
              <w:t>闭井</w:t>
            </w:r>
            <w:r>
              <w:t>期，</w:t>
            </w:r>
            <w:r>
              <w:rPr>
                <w:rFonts w:hint="eastAsia"/>
              </w:rPr>
              <w:t>井场和道路临时</w:t>
            </w:r>
            <w:r>
              <w:t>占地</w:t>
            </w:r>
            <w:r>
              <w:rPr>
                <w:rFonts w:hint="eastAsia"/>
              </w:rPr>
              <w:t>通过</w:t>
            </w:r>
            <w:r>
              <w:t>采取</w:t>
            </w:r>
            <w:r>
              <w:rPr>
                <w:rFonts w:hint="eastAsia"/>
              </w:rPr>
              <w:t>土地复垦</w:t>
            </w:r>
            <w:r>
              <w:t>、植被恢复措施后，井场和道路均恢复了原貌，人工建筑物的拆除，使项目区内人工景观比例下降，有助于改善区域</w:t>
            </w:r>
            <w:r>
              <w:rPr>
                <w:rFonts w:hint="eastAsia"/>
              </w:rPr>
              <w:t>生态</w:t>
            </w:r>
            <w:r>
              <w:t>环境</w:t>
            </w:r>
            <w:r>
              <w:rPr>
                <w:rFonts w:hint="eastAsia"/>
              </w:rPr>
              <w:t>质量。</w:t>
            </w:r>
          </w:p>
          <w:p w14:paraId="655D0317">
            <w:pPr>
              <w:pStyle w:val="113"/>
              <w:rPr>
                <w:rFonts w:hint="eastAsia"/>
              </w:rPr>
            </w:pPr>
          </w:p>
          <w:p w14:paraId="3C4C7301">
            <w:pPr>
              <w:pStyle w:val="113"/>
              <w:rPr>
                <w:rFonts w:hint="eastAsia"/>
              </w:rPr>
            </w:pPr>
          </w:p>
          <w:p w14:paraId="4F611346">
            <w:pPr>
              <w:pStyle w:val="113"/>
              <w:rPr>
                <w:rFonts w:hint="eastAsia"/>
              </w:rPr>
            </w:pPr>
          </w:p>
          <w:p w14:paraId="1652DC60">
            <w:pPr>
              <w:pStyle w:val="113"/>
              <w:rPr>
                <w:rFonts w:hint="eastAsia"/>
              </w:rPr>
            </w:pPr>
          </w:p>
          <w:p w14:paraId="54E8D7BD">
            <w:pPr>
              <w:pStyle w:val="113"/>
              <w:rPr>
                <w:rFonts w:hint="eastAsia"/>
              </w:rPr>
            </w:pPr>
          </w:p>
          <w:p w14:paraId="1398639A">
            <w:pPr>
              <w:pStyle w:val="113"/>
              <w:rPr>
                <w:rFonts w:hint="eastAsia"/>
              </w:rPr>
            </w:pPr>
          </w:p>
          <w:p w14:paraId="080F7F27">
            <w:pPr>
              <w:pStyle w:val="113"/>
              <w:rPr>
                <w:rFonts w:hint="eastAsia"/>
              </w:rPr>
            </w:pPr>
          </w:p>
          <w:p w14:paraId="34D11FE0">
            <w:pPr>
              <w:pStyle w:val="113"/>
              <w:rPr>
                <w:rFonts w:hint="eastAsia"/>
              </w:rPr>
            </w:pPr>
          </w:p>
          <w:p w14:paraId="5CA03D60">
            <w:pPr>
              <w:pStyle w:val="113"/>
              <w:rPr>
                <w:rFonts w:hint="eastAsia"/>
              </w:rPr>
            </w:pPr>
          </w:p>
          <w:p w14:paraId="0974A7A8">
            <w:pPr>
              <w:pStyle w:val="113"/>
              <w:rPr>
                <w:rFonts w:hint="eastAsia"/>
              </w:rPr>
            </w:pPr>
          </w:p>
          <w:p w14:paraId="5BE4CB8C">
            <w:pPr>
              <w:pStyle w:val="113"/>
              <w:ind w:firstLine="0" w:firstLineChars="0"/>
              <w:rPr>
                <w:rFonts w:hint="eastAsia"/>
              </w:rPr>
            </w:pPr>
          </w:p>
        </w:tc>
      </w:tr>
      <w:tr w14:paraId="29728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0" w:hRule="atLeast"/>
          <w:jc w:val="center"/>
        </w:trPr>
        <w:tc>
          <w:tcPr>
            <w:tcW w:w="252" w:type="pct"/>
            <w:vAlign w:val="center"/>
          </w:tcPr>
          <w:p w14:paraId="0346565D">
            <w:pPr>
              <w:pStyle w:val="26"/>
              <w:adjustRightInd w:val="0"/>
              <w:snapToGrid w:val="0"/>
              <w:spacing w:before="0" w:beforeAutospacing="0" w:after="0" w:afterAutospacing="0"/>
              <w:jc w:val="center"/>
              <w:rPr>
                <w:rFonts w:hint="eastAsia" w:cs="宋体"/>
                <w:bCs/>
                <w:kern w:val="2"/>
                <w:sz w:val="21"/>
                <w:szCs w:val="21"/>
              </w:rPr>
            </w:pPr>
            <w:r>
              <w:rPr>
                <w:rFonts w:hint="eastAsia" w:cs="宋体"/>
                <w:bCs/>
                <w:kern w:val="2"/>
                <w:sz w:val="21"/>
                <w:szCs w:val="21"/>
              </w:rPr>
              <w:t>选址选线环境合理性分析</w:t>
            </w:r>
          </w:p>
        </w:tc>
        <w:tc>
          <w:tcPr>
            <w:tcW w:w="4748" w:type="pct"/>
            <w:vAlign w:val="center"/>
          </w:tcPr>
          <w:p w14:paraId="3C6BEB74">
            <w:pPr>
              <w:pStyle w:val="135"/>
              <w:rPr>
                <w:rFonts w:hint="eastAsia"/>
              </w:rPr>
            </w:pPr>
            <w:r>
              <w:rPr>
                <w:rFonts w:hint="eastAsia"/>
              </w:rPr>
              <w:t>1、选址原则</w:t>
            </w:r>
          </w:p>
          <w:p w14:paraId="1334876E">
            <w:pPr>
              <w:pStyle w:val="113"/>
              <w:rPr>
                <w:rFonts w:hint="eastAsia"/>
              </w:rPr>
            </w:pPr>
            <w:r>
              <w:rPr>
                <w:rFonts w:hint="eastAsia"/>
              </w:rPr>
              <w:t>根据建设单位提供的钻井工程设计方案，本项目选址位于</w:t>
            </w:r>
            <w:r>
              <w:rPr>
                <w:rFonts w:hint="eastAsia"/>
                <w:szCs w:val="21"/>
              </w:rPr>
              <w:t>新疆维吾尔自治区昌吉回族自治州玛纳斯县，一五零团五连西南侧2.28km处</w:t>
            </w:r>
            <w:r>
              <w:rPr>
                <w:rFonts w:hint="eastAsia"/>
              </w:rPr>
              <w:t>。项目选址不涉及水源涵养区、水源保护区、自然保护区、风景名胜区、森林公园、重要湿地及人群密集区等生态敏感区域。因此从环境合理性角度分析，本项目选址合理。</w:t>
            </w:r>
          </w:p>
          <w:p w14:paraId="613C399C">
            <w:pPr>
              <w:pStyle w:val="135"/>
              <w:rPr>
                <w:rFonts w:hint="eastAsia"/>
              </w:rPr>
            </w:pPr>
            <w:r>
              <w:rPr>
                <w:rFonts w:hint="eastAsia"/>
              </w:rPr>
              <w:t>2、井场选址环境合理性分析</w:t>
            </w:r>
          </w:p>
          <w:p w14:paraId="5E7B0DC8">
            <w:pPr>
              <w:pStyle w:val="113"/>
              <w:rPr>
                <w:rFonts w:hint="eastAsia"/>
              </w:rPr>
            </w:pPr>
            <w:r>
              <w:rPr>
                <w:rFonts w:hint="eastAsia"/>
              </w:rPr>
              <w:t>临时道路选线已尽可能避开野生植物生长密集地带，尽量取直、减少占地；井场不在滑坡、泥石流等不良地段；项目选址充分利用地形，节约用地方便施工，满足防洪、防喷、防爆、防火、防毒、防冻等安全要求；根据现场踏勘及井场平面布置，井口距离75m范围内无高压线及其它永久性设施,100m范围内无民宅，200m范围内无铁路、高速公路，500m范围内无学校、医院和大型油库等人口密集型、高危性场所；本项目选用5</w:t>
            </w:r>
            <w:r>
              <w:t>0</w:t>
            </w:r>
            <w:r>
              <w:rPr>
                <w:rFonts w:hint="eastAsia"/>
              </w:rPr>
              <w:t>型钻机，井场面积1</w:t>
            </w:r>
            <w:r>
              <w:t>4300m</w:t>
            </w:r>
            <w:r>
              <w:rPr>
                <w:vertAlign w:val="superscript"/>
              </w:rPr>
              <w:t>2</w:t>
            </w:r>
            <w:r>
              <w:rPr>
                <w:rFonts w:hint="eastAsia"/>
              </w:rPr>
              <w:t>；本项目选址不属于环境敏感区，符合《钻前工程及井场布置技术要求》(SY/T5466-2013)的要求。</w:t>
            </w:r>
          </w:p>
          <w:p w14:paraId="31CC9204">
            <w:pPr>
              <w:pStyle w:val="135"/>
              <w:rPr>
                <w:rFonts w:hint="eastAsia"/>
              </w:rPr>
            </w:pPr>
            <w:r>
              <w:t>3</w:t>
            </w:r>
            <w:r>
              <w:rPr>
                <w:rFonts w:hint="eastAsia"/>
              </w:rPr>
              <w:t>、与周边生态敏感目标关系</w:t>
            </w:r>
          </w:p>
          <w:p w14:paraId="100A6D8F">
            <w:pPr>
              <w:pStyle w:val="135"/>
              <w:rPr>
                <w:rFonts w:hint="eastAsia"/>
              </w:rPr>
            </w:pPr>
            <w:r>
              <w:rPr>
                <w:rFonts w:hint="eastAsia"/>
              </w:rPr>
              <w:t>本项目选址不涉及水源涵养区、地下水源、饮用水源、自然保护区、风景名胜区、森林公园、重要湿地及人群密集区等生态敏感区域，且本项目设计尽量少占用临时用地，最大程度上减少了对生态的破坏。</w:t>
            </w:r>
          </w:p>
          <w:p w14:paraId="7B19D313">
            <w:pPr>
              <w:pStyle w:val="135"/>
              <w:rPr>
                <w:rFonts w:hint="eastAsia"/>
              </w:rPr>
            </w:pPr>
            <w:r>
              <w:t>4</w:t>
            </w:r>
            <w:r>
              <w:rPr>
                <w:rFonts w:hint="eastAsia"/>
              </w:rPr>
              <w:t>、产业政策的合理性</w:t>
            </w:r>
          </w:p>
          <w:p w14:paraId="28C36EB9">
            <w:pPr>
              <w:pStyle w:val="135"/>
              <w:rPr>
                <w:rFonts w:hint="eastAsia"/>
              </w:rPr>
            </w:pPr>
            <w:r>
              <w:rPr>
                <w:rFonts w:hint="eastAsia"/>
              </w:rPr>
              <w:t>根据《产业结构调整指导目录（2024年本）》（2024年2月1日），本项目属于鼓励类范围（第七类石油天然气中的第1条石油天然气开采：常规石油、天然气勘探与开采，页岩气、页岩油、致密油（气）、油砂、天然气水合物等非常规资源勘探开发），本项目建设符合国家产业政策。</w:t>
            </w:r>
          </w:p>
          <w:p w14:paraId="6C7B7B8E">
            <w:pPr>
              <w:pStyle w:val="135"/>
              <w:rPr>
                <w:rFonts w:hint="eastAsia"/>
              </w:rPr>
            </w:pPr>
            <w:r>
              <w:rPr>
                <w:rFonts w:hint="eastAsia"/>
              </w:rPr>
              <w:t>综上所述，本项目无环境限制因素，项目选址合理、可行。</w:t>
            </w:r>
          </w:p>
          <w:p w14:paraId="583FFA4F">
            <w:pPr>
              <w:autoSpaceDE w:val="0"/>
              <w:snapToGrid w:val="0"/>
              <w:spacing w:line="460" w:lineRule="exact"/>
              <w:ind w:firstLine="420" w:firstLineChars="200"/>
            </w:pPr>
          </w:p>
        </w:tc>
      </w:tr>
    </w:tbl>
    <w:p w14:paraId="2AE9A414">
      <w:pPr>
        <w:pStyle w:val="26"/>
        <w:jc w:val="center"/>
        <w:rPr>
          <w:rFonts w:hint="eastAsia" w:ascii="黑体" w:hAnsi="黑体" w:eastAsia="黑体"/>
          <w:snapToGrid w:val="0"/>
          <w:sz w:val="36"/>
          <w:szCs w:val="36"/>
        </w:rPr>
        <w:sectPr>
          <w:footerReference r:id="rId5" w:type="default"/>
          <w:pgSz w:w="11906" w:h="16838"/>
          <w:pgMar w:top="1440" w:right="1800" w:bottom="1440" w:left="1800" w:header="851" w:footer="1077" w:gutter="0"/>
          <w:pgNumType w:start="1"/>
          <w:cols w:space="720" w:num="1"/>
          <w:docGrid w:linePitch="312" w:charSpace="0"/>
        </w:sectPr>
      </w:pPr>
    </w:p>
    <w:p w14:paraId="60486ADB">
      <w:pPr>
        <w:pStyle w:val="26"/>
        <w:adjustRightInd w:val="0"/>
        <w:snapToGrid w:val="0"/>
        <w:spacing w:before="0" w:beforeAutospacing="0" w:after="0" w:afterAutospacing="0"/>
        <w:jc w:val="center"/>
        <w:outlineLvl w:val="0"/>
        <w:rPr>
          <w:rFonts w:hint="eastAsia" w:ascii="黑体" w:hAnsi="黑体" w:eastAsia="黑体"/>
          <w:snapToGrid w:val="0"/>
          <w:sz w:val="30"/>
          <w:szCs w:val="30"/>
        </w:rPr>
      </w:pPr>
      <w:bookmarkStart w:id="67" w:name="_Toc216179951"/>
      <w:r>
        <w:rPr>
          <w:rFonts w:hint="eastAsia" w:ascii="黑体" w:hAnsi="黑体" w:eastAsia="黑体"/>
          <w:snapToGrid w:val="0"/>
          <w:sz w:val="30"/>
          <w:szCs w:val="30"/>
        </w:rPr>
        <w:t>五、主要生态环境保护措施</w:t>
      </w:r>
      <w:bookmarkEnd w:id="67"/>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780"/>
      </w:tblGrid>
      <w:tr w14:paraId="21D64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396" w:type="pct"/>
            <w:tcMar>
              <w:left w:w="28" w:type="dxa"/>
              <w:right w:w="28" w:type="dxa"/>
            </w:tcMar>
            <w:vAlign w:val="center"/>
          </w:tcPr>
          <w:p w14:paraId="55383A5C">
            <w:pPr>
              <w:adjustRightInd w:val="0"/>
              <w:snapToGrid w:val="0"/>
              <w:jc w:val="center"/>
              <w:rPr>
                <w:rFonts w:hint="eastAsia" w:ascii="宋体" w:hAnsi="宋体"/>
                <w:bCs/>
                <w:szCs w:val="21"/>
              </w:rPr>
            </w:pPr>
            <w:r>
              <w:rPr>
                <w:rFonts w:hint="eastAsia" w:ascii="宋体" w:hAnsi="宋体" w:cs="宋体"/>
                <w:bCs/>
                <w:spacing w:val="10"/>
                <w:szCs w:val="21"/>
              </w:rPr>
              <w:t>施工期生态环境保护措施</w:t>
            </w:r>
          </w:p>
        </w:tc>
        <w:tc>
          <w:tcPr>
            <w:tcW w:w="4604" w:type="pct"/>
          </w:tcPr>
          <w:p w14:paraId="6923BD5A">
            <w:pPr>
              <w:pStyle w:val="113"/>
              <w:rPr>
                <w:rFonts w:hint="eastAsia"/>
                <w:bCs/>
              </w:rPr>
            </w:pPr>
            <w:r>
              <w:rPr>
                <w:bCs/>
              </w:rPr>
              <w:t>1</w:t>
            </w:r>
            <w:r>
              <w:rPr>
                <w:rFonts w:hint="eastAsia"/>
                <w:bCs/>
              </w:rPr>
              <w:t>、生态保护措施</w:t>
            </w:r>
          </w:p>
          <w:p w14:paraId="1B240F0C">
            <w:pPr>
              <w:pStyle w:val="113"/>
              <w:rPr>
                <w:rFonts w:hint="eastAsia"/>
              </w:rPr>
            </w:pPr>
            <w:r>
              <w:rPr>
                <w:rFonts w:hint="eastAsia"/>
              </w:rPr>
              <w:t>1）道路工程生态保护措施要求</w:t>
            </w:r>
          </w:p>
          <w:p w14:paraId="516201AC">
            <w:pPr>
              <w:pStyle w:val="113"/>
              <w:rPr>
                <w:rFonts w:hint="eastAsia"/>
              </w:rPr>
            </w:pPr>
            <w:r>
              <w:rPr>
                <w:rFonts w:hint="eastAsia"/>
              </w:rPr>
              <w:t>（1）污染防治措施</w:t>
            </w:r>
          </w:p>
          <w:p w14:paraId="37E6F3CF">
            <w:pPr>
              <w:pStyle w:val="113"/>
              <w:rPr>
                <w:rFonts w:hint="eastAsia"/>
              </w:rPr>
            </w:pPr>
            <w:r>
              <w:rPr>
                <w:rFonts w:hint="eastAsia"/>
              </w:rPr>
              <w:t>①定期对施工场地、运输道路进行洒水降尘</w:t>
            </w:r>
            <w:r>
              <w:rPr>
                <w:rFonts w:hint="eastAsia" w:ascii="MS Gothic" w:hAnsi="MS Gothic" w:eastAsia="MS Gothic" w:cs="MS Gothic"/>
              </w:rPr>
              <w:t>​​</w:t>
            </w:r>
            <w:r>
              <w:rPr>
                <w:rFonts w:hint="eastAsia"/>
              </w:rPr>
              <w:t>等湿式作业。</w:t>
            </w:r>
          </w:p>
          <w:p w14:paraId="32241B40">
            <w:pPr>
              <w:pStyle w:val="113"/>
              <w:rPr>
                <w:rFonts w:hint="eastAsia"/>
              </w:rPr>
            </w:pPr>
            <w:r>
              <w:rPr>
                <w:rFonts w:hint="eastAsia" w:cs="MS Gothic"/>
              </w:rPr>
              <w:t>②</w:t>
            </w:r>
            <w:r>
              <w:rPr>
                <w:rFonts w:hint="eastAsia"/>
              </w:rPr>
              <w:t>硬化施工便道</w:t>
            </w:r>
            <w:r>
              <w:rPr>
                <w:rFonts w:hint="eastAsia" w:ascii="MS Gothic" w:hAnsi="MS Gothic" w:eastAsia="MS Gothic" w:cs="MS Gothic"/>
              </w:rPr>
              <w:t>​​</w:t>
            </w:r>
            <w:r>
              <w:rPr>
                <w:rFonts w:hint="eastAsia"/>
              </w:rPr>
              <w:t>，对临时道路铺设碎石或混凝土，防止车辆行驶产生扬尘。</w:t>
            </w:r>
          </w:p>
          <w:p w14:paraId="2E3631EE">
            <w:pPr>
              <w:pStyle w:val="113"/>
              <w:rPr>
                <w:rFonts w:hint="eastAsia" w:cs="Segoe UI"/>
                <w:shd w:val="clear" w:color="auto" w:fill="FCFCFC"/>
              </w:rPr>
            </w:pPr>
            <w:r>
              <w:rPr>
                <w:rFonts w:hint="eastAsia"/>
              </w:rPr>
              <w:t>③</w:t>
            </w:r>
            <w:r>
              <w:rPr>
                <w:rFonts w:cs="Segoe UI"/>
                <w:shd w:val="clear" w:color="auto" w:fill="FCFCFC"/>
              </w:rPr>
              <w:t>优先使用低噪声型机械，并定期维护设备以降低噪音。</w:t>
            </w:r>
          </w:p>
          <w:p w14:paraId="70263C78">
            <w:pPr>
              <w:pStyle w:val="113"/>
              <w:rPr>
                <w:rFonts w:hint="eastAsia" w:cs="Segoe UI"/>
                <w:shd w:val="clear" w:color="auto" w:fill="FCFCFC"/>
              </w:rPr>
            </w:pPr>
            <w:r>
              <w:rPr>
                <w:rFonts w:hint="eastAsia" w:cs="Segoe UI"/>
                <w:shd w:val="clear" w:color="auto" w:fill="FCFCFC"/>
              </w:rPr>
              <w:t>④</w:t>
            </w:r>
            <w:r>
              <w:rPr>
                <w:rFonts w:cs="Segoe UI"/>
                <w:shd w:val="clear" w:color="auto" w:fill="FCFCFC"/>
              </w:rPr>
              <w:t>建筑垃圾分类处理，可回收材料交由专业机构处理。</w:t>
            </w:r>
          </w:p>
          <w:p w14:paraId="05EAAC9A">
            <w:pPr>
              <w:pStyle w:val="113"/>
              <w:rPr>
                <w:rFonts w:hint="eastAsia"/>
              </w:rPr>
            </w:pPr>
            <w:r>
              <w:rPr>
                <w:rFonts w:hint="eastAsia" w:cs="Segoe UI"/>
                <w:shd w:val="clear" w:color="auto" w:fill="FCFCFC"/>
              </w:rPr>
              <w:t>⑤严禁将含油、化学物质的废水或生活污水直接外排。</w:t>
            </w:r>
          </w:p>
          <w:p w14:paraId="16EC3DBB">
            <w:pPr>
              <w:pStyle w:val="113"/>
              <w:rPr>
                <w:rFonts w:hint="eastAsia"/>
              </w:rPr>
            </w:pPr>
            <w:r>
              <w:rPr>
                <w:rFonts w:hint="eastAsia"/>
              </w:rPr>
              <w:t>（2）生态保护措施</w:t>
            </w:r>
          </w:p>
          <w:p w14:paraId="0008E1BD">
            <w:pPr>
              <w:pStyle w:val="113"/>
              <w:rPr>
                <w:rFonts w:hint="eastAsia"/>
              </w:rPr>
            </w:pPr>
            <w:r>
              <w:rPr>
                <w:rFonts w:hint="eastAsia"/>
              </w:rPr>
              <w:t>①</w:t>
            </w:r>
            <w:r>
              <w:t>施工前进行生态评估，避开珍稀物种栖息地、湿地、水源保护区等敏感区域。</w:t>
            </w:r>
          </w:p>
          <w:p w14:paraId="6FC8C8FA">
            <w:pPr>
              <w:pStyle w:val="113"/>
              <w:rPr>
                <w:rFonts w:hint="eastAsia"/>
              </w:rPr>
            </w:pPr>
            <w:r>
              <w:rPr>
                <w:rFonts w:hint="eastAsia"/>
              </w:rPr>
              <w:t>②无道路区域作业车辆“一”字形行驶。道路施工时，注意划定施工活动范围，所有车辆采用“一”字形作业法，严格控制和管理车辆及重型机械的运行范围。</w:t>
            </w:r>
          </w:p>
          <w:p w14:paraId="04D31D4E">
            <w:pPr>
              <w:pStyle w:val="113"/>
              <w:rPr>
                <w:rFonts w:hint="eastAsia"/>
              </w:rPr>
            </w:pPr>
            <w:r>
              <w:rPr>
                <w:rFonts w:hint="eastAsia"/>
              </w:rPr>
              <w:t>③存在植被区域施工前剥离表土，集中堆放于施工场区内，并采取袋装土拦挡、土工布遮盖等措施。</w:t>
            </w:r>
          </w:p>
          <w:p w14:paraId="3217EB9D">
            <w:pPr>
              <w:pStyle w:val="113"/>
              <w:rPr>
                <w:rFonts w:hint="eastAsia"/>
                <w:szCs w:val="21"/>
              </w:rPr>
            </w:pPr>
            <w:r>
              <w:rPr>
                <w:rFonts w:hint="eastAsia"/>
              </w:rPr>
              <w:t>2）井场工程生态保护措施要求</w:t>
            </w:r>
          </w:p>
          <w:p w14:paraId="5AB6BB4D">
            <w:pPr>
              <w:pStyle w:val="113"/>
              <w:rPr>
                <w:rFonts w:hint="eastAsia"/>
              </w:rPr>
            </w:pPr>
            <w:r>
              <w:rPr>
                <w:rFonts w:hint="eastAsia"/>
              </w:rPr>
              <w:t>（1）施工过程中会产生较大的扬尘，施工现场尽量适时洒水，减少扬尘，施工使用的粉状材料，运输、堆放时应有遮盖。</w:t>
            </w:r>
          </w:p>
          <w:p w14:paraId="2F3C6DF0">
            <w:pPr>
              <w:pStyle w:val="113"/>
              <w:rPr>
                <w:rFonts w:hint="eastAsia"/>
              </w:rPr>
            </w:pPr>
            <w:r>
              <w:rPr>
                <w:rFonts w:hint="eastAsia"/>
              </w:rPr>
              <w:t>（2）严格界定施工活动范围，尽可能缩小施工作业区域宽度，使用彩条带等措施严格限制施工活动范围。</w:t>
            </w:r>
          </w:p>
          <w:p w14:paraId="3C52586B">
            <w:pPr>
              <w:pStyle w:val="113"/>
              <w:rPr>
                <w:rFonts w:hint="eastAsia"/>
              </w:rPr>
            </w:pPr>
            <w:r>
              <w:rPr>
                <w:rFonts w:hint="eastAsia"/>
              </w:rPr>
              <w:t>（3）钻井过程中严格执行钻井生产环境保护管理规定，废弃泥浆采用“泥浆不落地”设备进行处理。</w:t>
            </w:r>
          </w:p>
          <w:p w14:paraId="3E16DE9B">
            <w:pPr>
              <w:pStyle w:val="113"/>
              <w:rPr>
                <w:rFonts w:hint="eastAsia"/>
              </w:rPr>
            </w:pPr>
            <w:r>
              <w:rPr>
                <w:rFonts w:hint="eastAsia"/>
              </w:rPr>
              <w:t>（4）严格做好放喷池的防渗处理，并设置规范化的环保标识，防止污染土壤及地下水。</w:t>
            </w:r>
          </w:p>
          <w:p w14:paraId="0E66C311">
            <w:pPr>
              <w:pStyle w:val="113"/>
              <w:rPr>
                <w:rFonts w:hint="eastAsia"/>
              </w:rPr>
            </w:pPr>
            <w:r>
              <w:rPr>
                <w:rFonts w:hint="eastAsia"/>
              </w:rPr>
              <w:t>（5）项目建设完成后，对施工场地的废渣及一切废弃物资、设备应及时清理，对工地、料场、取土等地方，使用后应立即恢复原状，完井后井场须平整，做到无油污，无地坑，无三废，确保周围环境无污染。</w:t>
            </w:r>
          </w:p>
          <w:p w14:paraId="17562617">
            <w:pPr>
              <w:pStyle w:val="113"/>
              <w:rPr>
                <w:rFonts w:hint="eastAsia"/>
              </w:rPr>
            </w:pPr>
            <w:r>
              <w:rPr>
                <w:rFonts w:hint="eastAsia"/>
              </w:rPr>
              <w:t>（</w:t>
            </w:r>
            <w:r>
              <w:t>6</w:t>
            </w:r>
            <w:r>
              <w:rPr>
                <w:rFonts w:hint="eastAsia"/>
              </w:rPr>
              <w:t>）做好施工场地的恢复工作，并按相关规定对植被损失进行生态经济补偿。</w:t>
            </w:r>
          </w:p>
          <w:p w14:paraId="5EFFFBB2">
            <w:pPr>
              <w:pStyle w:val="113"/>
              <w:rPr>
                <w:rFonts w:hint="eastAsia"/>
                <w:szCs w:val="21"/>
              </w:rPr>
            </w:pPr>
            <w:r>
              <w:rPr>
                <w:rFonts w:hint="eastAsia"/>
              </w:rPr>
              <w:t>3）对林地的生态保护措施要求</w:t>
            </w:r>
          </w:p>
          <w:p w14:paraId="1D67D679">
            <w:pPr>
              <w:pStyle w:val="113"/>
              <w:rPr>
                <w:rFonts w:hint="eastAsia"/>
              </w:rPr>
            </w:pPr>
            <w:r>
              <w:rPr>
                <w:rFonts w:hint="eastAsia"/>
              </w:rPr>
              <w:t>（1）本项目钻井、施工前，应向当地相关主管部门办理征地手续，按照相关法律法规进行补偿和恢复。</w:t>
            </w:r>
          </w:p>
          <w:p w14:paraId="339BAEA2">
            <w:pPr>
              <w:pStyle w:val="113"/>
              <w:rPr>
                <w:rFonts w:hint="eastAsia"/>
              </w:rPr>
            </w:pPr>
            <w:r>
              <w:rPr>
                <w:rFonts w:hint="eastAsia"/>
              </w:rPr>
              <w:t>（2）本项目在设计选址过程中，尽量避开植被较丰富的区域。对井场、道路临时性占地等合理规划，严格控制占地面积，最大限度减少对植被生存环境的践踏破坏。</w:t>
            </w:r>
          </w:p>
          <w:p w14:paraId="76874C0C">
            <w:pPr>
              <w:pStyle w:val="113"/>
              <w:rPr>
                <w:rFonts w:hint="eastAsia"/>
              </w:rPr>
            </w:pPr>
            <w:r>
              <w:rPr>
                <w:rFonts w:hint="eastAsia"/>
              </w:rPr>
              <w:t>（3）严格控制和管理车辆及重型机械的运行范围，所有车辆采用“一”字形作业法，避免并行开辟新路，以减少对地表植被的破坏。</w:t>
            </w:r>
          </w:p>
          <w:p w14:paraId="3F7D6856">
            <w:pPr>
              <w:pStyle w:val="113"/>
              <w:rPr>
                <w:rFonts w:hint="eastAsia"/>
              </w:rPr>
            </w:pPr>
            <w:r>
              <w:rPr>
                <w:rFonts w:hint="eastAsia"/>
              </w:rPr>
              <w:t>（4）制定严格的施工操作规范，加强对施工人员的宣传和教育，确保各环保设施正常运行，污水进罐、固体废物填埋，避免各种污染物对土壤环境的影响，甚至进一步影响其上部生长的植被。</w:t>
            </w:r>
          </w:p>
          <w:p w14:paraId="49188E5F">
            <w:pPr>
              <w:pStyle w:val="113"/>
              <w:rPr>
                <w:rFonts w:hint="eastAsia"/>
              </w:rPr>
            </w:pPr>
            <w:r>
              <w:rPr>
                <w:rFonts w:hint="eastAsia"/>
              </w:rPr>
              <w:t>（5）强化风险意识，制定切实可行的风险防范与应急预案，最大限度降低风险概率，避免可能发生的油品泄漏事故对荒漠野生植物生存环境造成威胁。</w:t>
            </w:r>
          </w:p>
          <w:p w14:paraId="4E1AB844">
            <w:pPr>
              <w:pStyle w:val="113"/>
              <w:rPr>
                <w:rFonts w:hint="eastAsia"/>
              </w:rPr>
            </w:pPr>
            <w:r>
              <w:t>4</w:t>
            </w:r>
            <w:r>
              <w:rPr>
                <w:rFonts w:hint="eastAsia"/>
              </w:rPr>
              <w:t>）对特殊植被的生态保护措施要求</w:t>
            </w:r>
          </w:p>
          <w:p w14:paraId="721BD5CD">
            <w:pPr>
              <w:pStyle w:val="113"/>
              <w:rPr>
                <w:rFonts w:hint="eastAsia"/>
              </w:rPr>
            </w:pPr>
            <w:r>
              <w:rPr>
                <w:rFonts w:hint="eastAsia"/>
              </w:rPr>
              <w:t>（1）生态避让及保护措施</w:t>
            </w:r>
          </w:p>
          <w:p w14:paraId="30E61628">
            <w:pPr>
              <w:pStyle w:val="113"/>
              <w:rPr>
                <w:rFonts w:hint="eastAsia"/>
              </w:rPr>
            </w:pPr>
            <w:r>
              <w:rPr>
                <w:rFonts w:hint="eastAsia"/>
              </w:rPr>
              <w:t>①避让措施：本项目严格按照征地范围划定施工活动范围，并尽可能缩小施工临时占地及施工作业带宽度，减少对植被的破坏。选址选线过程应在工程许可范围内尽量避让猪毛菜 盐角草 芨芨草等植被分布较多的区域。</w:t>
            </w:r>
          </w:p>
          <w:p w14:paraId="05ECB99A">
            <w:pPr>
              <w:pStyle w:val="113"/>
              <w:rPr>
                <w:rFonts w:hint="eastAsia"/>
              </w:rPr>
            </w:pPr>
            <w:r>
              <w:rPr>
                <w:rFonts w:hint="eastAsia"/>
              </w:rPr>
              <w:t>②减缓措施：严格控制探临道路施工作业带范围，严格控制井场、生活营地等各类工程建设活动在临时占地范围内，不得随意扩大、碾压周边野生植被。尽量缩小施工占地，不得随意开辟道路，减少影响范围；确保各环保设施正常运行，避免各类污染物对土壤环境的影响，防止进一步影响其上部生长的野生植被。</w:t>
            </w:r>
          </w:p>
          <w:p w14:paraId="6598FDD8">
            <w:pPr>
              <w:pStyle w:val="113"/>
              <w:rPr>
                <w:rFonts w:hint="eastAsia"/>
              </w:rPr>
            </w:pPr>
            <w:r>
              <w:rPr>
                <w:rFonts w:hint="eastAsia"/>
              </w:rPr>
              <w:t>③修复措施：完井后施工机械、设备及时撤离，对占地进行清理平整，废水和固体废物全部妥善处置，禁止现场遗留；尽量利用井场及临时道路施工时产生的表层弃土对临时占地进行覆盖，植被主要靠自然恢复。</w:t>
            </w:r>
          </w:p>
          <w:p w14:paraId="394F2A73">
            <w:pPr>
              <w:pStyle w:val="113"/>
              <w:rPr>
                <w:rFonts w:hint="eastAsia"/>
              </w:rPr>
            </w:pPr>
            <w:r>
              <w:rPr>
                <w:rFonts w:hint="eastAsia"/>
              </w:rPr>
              <w:t>④补偿措施：严格按照有关规定办理用地审批手续，并对因项目实施造成的生态损失予以经济补偿，足额缴纳生态经济补偿费，目前建设单位正在办理临时占地手续，临时占地征用时间为2年。</w:t>
            </w:r>
          </w:p>
          <w:p w14:paraId="2D1C5598">
            <w:pPr>
              <w:pStyle w:val="113"/>
              <w:rPr>
                <w:rFonts w:hint="eastAsia"/>
              </w:rPr>
            </w:pPr>
            <w:r>
              <w:rPr>
                <w:rFonts w:hint="eastAsia"/>
              </w:rPr>
              <w:t>⑤管理措施：严格遵守油田环境保护规章制度；严格控制井场占地，严格划定车辆行驶路线及临时道路开拓路线，禁止运输车辆乱碾乱轧；严格规定各类工作人员的活动范围，最大限度减少对植物生存环境的踩踏破坏和对野生动物栖息地的侵扰。加强环境保护宣传工作，提高施工人员环保意识，特别是注意对野生动物和自然植被的保护。</w:t>
            </w:r>
          </w:p>
          <w:p w14:paraId="330C7D90">
            <w:pPr>
              <w:pStyle w:val="113"/>
              <w:rPr>
                <w:rFonts w:hint="eastAsia"/>
              </w:rPr>
            </w:pPr>
            <w:r>
              <w:rPr>
                <w:rFonts w:hint="eastAsia"/>
              </w:rPr>
              <w:t>（2）施工时若发生井喷事故，事故状态对植被的影响主要分为三种途径，一是原油直接粘附于植物体阻断植物的光合作用，使植物枯萎、死亡；二是污染土壤造成的土壤理性化性状变化间接影响植物生长，严重时会导致植物死亡；三是泄漏物质中的轻组分挥发，在对空气环境产生影响的同时，也对周围植物产生影响。</w:t>
            </w:r>
          </w:p>
          <w:p w14:paraId="0139D2E3">
            <w:pPr>
              <w:pStyle w:val="113"/>
              <w:rPr>
                <w:rFonts w:hint="eastAsia"/>
              </w:rPr>
            </w:pPr>
            <w:r>
              <w:rPr>
                <w:rFonts w:hint="eastAsia"/>
              </w:rPr>
              <w:t>发生事故后，及时启动应急疏散预案，在保障安全情况下设置隔离带，井场配备了消防物资，可及时消灭可能引起的火灾；事故后对可能污染的区域进行评估，包括植被和土壤，已受到污染的由有相应处理资质单位转运、处理，污染区土地及植被在事故评估后进行恢复。</w:t>
            </w:r>
          </w:p>
          <w:p w14:paraId="225BEC37">
            <w:pPr>
              <w:pStyle w:val="113"/>
              <w:rPr>
                <w:rFonts w:hint="eastAsia"/>
              </w:rPr>
            </w:pPr>
            <w:r>
              <w:rPr>
                <w:rFonts w:hint="eastAsia"/>
              </w:rPr>
              <w:t>建设单位以及施工钻井队结合行业作业规范，设置有专职安全环保管理人员，采取有效风险防范措施尽量避免事故发生，因此事故状态对周边保护植物的影响不大。</w:t>
            </w:r>
          </w:p>
          <w:p w14:paraId="3B81B1BB">
            <w:pPr>
              <w:pStyle w:val="113"/>
              <w:rPr>
                <w:rFonts w:hint="eastAsia"/>
              </w:rPr>
            </w:pPr>
            <w:r>
              <w:t>5</w:t>
            </w:r>
            <w:r>
              <w:rPr>
                <w:rFonts w:hint="eastAsia"/>
              </w:rPr>
              <w:t>）对野生动物的生态保护措施要求</w:t>
            </w:r>
          </w:p>
          <w:p w14:paraId="798C174D">
            <w:pPr>
              <w:pStyle w:val="113"/>
              <w:rPr>
                <w:rFonts w:hint="eastAsia"/>
              </w:rPr>
            </w:pPr>
            <w:r>
              <w:rPr>
                <w:rFonts w:hint="eastAsia"/>
              </w:rPr>
              <w:t>（</w:t>
            </w:r>
            <w:r>
              <w:t>1</w:t>
            </w:r>
            <w:r>
              <w:rPr>
                <w:rFonts w:hint="eastAsia"/>
              </w:rPr>
              <w:t>）设计选线过程中，最大限度避免破坏野生动物的活动场所和生存环境。</w:t>
            </w:r>
          </w:p>
          <w:p w14:paraId="0E66EEB2">
            <w:pPr>
              <w:pStyle w:val="113"/>
              <w:rPr>
                <w:rFonts w:hint="eastAsia"/>
              </w:rPr>
            </w:pPr>
            <w:r>
              <w:rPr>
                <w:rFonts w:hint="eastAsia"/>
              </w:rPr>
              <w:t>（</w:t>
            </w:r>
            <w:r>
              <w:t>2</w:t>
            </w:r>
            <w:r>
              <w:rPr>
                <w:rFonts w:hint="eastAsia"/>
              </w:rPr>
              <w:t>）评价范围无国家和自治区重点保护野生动物，区域内仅有少量小型野生动物栖息，数量不多，不需要采取特殊的动物保护措施。</w:t>
            </w:r>
          </w:p>
          <w:p w14:paraId="1DDFD0BF">
            <w:pPr>
              <w:pStyle w:val="113"/>
              <w:rPr>
                <w:rFonts w:hint="eastAsia"/>
              </w:rPr>
            </w:pPr>
            <w:r>
              <w:rPr>
                <w:rFonts w:hint="eastAsia"/>
              </w:rPr>
              <w:t>（</w:t>
            </w:r>
            <w:r>
              <w:t>3</w:t>
            </w:r>
            <w:r>
              <w:rPr>
                <w:rFonts w:hint="eastAsia"/>
              </w:rPr>
              <w:t>）为了更好的保护野生动物，建设单位在项目实施过程中要严格规定工作人员的活动范围，使之限于在施工作业区域范围内活动，加强对施工人员野生动物保护意识的教育，严禁捕杀动物、破坏野生动物的栖息环境。</w:t>
            </w:r>
          </w:p>
          <w:p w14:paraId="2E57FE10">
            <w:pPr>
              <w:pStyle w:val="113"/>
              <w:rPr>
                <w:rFonts w:hint="eastAsia"/>
              </w:rPr>
            </w:pPr>
            <w:r>
              <w:rPr>
                <w:rFonts w:hint="eastAsia"/>
              </w:rPr>
              <w:t>（</w:t>
            </w:r>
            <w:r>
              <w:t>4</w:t>
            </w:r>
            <w:r>
              <w:rPr>
                <w:rFonts w:hint="eastAsia"/>
              </w:rPr>
              <w:t>）加强管理，确保各生产设施的正常运行，避免强噪声环境的出现，避免对野生动物的惊扰。</w:t>
            </w:r>
          </w:p>
          <w:p w14:paraId="00BA7B04">
            <w:pPr>
              <w:pStyle w:val="113"/>
              <w:rPr>
                <w:rFonts w:hint="eastAsia"/>
              </w:rPr>
            </w:pPr>
            <w:r>
              <w:t>6</w:t>
            </w:r>
            <w:r>
              <w:rPr>
                <w:rFonts w:hint="eastAsia"/>
              </w:rPr>
              <w:t>）防沙治沙保护措施</w:t>
            </w:r>
          </w:p>
          <w:p w14:paraId="0D0DFBB5">
            <w:pPr>
              <w:pStyle w:val="113"/>
              <w:rPr>
                <w:rFonts w:hint="eastAsia"/>
                <w:bCs/>
                <w:szCs w:val="21"/>
              </w:rPr>
            </w:pPr>
            <w:r>
              <w:rPr>
                <w:rFonts w:hint="eastAsia"/>
                <w:bCs/>
                <w:szCs w:val="21"/>
              </w:rPr>
              <w:t>（1）</w:t>
            </w:r>
            <w:r>
              <w:rPr>
                <w:bCs/>
                <w:szCs w:val="21"/>
              </w:rPr>
              <w:t>防沙治沙内容及措施：</w:t>
            </w:r>
          </w:p>
          <w:p w14:paraId="6C7E0B85">
            <w:pPr>
              <w:pStyle w:val="113"/>
              <w:rPr>
                <w:rFonts w:hint="eastAsia"/>
                <w:bCs/>
                <w:szCs w:val="21"/>
              </w:rPr>
            </w:pPr>
            <w:r>
              <w:rPr>
                <w:rFonts w:hint="eastAsia"/>
                <w:bCs/>
                <w:szCs w:val="21"/>
              </w:rPr>
              <w:t>①</w:t>
            </w:r>
            <w:r>
              <w:rPr>
                <w:bCs/>
                <w:szCs w:val="21"/>
              </w:rPr>
              <w:t>采取的技术规范、标准</w:t>
            </w:r>
          </w:p>
          <w:p w14:paraId="3A8CDE92">
            <w:pPr>
              <w:pStyle w:val="113"/>
              <w:rPr>
                <w:rFonts w:hint="eastAsia"/>
                <w:bCs/>
                <w:szCs w:val="21"/>
              </w:rPr>
            </w:pPr>
            <w:r>
              <w:rPr>
                <w:bCs/>
                <w:szCs w:val="21"/>
              </w:rPr>
              <w:t>a.</w:t>
            </w:r>
            <w:r>
              <w:rPr>
                <w:rFonts w:hint="eastAsia"/>
              </w:rPr>
              <w:t>《中华人民共和国防沙治沙法》（2018年10月26日）</w:t>
            </w:r>
            <w:r>
              <w:rPr>
                <w:bCs/>
                <w:szCs w:val="21"/>
              </w:rPr>
              <w:t>；</w:t>
            </w:r>
          </w:p>
          <w:p w14:paraId="494362D3">
            <w:pPr>
              <w:pStyle w:val="113"/>
              <w:rPr>
                <w:rFonts w:hint="eastAsia"/>
                <w:bCs/>
                <w:szCs w:val="21"/>
              </w:rPr>
            </w:pPr>
            <w:r>
              <w:rPr>
                <w:bCs/>
                <w:szCs w:val="21"/>
              </w:rPr>
              <w:t>b.《关于做好沙区开发建设项目环评中防沙治沙内容评价工作的意见》(林沙发[2013]136号)；</w:t>
            </w:r>
          </w:p>
          <w:p w14:paraId="3933260C">
            <w:pPr>
              <w:pStyle w:val="113"/>
              <w:rPr>
                <w:rFonts w:hint="eastAsia"/>
                <w:bCs/>
                <w:szCs w:val="21"/>
              </w:rPr>
            </w:pPr>
            <w:r>
              <w:rPr>
                <w:bCs/>
                <w:szCs w:val="21"/>
              </w:rPr>
              <w:t>c.《关于加强沙区建设项目环境影响评价工作的通知》（新环环评发[2020]138号）；</w:t>
            </w:r>
          </w:p>
          <w:p w14:paraId="7A477BB0">
            <w:pPr>
              <w:pStyle w:val="113"/>
              <w:rPr>
                <w:rFonts w:hint="eastAsia"/>
                <w:bCs/>
                <w:szCs w:val="21"/>
              </w:rPr>
            </w:pPr>
            <w:r>
              <w:rPr>
                <w:bCs/>
                <w:szCs w:val="21"/>
              </w:rPr>
              <w:t>d.《防沙治沙技术规范》（GB/T 21141-2007）</w:t>
            </w:r>
            <w:r>
              <w:rPr>
                <w:rFonts w:hint="eastAsia"/>
                <w:bCs/>
                <w:szCs w:val="21"/>
              </w:rPr>
              <w:t>。</w:t>
            </w:r>
          </w:p>
          <w:p w14:paraId="23610D45">
            <w:pPr>
              <w:pStyle w:val="113"/>
              <w:rPr>
                <w:rFonts w:hint="eastAsia"/>
                <w:bCs/>
                <w:szCs w:val="21"/>
              </w:rPr>
            </w:pPr>
            <w:r>
              <w:rPr>
                <w:rFonts w:hint="eastAsia"/>
                <w:bCs/>
                <w:szCs w:val="21"/>
              </w:rPr>
              <w:t>（2）</w:t>
            </w:r>
            <w:r>
              <w:rPr>
                <w:bCs/>
                <w:szCs w:val="21"/>
              </w:rPr>
              <w:t>制定方案的原则与目标</w:t>
            </w:r>
          </w:p>
          <w:p w14:paraId="5D46CD22">
            <w:pPr>
              <w:pStyle w:val="113"/>
              <w:rPr>
                <w:rFonts w:hint="eastAsia"/>
                <w:bCs/>
                <w:szCs w:val="21"/>
              </w:rPr>
            </w:pPr>
            <w:r>
              <w:rPr>
                <w:bCs/>
                <w:szCs w:val="21"/>
              </w:rPr>
              <w:t>制定方案的原则：</w:t>
            </w:r>
          </w:p>
          <w:p w14:paraId="00386C9E">
            <w:pPr>
              <w:pStyle w:val="113"/>
              <w:rPr>
                <w:rFonts w:hint="eastAsia"/>
                <w:bCs/>
                <w:szCs w:val="21"/>
              </w:rPr>
            </w:pPr>
            <w:r>
              <w:rPr>
                <w:bCs/>
                <w:szCs w:val="21"/>
              </w:rPr>
              <w:t>①科学性、前瞻性与可行性相结合；②定性目标与定量指标相结合；③注重生态效益与关注民生、发展产业相结合；④节约用水和合理用水相结合；⑤坚持因地制宜的原则。</w:t>
            </w:r>
          </w:p>
          <w:p w14:paraId="0FABA605">
            <w:pPr>
              <w:pStyle w:val="113"/>
              <w:rPr>
                <w:rFonts w:hint="eastAsia"/>
                <w:bCs/>
                <w:szCs w:val="21"/>
              </w:rPr>
            </w:pPr>
            <w:r>
              <w:rPr>
                <w:bCs/>
                <w:szCs w:val="21"/>
              </w:rPr>
              <w:t>制定方案的目标：通过</w:t>
            </w:r>
            <w:r>
              <w:rPr>
                <w:rFonts w:hint="eastAsia"/>
                <w:bCs/>
                <w:szCs w:val="21"/>
              </w:rPr>
              <w:t>项目</w:t>
            </w:r>
            <w:r>
              <w:rPr>
                <w:bCs/>
                <w:szCs w:val="21"/>
              </w:rPr>
              <w:t>建设，维持区域现有植被覆盖度，</w:t>
            </w:r>
            <w:r>
              <w:rPr>
                <w:rFonts w:hint="eastAsia"/>
                <w:bCs/>
                <w:szCs w:val="21"/>
              </w:rPr>
              <w:t>风沙土</w:t>
            </w:r>
            <w:r>
              <w:rPr>
                <w:bCs/>
                <w:szCs w:val="21"/>
              </w:rPr>
              <w:t>扩展趋势得到遏制，区域生态环境</w:t>
            </w:r>
            <w:r>
              <w:rPr>
                <w:rFonts w:hint="eastAsia"/>
                <w:bCs/>
                <w:szCs w:val="21"/>
              </w:rPr>
              <w:t>质量不降低</w:t>
            </w:r>
            <w:r>
              <w:rPr>
                <w:bCs/>
                <w:szCs w:val="21"/>
              </w:rPr>
              <w:t>，</w:t>
            </w:r>
            <w:r>
              <w:rPr>
                <w:rFonts w:hint="eastAsia"/>
                <w:bCs/>
                <w:szCs w:val="21"/>
              </w:rPr>
              <w:t>沙化土地</w:t>
            </w:r>
            <w:r>
              <w:rPr>
                <w:bCs/>
                <w:szCs w:val="21"/>
              </w:rPr>
              <w:t>得到有效保护。</w:t>
            </w:r>
          </w:p>
          <w:p w14:paraId="470CBF45">
            <w:pPr>
              <w:pStyle w:val="113"/>
              <w:rPr>
                <w:rFonts w:hint="eastAsia"/>
                <w:bCs/>
                <w:szCs w:val="21"/>
              </w:rPr>
            </w:pPr>
            <w:r>
              <w:rPr>
                <w:rFonts w:hint="eastAsia"/>
                <w:bCs/>
                <w:szCs w:val="21"/>
              </w:rPr>
              <w:t>（3）工程</w:t>
            </w:r>
            <w:r>
              <w:rPr>
                <w:bCs/>
                <w:szCs w:val="21"/>
              </w:rPr>
              <w:t>措施</w:t>
            </w:r>
          </w:p>
          <w:p w14:paraId="4F129DC7">
            <w:pPr>
              <w:pStyle w:val="113"/>
              <w:rPr>
                <w:rFonts w:hint="eastAsia"/>
                <w:bCs/>
                <w:szCs w:val="21"/>
              </w:rPr>
            </w:pPr>
            <w:r>
              <w:rPr>
                <w:bCs/>
                <w:szCs w:val="21"/>
              </w:rPr>
              <w:t>本项目不涉及物理、化学固沙及其他机械固沙措施。</w:t>
            </w:r>
          </w:p>
          <w:p w14:paraId="183BB3F0">
            <w:pPr>
              <w:pStyle w:val="113"/>
              <w:rPr>
                <w:rFonts w:hint="eastAsia"/>
                <w:bCs/>
                <w:szCs w:val="21"/>
              </w:rPr>
            </w:pPr>
            <w:r>
              <w:rPr>
                <w:rFonts w:hint="eastAsia"/>
                <w:bCs/>
                <w:szCs w:val="21"/>
              </w:rPr>
              <w:t>（4）</w:t>
            </w:r>
            <w:r>
              <w:rPr>
                <w:bCs/>
                <w:szCs w:val="21"/>
              </w:rPr>
              <w:t>植物措施</w:t>
            </w:r>
          </w:p>
          <w:p w14:paraId="4572AD18">
            <w:pPr>
              <w:pStyle w:val="113"/>
              <w:rPr>
                <w:rFonts w:hint="eastAsia"/>
                <w:bCs/>
                <w:szCs w:val="21"/>
              </w:rPr>
            </w:pPr>
            <w:r>
              <w:rPr>
                <w:bCs/>
                <w:szCs w:val="21"/>
              </w:rPr>
              <w:t>①</w:t>
            </w:r>
            <w:r>
              <w:rPr>
                <w:rFonts w:hint="eastAsia"/>
                <w:bCs/>
                <w:szCs w:val="21"/>
              </w:rPr>
              <w:t>项目</w:t>
            </w:r>
            <w:r>
              <w:rPr>
                <w:bCs/>
                <w:szCs w:val="21"/>
              </w:rPr>
              <w:t>施工完毕后的3</w:t>
            </w:r>
            <w:r>
              <w:rPr>
                <w:rFonts w:hint="eastAsia"/>
                <w:bCs/>
                <w:szCs w:val="21"/>
              </w:rPr>
              <w:t>～</w:t>
            </w:r>
            <w:r>
              <w:rPr>
                <w:bCs/>
                <w:szCs w:val="21"/>
              </w:rPr>
              <w:t>5年内90%的区域自然植被可恢复至施工前状态，对于难以恢复的区域应人工辅助恢复；</w:t>
            </w:r>
          </w:p>
          <w:p w14:paraId="5B674051">
            <w:pPr>
              <w:pStyle w:val="113"/>
              <w:rPr>
                <w:rFonts w:hint="eastAsia"/>
                <w:bCs/>
                <w:szCs w:val="21"/>
              </w:rPr>
            </w:pPr>
            <w:r>
              <w:rPr>
                <w:bCs/>
                <w:szCs w:val="21"/>
              </w:rPr>
              <w:t>②施工期临时占地应避开植被覆盖度较高的区域位置，最大限度的减少占地产生的不利影响，减少对土壤的扰动、植被破坏</w:t>
            </w:r>
            <w:r>
              <w:rPr>
                <w:rFonts w:hint="eastAsia"/>
                <w:bCs/>
                <w:szCs w:val="21"/>
              </w:rPr>
              <w:t>；</w:t>
            </w:r>
          </w:p>
          <w:p w14:paraId="231B5206">
            <w:pPr>
              <w:pStyle w:val="113"/>
              <w:rPr>
                <w:rFonts w:hint="eastAsia"/>
                <w:bCs/>
                <w:szCs w:val="21"/>
              </w:rPr>
            </w:pPr>
            <w:r>
              <w:rPr>
                <w:bCs/>
                <w:szCs w:val="21"/>
              </w:rPr>
              <w:t>③植被覆盖度高的区域，</w:t>
            </w:r>
            <w:r>
              <w:rPr>
                <w:rFonts w:hint="eastAsia"/>
                <w:bCs/>
                <w:szCs w:val="21"/>
              </w:rPr>
              <w:t>临时施工时</w:t>
            </w:r>
            <w:r>
              <w:rPr>
                <w:bCs/>
                <w:szCs w:val="21"/>
              </w:rPr>
              <w:t>采取分层开挖、分层回填措施，避免破坏区域土壤肥力。</w:t>
            </w:r>
          </w:p>
          <w:p w14:paraId="6A26678D">
            <w:pPr>
              <w:pStyle w:val="113"/>
              <w:rPr>
                <w:rFonts w:hint="eastAsia"/>
                <w:bCs/>
                <w:szCs w:val="21"/>
              </w:rPr>
            </w:pPr>
            <w:r>
              <w:rPr>
                <w:rFonts w:hint="eastAsia"/>
                <w:bCs/>
                <w:szCs w:val="21"/>
              </w:rPr>
              <w:t>（5）</w:t>
            </w:r>
            <w:r>
              <w:rPr>
                <w:bCs/>
                <w:szCs w:val="21"/>
              </w:rPr>
              <w:t>其他措施</w:t>
            </w:r>
          </w:p>
          <w:p w14:paraId="5E5F6EFA">
            <w:pPr>
              <w:pStyle w:val="113"/>
              <w:rPr>
                <w:rFonts w:hint="eastAsia"/>
                <w:bCs/>
                <w:szCs w:val="21"/>
              </w:rPr>
            </w:pPr>
            <w:r>
              <w:rPr>
                <w:bCs/>
                <w:szCs w:val="21"/>
              </w:rPr>
              <w:t>针对</w:t>
            </w:r>
            <w:r>
              <w:rPr>
                <w:rFonts w:hint="eastAsia"/>
                <w:bCs/>
                <w:szCs w:val="21"/>
              </w:rPr>
              <w:t>钻井</w:t>
            </w:r>
            <w:r>
              <w:rPr>
                <w:bCs/>
                <w:szCs w:val="21"/>
              </w:rPr>
              <w:t>过程，提出如下措施：</w:t>
            </w:r>
          </w:p>
          <w:p w14:paraId="0E315619">
            <w:pPr>
              <w:pStyle w:val="113"/>
              <w:rPr>
                <w:rFonts w:hint="eastAsia"/>
              </w:rPr>
            </w:pPr>
            <w:r>
              <w:rPr>
                <w:bCs/>
                <w:szCs w:val="21"/>
              </w:rPr>
              <w:t>①</w:t>
            </w:r>
            <w:r>
              <w:rPr>
                <w:rFonts w:hint="eastAsia"/>
                <w:bCs/>
                <w:szCs w:val="21"/>
              </w:rPr>
              <w:t>临时占地区域</w:t>
            </w:r>
            <w:r>
              <w:rPr>
                <w:bCs/>
                <w:szCs w:val="21"/>
              </w:rPr>
              <w:t>平整后，采取砾石压盖；</w:t>
            </w:r>
            <w:r>
              <w:rPr>
                <w:rFonts w:hint="eastAsia"/>
                <w:bCs/>
                <w:szCs w:val="21"/>
              </w:rPr>
              <w:t>植被荒漠之地，沙土松动，砾石沙障可以起到固定沙石的作用，用来恢复当地的植被种植。</w:t>
            </w:r>
            <w:r>
              <w:rPr>
                <w:rFonts w:hint="eastAsia"/>
                <w:szCs w:val="21"/>
              </w:rPr>
              <w:t>当植被恢复不畅时，应积极进行人工撒播梭梭草籽、旱季洒水等措施，使恢复后的植被覆盖率不低于区域范围内同类型土地植被覆盖率</w:t>
            </w:r>
            <w:r>
              <w:rPr>
                <w:rFonts w:hint="eastAsia"/>
              </w:rPr>
              <w:t>。</w:t>
            </w:r>
          </w:p>
          <w:p w14:paraId="15C0B86E">
            <w:pPr>
              <w:pStyle w:val="113"/>
              <w:rPr>
                <w:rFonts w:hint="eastAsia"/>
                <w:bCs/>
                <w:szCs w:val="21"/>
              </w:rPr>
            </w:pPr>
            <w:r>
              <w:rPr>
                <w:bCs/>
                <w:szCs w:val="21"/>
              </w:rPr>
              <w:t>②井场位置应根据场地周边植被分布情况，在满足设计要求的前提下进行适当的调整，以减少占地。</w:t>
            </w:r>
          </w:p>
          <w:p w14:paraId="1D70020B">
            <w:pPr>
              <w:pStyle w:val="113"/>
              <w:rPr>
                <w:rFonts w:hint="eastAsia"/>
                <w:bCs/>
                <w:szCs w:val="21"/>
              </w:rPr>
            </w:pPr>
            <w:r>
              <w:rPr>
                <w:rFonts w:hint="eastAsia"/>
                <w:bCs/>
                <w:szCs w:val="21"/>
              </w:rPr>
              <w:t>③施工结束后对占地进行平整，清运现场遗留的污染物，按照正式征地文件的规定对占地进行经济补偿。</w:t>
            </w:r>
          </w:p>
          <w:p w14:paraId="6D0B2EAB">
            <w:pPr>
              <w:pStyle w:val="113"/>
              <w:rPr>
                <w:rFonts w:hint="eastAsia"/>
                <w:bCs/>
                <w:szCs w:val="21"/>
              </w:rPr>
            </w:pPr>
            <w:r>
              <w:rPr>
                <w:rFonts w:hint="eastAsia"/>
                <w:bCs/>
                <w:szCs w:val="21"/>
              </w:rPr>
              <w:t>④严格控制施工活动范围，严禁乱碾乱轧，避免对项目占地范围外的区域造成扰动。</w:t>
            </w:r>
          </w:p>
          <w:p w14:paraId="610A4BAF">
            <w:pPr>
              <w:pStyle w:val="113"/>
              <w:rPr>
                <w:rFonts w:hint="eastAsia"/>
                <w:bCs/>
                <w:szCs w:val="21"/>
              </w:rPr>
            </w:pPr>
            <w:r>
              <w:rPr>
                <w:rFonts w:hint="eastAsia"/>
                <w:bCs/>
                <w:szCs w:val="21"/>
              </w:rPr>
              <w:t>⑤加强对野生植物的保护，严禁破坏占地范围外的自然植被。</w:t>
            </w:r>
          </w:p>
          <w:p w14:paraId="63065243">
            <w:pPr>
              <w:pStyle w:val="113"/>
              <w:rPr>
                <w:rFonts w:hint="eastAsia"/>
                <w:bCs/>
                <w:szCs w:val="21"/>
              </w:rPr>
            </w:pPr>
            <w:r>
              <w:rPr>
                <w:rFonts w:hint="eastAsia"/>
                <w:bCs/>
                <w:szCs w:val="21"/>
              </w:rPr>
              <w:t>⑥优化施工组织，避免在大风天气进行土方作业。</w:t>
            </w:r>
          </w:p>
          <w:p w14:paraId="048EBE71">
            <w:pPr>
              <w:pStyle w:val="113"/>
              <w:rPr>
                <w:rFonts w:hint="eastAsia"/>
                <w:bCs/>
                <w:szCs w:val="21"/>
              </w:rPr>
            </w:pPr>
            <w:r>
              <w:rPr>
                <w:bCs/>
                <w:szCs w:val="21"/>
              </w:rPr>
              <w:t>针对施工机械及运输车辆，提出如下措施：施工期间应划定施工活动范围，严格控制和管理运输车辆及重型机械的运行线路和范围，不得离开运输道路及随意行驶，由专人负责，以防破坏土壤和植被，加剧土地荒漠化。</w:t>
            </w:r>
          </w:p>
          <w:p w14:paraId="732CB051">
            <w:pPr>
              <w:pStyle w:val="113"/>
              <w:rPr>
                <w:rFonts w:hint="eastAsia"/>
                <w:bCs/>
                <w:szCs w:val="21"/>
              </w:rPr>
            </w:pPr>
            <w:r>
              <w:rPr>
                <w:rFonts w:hint="eastAsia"/>
                <w:bCs/>
                <w:szCs w:val="21"/>
              </w:rPr>
              <w:t>（6）</w:t>
            </w:r>
            <w:r>
              <w:rPr>
                <w:bCs/>
                <w:szCs w:val="21"/>
              </w:rPr>
              <w:t>各种措施总量和年度实施计划、完成期限等</w:t>
            </w:r>
          </w:p>
          <w:p w14:paraId="14750745">
            <w:pPr>
              <w:pStyle w:val="113"/>
              <w:rPr>
                <w:rFonts w:hint="eastAsia"/>
                <w:bCs/>
                <w:szCs w:val="21"/>
              </w:rPr>
            </w:pPr>
            <w:r>
              <w:rPr>
                <w:bCs/>
                <w:szCs w:val="21"/>
              </w:rPr>
              <w:t>工程措施、植被措施及其他措施，要求在</w:t>
            </w:r>
            <w:r>
              <w:rPr>
                <w:rFonts w:hint="eastAsia"/>
                <w:bCs/>
                <w:szCs w:val="21"/>
              </w:rPr>
              <w:t>施工后及时</w:t>
            </w:r>
            <w:r>
              <w:rPr>
                <w:bCs/>
                <w:szCs w:val="21"/>
              </w:rPr>
              <w:t>完成，严禁防沙治沙措施未完成即</w:t>
            </w:r>
            <w:r>
              <w:rPr>
                <w:rFonts w:hint="eastAsia"/>
                <w:bCs/>
                <w:szCs w:val="21"/>
              </w:rPr>
              <w:t>验收</w:t>
            </w:r>
            <w:r>
              <w:rPr>
                <w:bCs/>
                <w:szCs w:val="21"/>
              </w:rPr>
              <w:t>。</w:t>
            </w:r>
          </w:p>
          <w:p w14:paraId="68A48EA6">
            <w:pPr>
              <w:pStyle w:val="113"/>
              <w:rPr>
                <w:rFonts w:hint="eastAsia"/>
                <w:bCs/>
                <w:szCs w:val="21"/>
              </w:rPr>
            </w:pPr>
            <w:r>
              <w:rPr>
                <w:rFonts w:hint="eastAsia"/>
                <w:bCs/>
                <w:szCs w:val="21"/>
              </w:rPr>
              <w:t>（</w:t>
            </w:r>
            <w:r>
              <w:rPr>
                <w:bCs/>
                <w:szCs w:val="21"/>
              </w:rPr>
              <w:t>7</w:t>
            </w:r>
            <w:r>
              <w:rPr>
                <w:rFonts w:hint="eastAsia"/>
                <w:bCs/>
                <w:szCs w:val="21"/>
              </w:rPr>
              <w:t>）</w:t>
            </w:r>
            <w:r>
              <w:rPr>
                <w:bCs/>
                <w:szCs w:val="21"/>
              </w:rPr>
              <w:t>方案实施保障措施</w:t>
            </w:r>
          </w:p>
          <w:p w14:paraId="0C015312">
            <w:pPr>
              <w:pStyle w:val="113"/>
              <w:rPr>
                <w:rFonts w:hint="eastAsia"/>
                <w:bCs/>
                <w:szCs w:val="21"/>
              </w:rPr>
            </w:pPr>
            <w:r>
              <w:rPr>
                <w:rFonts w:hint="eastAsia"/>
                <w:bCs/>
                <w:szCs w:val="21"/>
              </w:rPr>
              <w:t>①</w:t>
            </w:r>
            <w:r>
              <w:rPr>
                <w:bCs/>
                <w:szCs w:val="21"/>
              </w:rPr>
              <w:t>组织领导措施</w:t>
            </w:r>
          </w:p>
          <w:p w14:paraId="29DC8812">
            <w:pPr>
              <w:pStyle w:val="113"/>
              <w:rPr>
                <w:rFonts w:hint="eastAsia"/>
                <w:bCs/>
                <w:szCs w:val="21"/>
              </w:rPr>
            </w:pPr>
            <w:r>
              <w:rPr>
                <w:bCs/>
                <w:szCs w:val="21"/>
              </w:rPr>
              <w:t>防沙治沙是维护生态安全，促进经济发展和人与自然和谐相处的重要举措。本项目防沙治沙工程中</w:t>
            </w:r>
            <w:r>
              <w:rPr>
                <w:rFonts w:hint="eastAsia"/>
                <w:bCs/>
                <w:szCs w:val="21"/>
              </w:rPr>
              <w:t>建设单位为</w:t>
            </w:r>
            <w:r>
              <w:rPr>
                <w:bCs/>
                <w:szCs w:val="21"/>
              </w:rPr>
              <w:t>第一责任人，各钻井队、施工队作为措施落实方，属于主要责任人。</w:t>
            </w:r>
            <w:r>
              <w:rPr>
                <w:rFonts w:hint="eastAsia"/>
                <w:bCs/>
                <w:szCs w:val="21"/>
              </w:rPr>
              <w:t>建设单位</w:t>
            </w:r>
            <w:r>
              <w:rPr>
                <w:bCs/>
                <w:szCs w:val="21"/>
              </w:rPr>
              <w:t>应在各钻井队、施工队施工过程中，提出具体的目标及要求，并落实到具体人员。</w:t>
            </w:r>
          </w:p>
          <w:p w14:paraId="0C5CECAA">
            <w:pPr>
              <w:pStyle w:val="113"/>
              <w:rPr>
                <w:rFonts w:hint="eastAsia"/>
                <w:bCs/>
                <w:szCs w:val="21"/>
              </w:rPr>
            </w:pPr>
            <w:r>
              <w:rPr>
                <w:rFonts w:hint="eastAsia"/>
                <w:bCs/>
                <w:szCs w:val="21"/>
              </w:rPr>
              <w:t>②</w:t>
            </w:r>
            <w:r>
              <w:rPr>
                <w:bCs/>
                <w:szCs w:val="21"/>
              </w:rPr>
              <w:t>技术保证措施</w:t>
            </w:r>
          </w:p>
          <w:p w14:paraId="63EFEC3B">
            <w:pPr>
              <w:pStyle w:val="113"/>
              <w:rPr>
                <w:rFonts w:hint="eastAsia"/>
                <w:bCs/>
                <w:szCs w:val="21"/>
              </w:rPr>
            </w:pPr>
            <w:r>
              <w:rPr>
                <w:rFonts w:hint="eastAsia"/>
                <w:bCs/>
                <w:szCs w:val="21"/>
              </w:rPr>
              <w:t>a.</w:t>
            </w:r>
            <w:r>
              <w:rPr>
                <w:bCs/>
                <w:szCs w:val="21"/>
              </w:rPr>
              <w:t>邀请各级</w:t>
            </w:r>
            <w:r>
              <w:rPr>
                <w:rFonts w:hint="eastAsia"/>
                <w:bCs/>
                <w:szCs w:val="21"/>
              </w:rPr>
              <w:t>林草</w:t>
            </w:r>
            <w:r>
              <w:rPr>
                <w:bCs/>
                <w:szCs w:val="21"/>
              </w:rPr>
              <w:t>部门组织开展多层次、多形式的技术培训，加强参与防沙治沙工程的人员的培训工作，使其掌握防沙治沙工程建设、管理的基本技术要求，增强人员主动参与防沙治沙能力和积极性。</w:t>
            </w:r>
          </w:p>
          <w:p w14:paraId="06466F4D">
            <w:pPr>
              <w:pStyle w:val="113"/>
              <w:rPr>
                <w:rFonts w:hint="eastAsia"/>
                <w:bCs/>
                <w:szCs w:val="21"/>
              </w:rPr>
            </w:pPr>
            <w:r>
              <w:rPr>
                <w:rFonts w:hint="eastAsia"/>
                <w:bCs/>
                <w:szCs w:val="21"/>
              </w:rPr>
              <w:t>b.区域</w:t>
            </w:r>
            <w:r>
              <w:rPr>
                <w:bCs/>
                <w:szCs w:val="21"/>
              </w:rPr>
              <w:t>水资源短缺，项目建设的各个环节过程中，加强人员的节水意识，避免铺张浪费，提高水的重复利用性。</w:t>
            </w:r>
          </w:p>
          <w:p w14:paraId="5728849C">
            <w:pPr>
              <w:pStyle w:val="113"/>
              <w:rPr>
                <w:rFonts w:hint="eastAsia"/>
                <w:bCs/>
                <w:szCs w:val="21"/>
              </w:rPr>
            </w:pPr>
            <w:r>
              <w:rPr>
                <w:rFonts w:hint="eastAsia"/>
                <w:bCs/>
                <w:szCs w:val="21"/>
              </w:rPr>
              <w:t>③</w:t>
            </w:r>
            <w:r>
              <w:rPr>
                <w:bCs/>
                <w:szCs w:val="21"/>
              </w:rPr>
              <w:t>防沙治沙措施投资概算及资金筹措情况</w:t>
            </w:r>
          </w:p>
          <w:p w14:paraId="487431E2">
            <w:pPr>
              <w:pStyle w:val="113"/>
              <w:rPr>
                <w:rFonts w:hint="eastAsia"/>
                <w:bCs/>
                <w:szCs w:val="21"/>
              </w:rPr>
            </w:pPr>
            <w:r>
              <w:rPr>
                <w:bCs/>
                <w:szCs w:val="21"/>
              </w:rPr>
              <w:t>本项目防沙治沙措施投资概算预计8万，由</w:t>
            </w:r>
            <w:r>
              <w:rPr>
                <w:rFonts w:hint="eastAsia"/>
                <w:bCs/>
                <w:szCs w:val="21"/>
              </w:rPr>
              <w:t>建设单位</w:t>
            </w:r>
            <w:r>
              <w:rPr>
                <w:bCs/>
                <w:szCs w:val="21"/>
              </w:rPr>
              <w:t>自行筹措。</w:t>
            </w:r>
          </w:p>
          <w:p w14:paraId="2CAA8372">
            <w:pPr>
              <w:pStyle w:val="113"/>
              <w:rPr>
                <w:rFonts w:hint="eastAsia"/>
                <w:bCs/>
                <w:szCs w:val="21"/>
              </w:rPr>
            </w:pPr>
            <w:r>
              <w:rPr>
                <w:rFonts w:hint="eastAsia"/>
                <w:bCs/>
                <w:szCs w:val="21"/>
              </w:rPr>
              <w:t>④</w:t>
            </w:r>
            <w:r>
              <w:rPr>
                <w:bCs/>
                <w:szCs w:val="21"/>
              </w:rPr>
              <w:t>生态、经济效益预测</w:t>
            </w:r>
          </w:p>
          <w:p w14:paraId="248165D0">
            <w:pPr>
              <w:pStyle w:val="113"/>
              <w:rPr>
                <w:rFonts w:hint="eastAsia"/>
              </w:rPr>
            </w:pPr>
            <w:r>
              <w:rPr>
                <w:bCs/>
                <w:szCs w:val="21"/>
              </w:rPr>
              <w:t>本项目防沙治沙措施实施后，预计区域植被覆盖度能维持现状，</w:t>
            </w:r>
            <w:r>
              <w:rPr>
                <w:rFonts w:hint="eastAsia"/>
                <w:bCs/>
                <w:szCs w:val="21"/>
              </w:rPr>
              <w:t>风沙</w:t>
            </w:r>
            <w:r>
              <w:rPr>
                <w:bCs/>
                <w:szCs w:val="21"/>
              </w:rPr>
              <w:t>土地扩展趋势得到一定的遏制，区域生态环境有所改善，</w:t>
            </w:r>
            <w:r>
              <w:rPr>
                <w:rFonts w:hint="eastAsia"/>
                <w:bCs/>
                <w:szCs w:val="21"/>
              </w:rPr>
              <w:t>沙化土地</w:t>
            </w:r>
            <w:r>
              <w:rPr>
                <w:bCs/>
                <w:szCs w:val="21"/>
              </w:rPr>
              <w:t>得到有效保护</w:t>
            </w:r>
            <w:r>
              <w:rPr>
                <w:rFonts w:hint="eastAsia"/>
              </w:rPr>
              <w:t>。</w:t>
            </w:r>
          </w:p>
          <w:p w14:paraId="132B9549">
            <w:pPr>
              <w:pStyle w:val="113"/>
              <w:rPr>
                <w:rFonts w:hint="eastAsia"/>
              </w:rPr>
            </w:pPr>
            <w:r>
              <w:t>7</w:t>
            </w:r>
            <w:r>
              <w:rPr>
                <w:rFonts w:hint="eastAsia"/>
              </w:rPr>
              <w:t>）</w:t>
            </w:r>
            <w:r>
              <w:t>其他生态保护措施要求</w:t>
            </w:r>
          </w:p>
          <w:p w14:paraId="0A0AD841">
            <w:pPr>
              <w:pStyle w:val="113"/>
              <w:rPr>
                <w:rFonts w:hint="eastAsia"/>
              </w:rPr>
            </w:pPr>
            <w:r>
              <w:rPr>
                <w:rFonts w:hint="eastAsia"/>
              </w:rPr>
              <w:t>（1）</w:t>
            </w:r>
            <w:r>
              <w:t>严禁施工人员进行非石油生产的其他活动，如：狩猎、采集动植物等。车辆在有野生动物的地区行驶时，禁鸣喇叭。</w:t>
            </w:r>
          </w:p>
          <w:p w14:paraId="5D16FB12">
            <w:pPr>
              <w:pStyle w:val="113"/>
              <w:rPr>
                <w:rFonts w:hint="eastAsia"/>
              </w:rPr>
            </w:pPr>
            <w:r>
              <w:rPr>
                <w:rFonts w:hint="eastAsia"/>
              </w:rPr>
              <w:t>（2）</w:t>
            </w:r>
            <w:r>
              <w:t>施工期避开大风天气作业，避免风蚀引起的水土流失。</w:t>
            </w:r>
          </w:p>
          <w:p w14:paraId="55AAC9FD">
            <w:pPr>
              <w:pStyle w:val="113"/>
              <w:rPr>
                <w:rFonts w:hint="eastAsia"/>
              </w:rPr>
            </w:pPr>
            <w:r>
              <w:rPr>
                <w:rFonts w:hint="eastAsia"/>
              </w:rPr>
              <w:t>（3）</w:t>
            </w:r>
            <w:r>
              <w:t>施工结束后，恢复地表原状，将施工迹地平整压实，做</w:t>
            </w:r>
            <w:r>
              <w:rPr>
                <w:rFonts w:hint="eastAsia"/>
              </w:rPr>
              <w:t>到</w:t>
            </w:r>
            <w:r>
              <w:t>工完料净场地清，以利于植被的恢复。</w:t>
            </w:r>
          </w:p>
          <w:p w14:paraId="1413D0B2">
            <w:pPr>
              <w:pStyle w:val="113"/>
              <w:rPr>
                <w:rFonts w:hint="eastAsia"/>
                <w:bCs/>
                <w:szCs w:val="21"/>
              </w:rPr>
            </w:pPr>
            <w:r>
              <w:rPr>
                <w:bCs/>
                <w:szCs w:val="21"/>
              </w:rPr>
              <w:t>2</w:t>
            </w:r>
            <w:r>
              <w:rPr>
                <w:rFonts w:hint="eastAsia"/>
                <w:bCs/>
                <w:szCs w:val="21"/>
              </w:rPr>
              <w:t>、本项目生态环境</w:t>
            </w:r>
            <w:r>
              <w:rPr>
                <w:bCs/>
                <w:szCs w:val="21"/>
              </w:rPr>
              <w:t>恢复治理方案</w:t>
            </w:r>
          </w:p>
          <w:p w14:paraId="5739F1B6">
            <w:pPr>
              <w:pStyle w:val="113"/>
              <w:rPr>
                <w:rFonts w:hint="eastAsia"/>
                <w:szCs w:val="21"/>
              </w:rPr>
            </w:pPr>
            <w:r>
              <w:rPr>
                <w:rFonts w:hint="eastAsia"/>
                <w:szCs w:val="21"/>
              </w:rPr>
              <w:t>1）井场生态恢复</w:t>
            </w:r>
          </w:p>
          <w:p w14:paraId="64FAC408">
            <w:pPr>
              <w:pStyle w:val="113"/>
              <w:rPr>
                <w:rFonts w:hint="eastAsia"/>
                <w:szCs w:val="21"/>
              </w:rPr>
            </w:pPr>
            <w:r>
              <w:rPr>
                <w:rFonts w:hint="eastAsia"/>
              </w:rPr>
              <w:t>若勘探过程中未出现油气显示或油气显示不能达到工业开采要求，建设单位将对征121井进行永久封井，探井封井后无永久占地面积，并对井场道路进行生态恢复。</w:t>
            </w:r>
          </w:p>
          <w:p w14:paraId="033F5CD9">
            <w:pPr>
              <w:pStyle w:val="113"/>
              <w:rPr>
                <w:rFonts w:hint="eastAsia"/>
              </w:rPr>
            </w:pPr>
            <w:r>
              <w:rPr>
                <w:rFonts w:hint="eastAsia"/>
              </w:rPr>
              <w:t>首先，完井后施工机械、设备及时撤离，对占地进行清理平整，废水和固体废物全部妥善处置，禁止现场遗留；尽量利用井场及临时道路施工时产生的表层弃土对临时占地进行覆盖，生态恢复范围为本项目临时占地范围，植被恢复方式主要靠自然恢复，当植被恢复不畅时，应积极进行旱季洒水等措施，使恢复后的植被覆盖率不低于区域范围内同类型土地植被覆盖率。</w:t>
            </w:r>
          </w:p>
          <w:p w14:paraId="30D9A090">
            <w:pPr>
              <w:pStyle w:val="113"/>
              <w:rPr>
                <w:rFonts w:hint="eastAsia"/>
              </w:rPr>
            </w:pPr>
            <w:r>
              <w:rPr>
                <w:rFonts w:hint="eastAsia"/>
              </w:rPr>
              <w:t>占用临时占地及时回填、平整、压实，充分利用前期收集的表层土覆盖表层，对临时占地进行植被和景观恢复，与原有地貌和景观协调。</w:t>
            </w:r>
          </w:p>
          <w:p w14:paraId="27F182D7">
            <w:pPr>
              <w:pStyle w:val="113"/>
              <w:rPr>
                <w:rFonts w:hint="eastAsia"/>
                <w:szCs w:val="21"/>
              </w:rPr>
            </w:pPr>
            <w:r>
              <w:rPr>
                <w:szCs w:val="21"/>
              </w:rPr>
              <w:t>2</w:t>
            </w:r>
            <w:r>
              <w:rPr>
                <w:rFonts w:hint="eastAsia"/>
                <w:szCs w:val="21"/>
              </w:rPr>
              <w:t>）地表植被恢复</w:t>
            </w:r>
          </w:p>
          <w:p w14:paraId="77354A5E">
            <w:pPr>
              <w:pStyle w:val="113"/>
              <w:rPr>
                <w:rFonts w:hint="eastAsia"/>
                <w:szCs w:val="21"/>
              </w:rPr>
            </w:pPr>
            <w:r>
              <w:rPr>
                <w:rFonts w:hint="eastAsia"/>
                <w:szCs w:val="21"/>
              </w:rPr>
              <w:t>施工结束后地表植被自然恢复，临时占地内植被在未来3年～5年时间内通过植物生长季节和气象条件等因素进行恢复。恢复后的植被覆盖率不低于区域范围内同类型土地植被覆盖率。</w:t>
            </w:r>
          </w:p>
          <w:p w14:paraId="5272F74D">
            <w:pPr>
              <w:pStyle w:val="113"/>
              <w:rPr>
                <w:rFonts w:hint="eastAsia"/>
                <w:szCs w:val="21"/>
              </w:rPr>
            </w:pPr>
            <w:r>
              <w:rPr>
                <w:szCs w:val="21"/>
              </w:rPr>
              <w:t>3</w:t>
            </w:r>
            <w:r>
              <w:rPr>
                <w:rFonts w:hint="eastAsia"/>
                <w:szCs w:val="21"/>
              </w:rPr>
              <w:t>）防风固沙措施</w:t>
            </w:r>
          </w:p>
          <w:p w14:paraId="1F862841">
            <w:pPr>
              <w:pStyle w:val="113"/>
              <w:rPr>
                <w:rFonts w:hint="eastAsia"/>
              </w:rPr>
            </w:pPr>
            <w:r>
              <w:t>（1）施工中严格控制作业区范围，临时占地避开植被生长较好的区域，施工人员不得随意破坏植被</w:t>
            </w:r>
            <w:r>
              <w:rPr>
                <w:rFonts w:hint="eastAsia"/>
              </w:rPr>
              <w:t>；</w:t>
            </w:r>
          </w:p>
          <w:p w14:paraId="78C312F0">
            <w:pPr>
              <w:pStyle w:val="113"/>
              <w:rPr>
                <w:rFonts w:hint="eastAsia"/>
              </w:rPr>
            </w:pPr>
            <w:r>
              <w:t>（2）减少施工便道修筑，施工便道宽度控制在红线范围内，严禁车辆随意行驶，规范车辆行驶路线</w:t>
            </w:r>
            <w:r>
              <w:rPr>
                <w:rFonts w:hint="eastAsia"/>
              </w:rPr>
              <w:t>；</w:t>
            </w:r>
          </w:p>
          <w:p w14:paraId="6EBA6C68">
            <w:pPr>
              <w:pStyle w:val="113"/>
              <w:rPr>
                <w:rFonts w:hint="eastAsia"/>
              </w:rPr>
            </w:pPr>
            <w:r>
              <w:t>（3）临时施工场所、施工机械行走路线应设置在无植被或少植被区域</w:t>
            </w:r>
            <w:r>
              <w:rPr>
                <w:rFonts w:hint="eastAsia"/>
              </w:rPr>
              <w:t>；</w:t>
            </w:r>
          </w:p>
          <w:p w14:paraId="00DDCF4A">
            <w:pPr>
              <w:pStyle w:val="113"/>
              <w:rPr>
                <w:rFonts w:hint="eastAsia"/>
              </w:rPr>
            </w:pPr>
            <w:r>
              <w:t>（4）在施工过程中需加强管理，严禁不按操作规程野蛮施工</w:t>
            </w:r>
            <w:r>
              <w:rPr>
                <w:rFonts w:hint="eastAsia"/>
              </w:rPr>
              <w:t>；</w:t>
            </w:r>
          </w:p>
          <w:p w14:paraId="586606F3">
            <w:pPr>
              <w:pStyle w:val="113"/>
              <w:rPr>
                <w:rFonts w:hint="eastAsia"/>
              </w:rPr>
            </w:pPr>
            <w:r>
              <w:t>（5）施工后期对施工迹地进行平整，保持一定的粗糙度，利于植被自然恢复。在工程施工保护措施的同时开展防沙治沙人为参与治理方式</w:t>
            </w:r>
            <w:r>
              <w:rPr>
                <w:rFonts w:hint="eastAsia"/>
              </w:rPr>
              <w:t>。</w:t>
            </w:r>
          </w:p>
          <w:p w14:paraId="5D25738A">
            <w:pPr>
              <w:pStyle w:val="113"/>
              <w:rPr>
                <w:rFonts w:hint="eastAsia"/>
                <w:szCs w:val="21"/>
              </w:rPr>
            </w:pPr>
            <w:r>
              <w:t>工程施工结束后</w:t>
            </w:r>
            <w:r>
              <w:rPr>
                <w:rFonts w:hint="eastAsia"/>
              </w:rPr>
              <w:t>进行土地复垦</w:t>
            </w:r>
            <w:r>
              <w:t>。对于恢复状态不好且易发生沙化的地段，根据实际情况对地表进行人工固沙处理</w:t>
            </w:r>
            <w:r>
              <w:rPr>
                <w:rFonts w:hint="eastAsia"/>
                <w:szCs w:val="21"/>
              </w:rPr>
              <w:t>。</w:t>
            </w:r>
          </w:p>
          <w:p w14:paraId="00CE6395">
            <w:pPr>
              <w:pStyle w:val="113"/>
              <w:rPr>
                <w:rFonts w:hint="eastAsia"/>
                <w:szCs w:val="21"/>
              </w:rPr>
            </w:pPr>
            <w:r>
              <w:rPr>
                <w:szCs w:val="21"/>
              </w:rPr>
              <w:t>4</w:t>
            </w:r>
            <w:r>
              <w:rPr>
                <w:rFonts w:hint="eastAsia"/>
                <w:szCs w:val="21"/>
              </w:rPr>
              <w:t>）水土流失防治</w:t>
            </w:r>
          </w:p>
          <w:p w14:paraId="08CEF491">
            <w:pPr>
              <w:pStyle w:val="113"/>
              <w:rPr>
                <w:rFonts w:hint="eastAsia"/>
              </w:rPr>
            </w:pPr>
            <w:r>
              <w:rPr>
                <w:rFonts w:hint="eastAsia"/>
                <w:szCs w:val="21"/>
              </w:rPr>
              <w:t>本项目施工时，首先要特别注意保护地表与植被，划定施工活动范围，严格控制和管理车辆及重型机械的行驶范围，所有车辆采用“一”字形作业法，避免并行开辟新路，以减少风蚀沙化活动的范围；</w:t>
            </w:r>
            <w:r>
              <w:t>占地范围内的土壤进行</w:t>
            </w:r>
            <w:r>
              <w:rPr>
                <w:rFonts w:hint="eastAsia"/>
              </w:rPr>
              <w:t>表土</w:t>
            </w:r>
            <w:r>
              <w:t>剥离，单独堆放</w:t>
            </w:r>
            <w:r>
              <w:rPr>
                <w:rFonts w:hint="eastAsia"/>
              </w:rPr>
              <w:t>，</w:t>
            </w:r>
            <w:r>
              <w:t>表土采用就近堆放的原则进行临时堆放，</w:t>
            </w:r>
            <w:r>
              <w:rPr>
                <w:rFonts w:hint="eastAsia"/>
              </w:rPr>
              <w:t>并采取临时</w:t>
            </w:r>
            <w:r>
              <w:t>防护措施，</w:t>
            </w:r>
            <w:r>
              <w:rPr>
                <w:rFonts w:hint="eastAsia"/>
              </w:rPr>
              <w:t>可有效减少</w:t>
            </w:r>
            <w:r>
              <w:t>水土流失。完钻</w:t>
            </w:r>
            <w:r>
              <w:rPr>
                <w:rFonts w:hint="eastAsia"/>
              </w:rPr>
              <w:t>后</w:t>
            </w:r>
            <w:r>
              <w:t>表土用于</w:t>
            </w:r>
            <w:r>
              <w:rPr>
                <w:rFonts w:hint="eastAsia"/>
              </w:rPr>
              <w:t>土壤改良，同时</w:t>
            </w:r>
            <w:r>
              <w:t>对临时</w:t>
            </w:r>
            <w:r>
              <w:rPr>
                <w:rFonts w:hint="eastAsia"/>
              </w:rPr>
              <w:t>表土</w:t>
            </w:r>
            <w:r>
              <w:t>堆放场进行</w:t>
            </w:r>
            <w:r>
              <w:rPr>
                <w:rFonts w:hint="eastAsia"/>
              </w:rPr>
              <w:t>恢复地貌；井场</w:t>
            </w:r>
            <w:r>
              <w:t>工程施工期采用机械碾压的方式，使井场地面硬化，减少土壤流失量</w:t>
            </w:r>
            <w:r>
              <w:rPr>
                <w:rFonts w:hint="eastAsia"/>
              </w:rPr>
              <w:t>。</w:t>
            </w:r>
          </w:p>
          <w:p w14:paraId="06892351">
            <w:pPr>
              <w:pStyle w:val="113"/>
              <w:rPr>
                <w:rFonts w:hint="eastAsia"/>
                <w:szCs w:val="21"/>
              </w:rPr>
            </w:pPr>
            <w:r>
              <w:rPr>
                <w:rFonts w:hint="eastAsia"/>
                <w:szCs w:val="21"/>
              </w:rPr>
              <w:t>施工中严格按照施工占地要求，划定适宜的堆料场。路基修筑开挖等作业避免在大风天施工；严格按规划的施工范围进行施工作业，不得随意开辟施工便道，采取</w:t>
            </w:r>
            <w:r>
              <w:t>土工布遮盖</w:t>
            </w:r>
            <w:r>
              <w:rPr>
                <w:rFonts w:hint="eastAsia"/>
              </w:rPr>
              <w:t>、</w:t>
            </w:r>
            <w:r>
              <w:t>四周</w:t>
            </w:r>
            <w:r>
              <w:rPr>
                <w:rFonts w:hint="eastAsia"/>
              </w:rPr>
              <w:t>拦挡</w:t>
            </w:r>
            <w:r>
              <w:t>和</w:t>
            </w:r>
            <w:r>
              <w:rPr>
                <w:rFonts w:hint="eastAsia"/>
              </w:rPr>
              <w:t>修建临时</w:t>
            </w:r>
            <w:r>
              <w:t>排水沟</w:t>
            </w:r>
            <w:r>
              <w:rPr>
                <w:rFonts w:hint="eastAsia"/>
              </w:rPr>
              <w:t>等临时</w:t>
            </w:r>
            <w:r>
              <w:t>防护措施，有效防止雨水冲刷</w:t>
            </w:r>
            <w:r>
              <w:rPr>
                <w:rFonts w:hint="eastAsia"/>
                <w:szCs w:val="21"/>
              </w:rPr>
              <w:t>。施工车辆不得随意驶离便道。施工后期，及时做好施工后期的土地复垦工作，包括土地平整，创造局部小环境以利于植被的恢复等。建设单位在保证做到以上措施的情况下，对防止风沙流动、促进生态环境的恢复会起到良好作用，可将水土流失的程度降低到最小限度。</w:t>
            </w:r>
          </w:p>
          <w:p w14:paraId="561C81BA">
            <w:pPr>
              <w:pStyle w:val="113"/>
              <w:rPr>
                <w:rFonts w:hint="eastAsia"/>
                <w:szCs w:val="21"/>
              </w:rPr>
            </w:pPr>
            <w:r>
              <w:rPr>
                <w:szCs w:val="21"/>
              </w:rPr>
              <w:t>5</w:t>
            </w:r>
            <w:r>
              <w:rPr>
                <w:rFonts w:hint="eastAsia"/>
                <w:szCs w:val="21"/>
              </w:rPr>
              <w:t>）保障措施</w:t>
            </w:r>
          </w:p>
          <w:p w14:paraId="1EA98D9C">
            <w:pPr>
              <w:pStyle w:val="113"/>
              <w:rPr>
                <w:rFonts w:hint="eastAsia"/>
                <w:szCs w:val="21"/>
              </w:rPr>
            </w:pPr>
            <w:r>
              <w:rPr>
                <w:rFonts w:hint="eastAsia"/>
                <w:szCs w:val="21"/>
              </w:rPr>
              <w:t>（1）组织领导</w:t>
            </w:r>
          </w:p>
          <w:p w14:paraId="69AA4AF9">
            <w:pPr>
              <w:pStyle w:val="113"/>
              <w:rPr>
                <w:rFonts w:hint="eastAsia"/>
                <w:szCs w:val="21"/>
              </w:rPr>
            </w:pPr>
            <w:r>
              <w:rPr>
                <w:rFonts w:hint="eastAsia"/>
                <w:szCs w:val="21"/>
              </w:rPr>
              <w:t>项目场地应成立专门的环境保护行动领导小组，由一名项目班组长专门负责环保行动的顺利有序进行，对项目区环境保护设备加以保护和检修，以保证其正常运行。</w:t>
            </w:r>
          </w:p>
          <w:p w14:paraId="450B203A">
            <w:pPr>
              <w:pStyle w:val="113"/>
              <w:rPr>
                <w:rFonts w:hint="eastAsia"/>
                <w:szCs w:val="21"/>
              </w:rPr>
            </w:pPr>
            <w:r>
              <w:rPr>
                <w:rFonts w:hint="eastAsia"/>
                <w:szCs w:val="21"/>
              </w:rPr>
              <w:t>（2）资金保障</w:t>
            </w:r>
          </w:p>
          <w:p w14:paraId="56E02EE1">
            <w:pPr>
              <w:pStyle w:val="113"/>
              <w:rPr>
                <w:rFonts w:hint="eastAsia"/>
                <w:szCs w:val="21"/>
              </w:rPr>
            </w:pPr>
            <w:r>
              <w:rPr>
                <w:rFonts w:hint="eastAsia"/>
                <w:szCs w:val="21"/>
              </w:rPr>
              <w:t>从项目总投资中设立环保专用资金，用于迹地恢复、水土保持以及各项环境保护处理措施的顺利进行。一定做到专款专用，保证环保资金用于环境保护行动中，禁止挪用环保专用资金。</w:t>
            </w:r>
          </w:p>
          <w:p w14:paraId="71735776">
            <w:pPr>
              <w:pStyle w:val="113"/>
              <w:rPr>
                <w:rFonts w:hint="eastAsia"/>
                <w:szCs w:val="21"/>
              </w:rPr>
            </w:pPr>
            <w:r>
              <w:rPr>
                <w:rFonts w:hint="eastAsia"/>
                <w:szCs w:val="21"/>
              </w:rPr>
              <w:t>（3）宣传教育</w:t>
            </w:r>
          </w:p>
          <w:p w14:paraId="70EF2F05">
            <w:pPr>
              <w:pStyle w:val="113"/>
              <w:rPr>
                <w:rFonts w:hint="eastAsia"/>
                <w:szCs w:val="21"/>
              </w:rPr>
            </w:pPr>
            <w:r>
              <w:rPr>
                <w:rFonts w:hint="eastAsia"/>
                <w:szCs w:val="21"/>
              </w:rPr>
              <w:t>加强对施工人员的宣传教育力度，使其懂得环境保护的重要性，能够养成良好的习惯，积极主动加入到环境保护的行列。</w:t>
            </w:r>
          </w:p>
          <w:p w14:paraId="22EBB50D">
            <w:pPr>
              <w:pStyle w:val="113"/>
              <w:rPr>
                <w:rFonts w:hint="eastAsia"/>
                <w:szCs w:val="21"/>
              </w:rPr>
            </w:pPr>
            <w:r>
              <w:rPr>
                <w:szCs w:val="21"/>
              </w:rPr>
              <w:t>6</w:t>
            </w:r>
            <w:r>
              <w:rPr>
                <w:rFonts w:hint="eastAsia"/>
                <w:szCs w:val="21"/>
              </w:rPr>
              <w:t>）小结</w:t>
            </w:r>
          </w:p>
          <w:p w14:paraId="478D6C4B">
            <w:pPr>
              <w:pStyle w:val="113"/>
              <w:rPr>
                <w:rFonts w:hint="eastAsia"/>
                <w:szCs w:val="21"/>
              </w:rPr>
            </w:pPr>
            <w:r>
              <w:rPr>
                <w:rFonts w:hint="eastAsia"/>
                <w:szCs w:val="21"/>
              </w:rPr>
              <w:t>本项目生态恢复治理措施全面实施后，破坏的植被可逐步恢复，可有效的吸滞粉尘，净化空气，提高环境空气质量，还可防风固沙，减少水土流失、减少土壤水分蒸发，改善土地利用状况。总之，通过实施生态恢复治理措施，本项目的污染被减小，局部生态环境得到改善和恢复。</w:t>
            </w:r>
          </w:p>
          <w:p w14:paraId="17805868">
            <w:pPr>
              <w:pStyle w:val="3"/>
              <w:ind w:firstLine="420"/>
              <w:rPr>
                <w:rFonts w:hint="eastAsia"/>
                <w:bCs/>
                <w:sz w:val="21"/>
                <w:szCs w:val="21"/>
              </w:rPr>
            </w:pPr>
            <w:r>
              <w:rPr>
                <w:rFonts w:hint="eastAsia"/>
                <w:bCs/>
                <w:sz w:val="21"/>
                <w:szCs w:val="21"/>
              </w:rPr>
              <w:t>3、大气环境保护措施</w:t>
            </w:r>
          </w:p>
          <w:p w14:paraId="31CC5B7C">
            <w:pPr>
              <w:pStyle w:val="112"/>
              <w:ind w:firstLine="420"/>
              <w:rPr>
                <w:rFonts w:hint="eastAsia"/>
              </w:rPr>
            </w:pPr>
            <w:r>
              <w:rPr>
                <w:rFonts w:hint="eastAsia"/>
              </w:rPr>
              <w:t>本项目在施工期对环境空气的影响主要为：钻井期和试油期柴油机燃烧烟气、伴生气燃放废气、汽车尾气以及施工扬尘。</w:t>
            </w:r>
          </w:p>
          <w:p w14:paraId="07DE6563">
            <w:pPr>
              <w:pStyle w:val="112"/>
              <w:ind w:firstLine="420"/>
              <w:rPr>
                <w:rFonts w:hint="eastAsia"/>
              </w:rPr>
            </w:pPr>
            <w:r>
              <w:rPr>
                <w:rFonts w:hint="eastAsia"/>
              </w:rPr>
              <w:t>1）柴油机烟气和汽车尾气的影响分析</w:t>
            </w:r>
          </w:p>
          <w:p w14:paraId="79E4496C">
            <w:pPr>
              <w:pStyle w:val="112"/>
              <w:ind w:firstLine="420"/>
              <w:rPr>
                <w:rFonts w:hint="eastAsia"/>
              </w:rPr>
            </w:pPr>
            <w:r>
              <w:rPr>
                <w:rFonts w:hint="eastAsia"/>
              </w:rPr>
              <w:t>项目施工、试油过程中均使用符合国家标准的燃料，提高效率，减少污染物排放，项目施工、试油期较短，且周边地域空旷，扩散条件良好。施工、试油期废气排放时段较为集中，且属于阶段性排放源，随项目工程的结束影响随之结束，对周围环境影响较小。</w:t>
            </w:r>
          </w:p>
          <w:p w14:paraId="45E1B8DC">
            <w:pPr>
              <w:pStyle w:val="112"/>
              <w:ind w:firstLine="420"/>
              <w:rPr>
                <w:rFonts w:hint="eastAsia"/>
              </w:rPr>
            </w:pPr>
            <w:r>
              <w:rPr>
                <w:rFonts w:hint="eastAsia"/>
              </w:rPr>
              <w:t>2）伴生气燃放废气的影响分析</w:t>
            </w:r>
          </w:p>
          <w:p w14:paraId="7F7D96E0">
            <w:pPr>
              <w:pStyle w:val="112"/>
              <w:ind w:firstLine="420"/>
              <w:rPr>
                <w:rFonts w:hint="eastAsia"/>
              </w:rPr>
            </w:pPr>
            <w:r>
              <w:rPr>
                <w:rFonts w:hint="eastAsia"/>
              </w:rPr>
              <w:t>本工程试油期，伴生气经过液气分离后通过放喷池点火排放，属于阶段性排放，随着试油的结束而停止排放。伴生气燃放属短时偶发工况，且伴生气为天然气，燃烧后污染物较少，对环境影响小。</w:t>
            </w:r>
          </w:p>
          <w:p w14:paraId="1012101B">
            <w:pPr>
              <w:pStyle w:val="112"/>
              <w:ind w:firstLine="420"/>
              <w:rPr>
                <w:rFonts w:hint="eastAsia"/>
              </w:rPr>
            </w:pPr>
            <w:r>
              <w:rPr>
                <w:rFonts w:hint="eastAsia"/>
              </w:rPr>
              <w:t>3）扬尘的影响分析</w:t>
            </w:r>
          </w:p>
          <w:p w14:paraId="200091AF">
            <w:pPr>
              <w:pStyle w:val="3"/>
              <w:ind w:firstLine="420"/>
              <w:rPr>
                <w:rFonts w:hint="eastAsia"/>
                <w:sz w:val="21"/>
                <w:szCs w:val="21"/>
              </w:rPr>
            </w:pPr>
            <w:r>
              <w:rPr>
                <w:rFonts w:hint="eastAsia"/>
                <w:sz w:val="21"/>
                <w:szCs w:val="21"/>
              </w:rPr>
              <w:t>项目施工过程中，车辆运输及井场基础建设均会产生扬尘污染，施工现场采取洒水、围挡措施，物料集中堆放采取遮盖，车辆不要装载过满并采取密闭或者遮盖等措施后可以有效的抑制扬尘，对周围环境影响较小。</w:t>
            </w:r>
          </w:p>
          <w:p w14:paraId="50E1B10D">
            <w:pPr>
              <w:pStyle w:val="112"/>
              <w:ind w:firstLine="420"/>
              <w:rPr>
                <w:rFonts w:hint="eastAsia"/>
              </w:rPr>
            </w:pPr>
            <w:r>
              <w:rPr>
                <w:rFonts w:hint="eastAsia"/>
              </w:rPr>
              <w:t>4）锅炉废气污染防治措施</w:t>
            </w:r>
          </w:p>
          <w:p w14:paraId="7D522EB0">
            <w:pPr>
              <w:pStyle w:val="3"/>
              <w:spacing w:line="332" w:lineRule="auto"/>
              <w:ind w:firstLine="420"/>
              <w:rPr>
                <w:rFonts w:hint="eastAsia"/>
                <w:sz w:val="21"/>
                <w:szCs w:val="21"/>
                <w:highlight w:val="yellow"/>
              </w:rPr>
            </w:pPr>
            <w:r>
              <w:rPr>
                <w:rFonts w:hint="eastAsia"/>
                <w:bCs/>
                <w:sz w:val="21"/>
                <w:szCs w:val="21"/>
              </w:rPr>
              <w:t>本项目在冬季施工期间临时设置1台2.5t/h的生物质蒸汽锅炉。废气经低氮燃烧+SNCR炉内脱硝+袋式除尘+脱硫塔脱硫工艺处理后由1根15m高内径0.27m排气筒排放。低氮燃烧+SNCR炉内脱硝NO</w:t>
            </w:r>
            <w:r>
              <w:rPr>
                <w:rFonts w:hint="eastAsia"/>
                <w:bCs/>
                <w:sz w:val="21"/>
                <w:szCs w:val="21"/>
                <w:vertAlign w:val="subscript"/>
              </w:rPr>
              <w:t>X</w:t>
            </w:r>
            <w:r>
              <w:rPr>
                <w:rFonts w:hint="eastAsia"/>
                <w:bCs/>
                <w:sz w:val="21"/>
                <w:szCs w:val="21"/>
              </w:rPr>
              <w:t>去除率可达45.4%，袋式除尘器颗粒物去除效率可达99.7%，脱硫塔脱硫效率可达90%，废气经处理后达到</w:t>
            </w:r>
            <w:r>
              <w:rPr>
                <w:rFonts w:hint="eastAsia"/>
                <w:sz w:val="21"/>
                <w:szCs w:val="21"/>
              </w:rPr>
              <w:t>《锅炉大气污染物排放标准》（GB 13271-2014）表2中燃气锅炉大气污染物排放限值要求达标排放。</w:t>
            </w:r>
          </w:p>
          <w:p w14:paraId="54D61683">
            <w:pPr>
              <w:pStyle w:val="3"/>
              <w:ind w:firstLine="420"/>
              <w:rPr>
                <w:rFonts w:hint="eastAsia"/>
                <w:sz w:val="21"/>
                <w:szCs w:val="21"/>
              </w:rPr>
            </w:pPr>
            <w:r>
              <w:rPr>
                <w:rFonts w:hint="eastAsia"/>
                <w:sz w:val="21"/>
                <w:szCs w:val="21"/>
              </w:rPr>
              <w:t>5）环保措施可行性分析</w:t>
            </w:r>
          </w:p>
          <w:p w14:paraId="342A941B">
            <w:pPr>
              <w:pStyle w:val="113"/>
              <w:rPr>
                <w:rFonts w:hint="eastAsia"/>
                <w:szCs w:val="21"/>
              </w:rPr>
            </w:pPr>
            <w:r>
              <w:rPr>
                <w:rFonts w:hint="eastAsia"/>
              </w:rPr>
              <w:t>施工期大气环境保护措施经济技术可行性分析详见</w:t>
            </w:r>
            <w:r>
              <w:fldChar w:fldCharType="begin"/>
            </w:r>
            <w:r>
              <w:instrText xml:space="preserve"> REF _Ref177564195 \h  \* MERGEFORMAT </w:instrText>
            </w:r>
            <w:r>
              <w:fldChar w:fldCharType="separate"/>
            </w:r>
            <w:r>
              <w:rPr>
                <w:rFonts w:hint="eastAsia"/>
              </w:rPr>
              <w:t>表44</w:t>
            </w:r>
            <w:r>
              <w:fldChar w:fldCharType="end"/>
            </w:r>
            <w:r>
              <w:rPr>
                <w:rFonts w:hint="eastAsia"/>
              </w:rPr>
              <w:t>。</w:t>
            </w:r>
          </w:p>
          <w:p w14:paraId="60809497">
            <w:pPr>
              <w:pStyle w:val="100"/>
              <w:spacing w:before="120" w:beforeLines="50" w:line="360" w:lineRule="auto"/>
              <w:rPr>
                <w:rFonts w:hint="eastAsia"/>
              </w:rPr>
            </w:pPr>
            <w:bookmarkStart w:id="68" w:name="_Ref177564195"/>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44</w:t>
            </w:r>
            <w:r>
              <w:fldChar w:fldCharType="end"/>
            </w:r>
            <w:bookmarkEnd w:id="68"/>
            <w:r>
              <w:t xml:space="preserve">  </w:t>
            </w:r>
            <w:r>
              <w:rPr>
                <w:rFonts w:hint="eastAsia"/>
              </w:rPr>
              <w:t>大气环境保护措施经济技术可行性分析一览表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1"/>
              <w:gridCol w:w="596"/>
              <w:gridCol w:w="1922"/>
              <w:gridCol w:w="1103"/>
              <w:gridCol w:w="979"/>
              <w:gridCol w:w="1673"/>
              <w:gridCol w:w="661"/>
            </w:tblGrid>
            <w:tr w14:paraId="2DA3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gridSpan w:val="2"/>
                  <w:vMerge w:val="restart"/>
                  <w:tcBorders>
                    <w:top w:val="single" w:color="auto" w:sz="4" w:space="0"/>
                    <w:left w:val="single" w:color="auto" w:sz="4" w:space="0"/>
                    <w:bottom w:val="single" w:color="auto" w:sz="4" w:space="0"/>
                    <w:right w:val="single" w:color="auto" w:sz="4" w:space="0"/>
                  </w:tcBorders>
                  <w:vAlign w:val="center"/>
                </w:tcPr>
                <w:p w14:paraId="3FD15B51">
                  <w:pPr>
                    <w:pStyle w:val="116"/>
                  </w:pPr>
                  <w:r>
                    <w:rPr>
                      <w:rFonts w:hint="eastAsia"/>
                    </w:rPr>
                    <w:t>类型</w:t>
                  </w:r>
                </w:p>
              </w:tc>
              <w:tc>
                <w:tcPr>
                  <w:tcW w:w="2650" w:type="pct"/>
                  <w:gridSpan w:val="3"/>
                  <w:tcBorders>
                    <w:top w:val="single" w:color="auto" w:sz="4" w:space="0"/>
                    <w:left w:val="nil"/>
                    <w:bottom w:val="single" w:color="auto" w:sz="4" w:space="0"/>
                    <w:right w:val="single" w:color="auto" w:sz="4" w:space="0"/>
                  </w:tcBorders>
                  <w:vAlign w:val="center"/>
                </w:tcPr>
                <w:p w14:paraId="5DA912EF">
                  <w:pPr>
                    <w:pStyle w:val="116"/>
                  </w:pPr>
                  <w:r>
                    <w:rPr>
                      <w:rFonts w:hint="eastAsia"/>
                    </w:rPr>
                    <w:t>环保措施</w:t>
                  </w:r>
                </w:p>
              </w:tc>
              <w:tc>
                <w:tcPr>
                  <w:tcW w:w="1107" w:type="pct"/>
                  <w:vMerge w:val="restart"/>
                  <w:tcBorders>
                    <w:top w:val="single" w:color="auto" w:sz="4" w:space="0"/>
                    <w:left w:val="nil"/>
                    <w:bottom w:val="single" w:color="auto" w:sz="4" w:space="0"/>
                    <w:right w:val="single" w:color="auto" w:sz="4" w:space="0"/>
                  </w:tcBorders>
                  <w:vAlign w:val="center"/>
                </w:tcPr>
                <w:p w14:paraId="3A4832DE">
                  <w:pPr>
                    <w:pStyle w:val="116"/>
                  </w:pPr>
                  <w:r>
                    <w:rPr>
                      <w:rFonts w:hint="eastAsia"/>
                    </w:rPr>
                    <w:t>治理效果</w:t>
                  </w:r>
                </w:p>
              </w:tc>
              <w:tc>
                <w:tcPr>
                  <w:tcW w:w="438" w:type="pct"/>
                  <w:vMerge w:val="restart"/>
                  <w:tcBorders>
                    <w:top w:val="single" w:color="auto" w:sz="4" w:space="0"/>
                    <w:left w:val="nil"/>
                    <w:bottom w:val="single" w:color="auto" w:sz="4" w:space="0"/>
                    <w:right w:val="single" w:color="auto" w:sz="4" w:space="0"/>
                  </w:tcBorders>
                  <w:vAlign w:val="center"/>
                </w:tcPr>
                <w:p w14:paraId="7ED43288">
                  <w:pPr>
                    <w:pStyle w:val="116"/>
                  </w:pPr>
                  <w:r>
                    <w:rPr>
                      <w:rFonts w:hint="eastAsia"/>
                    </w:rPr>
                    <w:t>是否可行</w:t>
                  </w:r>
                </w:p>
              </w:tc>
            </w:tr>
            <w:tr w14:paraId="2F7F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8" w:type="dxa"/>
                  <w:gridSpan w:val="2"/>
                  <w:vMerge w:val="continue"/>
                  <w:tcBorders>
                    <w:top w:val="single" w:color="auto" w:sz="4" w:space="0"/>
                    <w:left w:val="single" w:color="auto" w:sz="4" w:space="0"/>
                    <w:bottom w:val="single" w:color="auto" w:sz="4" w:space="0"/>
                    <w:right w:val="single" w:color="auto" w:sz="4" w:space="0"/>
                  </w:tcBorders>
                  <w:vAlign w:val="center"/>
                </w:tcPr>
                <w:p w14:paraId="73B18E20">
                  <w:pPr>
                    <w:widowControl/>
                    <w:jc w:val="left"/>
                    <w:rPr>
                      <w:rFonts w:hint="eastAsia" w:ascii="宋体" w:hAnsi="宋体"/>
                      <w:szCs w:val="21"/>
                    </w:rPr>
                  </w:pPr>
                </w:p>
              </w:tc>
              <w:tc>
                <w:tcPr>
                  <w:tcW w:w="1272" w:type="pct"/>
                  <w:tcBorders>
                    <w:top w:val="single" w:color="auto" w:sz="4" w:space="0"/>
                    <w:left w:val="nil"/>
                    <w:bottom w:val="single" w:color="auto" w:sz="4" w:space="0"/>
                    <w:right w:val="single" w:color="auto" w:sz="4" w:space="0"/>
                  </w:tcBorders>
                  <w:vAlign w:val="center"/>
                </w:tcPr>
                <w:p w14:paraId="7DA66280">
                  <w:pPr>
                    <w:pStyle w:val="116"/>
                  </w:pPr>
                  <w:r>
                    <w:rPr>
                      <w:rFonts w:hint="eastAsia"/>
                    </w:rPr>
                    <w:t>内容</w:t>
                  </w:r>
                </w:p>
              </w:tc>
              <w:tc>
                <w:tcPr>
                  <w:tcW w:w="730" w:type="pct"/>
                  <w:tcBorders>
                    <w:top w:val="single" w:color="auto" w:sz="4" w:space="0"/>
                    <w:left w:val="nil"/>
                    <w:bottom w:val="single" w:color="auto" w:sz="4" w:space="0"/>
                    <w:right w:val="single" w:color="auto" w:sz="4" w:space="0"/>
                  </w:tcBorders>
                  <w:vAlign w:val="center"/>
                </w:tcPr>
                <w:p w14:paraId="731DB285">
                  <w:pPr>
                    <w:pStyle w:val="116"/>
                  </w:pPr>
                  <w:r>
                    <w:rPr>
                      <w:rFonts w:hint="eastAsia"/>
                    </w:rPr>
                    <w:t>技术论证</w:t>
                  </w:r>
                </w:p>
              </w:tc>
              <w:tc>
                <w:tcPr>
                  <w:tcW w:w="646" w:type="pct"/>
                  <w:tcBorders>
                    <w:top w:val="single" w:color="auto" w:sz="4" w:space="0"/>
                    <w:left w:val="nil"/>
                    <w:bottom w:val="single" w:color="auto" w:sz="4" w:space="0"/>
                    <w:right w:val="single" w:color="auto" w:sz="4" w:space="0"/>
                  </w:tcBorders>
                  <w:vAlign w:val="center"/>
                </w:tcPr>
                <w:p w14:paraId="5556996B">
                  <w:pPr>
                    <w:pStyle w:val="116"/>
                  </w:pPr>
                  <w:r>
                    <w:rPr>
                      <w:rFonts w:hint="eastAsia"/>
                    </w:rPr>
                    <w:t>经济论证</w:t>
                  </w:r>
                </w:p>
              </w:tc>
              <w:tc>
                <w:tcPr>
                  <w:tcW w:w="1672" w:type="dxa"/>
                  <w:vMerge w:val="continue"/>
                  <w:tcBorders>
                    <w:top w:val="single" w:color="auto" w:sz="4" w:space="0"/>
                    <w:left w:val="nil"/>
                    <w:bottom w:val="single" w:color="auto" w:sz="4" w:space="0"/>
                    <w:right w:val="single" w:color="auto" w:sz="4" w:space="0"/>
                  </w:tcBorders>
                  <w:vAlign w:val="center"/>
                </w:tcPr>
                <w:p w14:paraId="76487682">
                  <w:pPr>
                    <w:widowControl/>
                    <w:jc w:val="left"/>
                    <w:rPr>
                      <w:rFonts w:hint="eastAsia" w:ascii="宋体" w:hAnsi="宋体"/>
                      <w:szCs w:val="21"/>
                    </w:rPr>
                  </w:pPr>
                </w:p>
              </w:tc>
              <w:tc>
                <w:tcPr>
                  <w:tcW w:w="660" w:type="dxa"/>
                  <w:vMerge w:val="continue"/>
                  <w:tcBorders>
                    <w:top w:val="single" w:color="auto" w:sz="4" w:space="0"/>
                    <w:left w:val="nil"/>
                    <w:bottom w:val="single" w:color="auto" w:sz="4" w:space="0"/>
                    <w:right w:val="single" w:color="auto" w:sz="4" w:space="0"/>
                  </w:tcBorders>
                  <w:vAlign w:val="center"/>
                </w:tcPr>
                <w:p w14:paraId="54F754DB">
                  <w:pPr>
                    <w:widowControl/>
                    <w:jc w:val="left"/>
                    <w:rPr>
                      <w:rFonts w:hint="eastAsia" w:ascii="宋体" w:hAnsi="宋体"/>
                      <w:szCs w:val="21"/>
                    </w:rPr>
                  </w:pPr>
                </w:p>
              </w:tc>
            </w:tr>
            <w:tr w14:paraId="1592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1" w:type="pct"/>
                  <w:vMerge w:val="restart"/>
                  <w:tcBorders>
                    <w:top w:val="nil"/>
                    <w:left w:val="single" w:color="auto" w:sz="4" w:space="0"/>
                    <w:bottom w:val="single" w:color="auto" w:sz="4" w:space="0"/>
                    <w:right w:val="single" w:color="auto" w:sz="4" w:space="0"/>
                  </w:tcBorders>
                  <w:vAlign w:val="center"/>
                </w:tcPr>
                <w:p w14:paraId="41607EA7">
                  <w:pPr>
                    <w:pStyle w:val="116"/>
                  </w:pPr>
                  <w:r>
                    <w:rPr>
                      <w:rFonts w:hint="eastAsia"/>
                    </w:rPr>
                    <w:t>施工废气</w:t>
                  </w:r>
                </w:p>
              </w:tc>
              <w:tc>
                <w:tcPr>
                  <w:tcW w:w="393" w:type="pct"/>
                  <w:tcBorders>
                    <w:top w:val="single" w:color="auto" w:sz="4" w:space="0"/>
                    <w:left w:val="nil"/>
                    <w:bottom w:val="single" w:color="auto" w:sz="4" w:space="0"/>
                    <w:right w:val="single" w:color="auto" w:sz="4" w:space="0"/>
                  </w:tcBorders>
                  <w:vAlign w:val="center"/>
                </w:tcPr>
                <w:p w14:paraId="2DE7A22A">
                  <w:pPr>
                    <w:pStyle w:val="116"/>
                  </w:pPr>
                  <w:r>
                    <w:rPr>
                      <w:rFonts w:hint="eastAsia"/>
                    </w:rPr>
                    <w:t>施工扬尘</w:t>
                  </w:r>
                </w:p>
              </w:tc>
              <w:tc>
                <w:tcPr>
                  <w:tcW w:w="1272" w:type="pct"/>
                  <w:tcBorders>
                    <w:top w:val="single" w:color="auto" w:sz="4" w:space="0"/>
                    <w:left w:val="nil"/>
                    <w:bottom w:val="single" w:color="auto" w:sz="4" w:space="0"/>
                    <w:right w:val="single" w:color="auto" w:sz="4" w:space="0"/>
                  </w:tcBorders>
                  <w:vAlign w:val="center"/>
                </w:tcPr>
                <w:p w14:paraId="2A44E267">
                  <w:pPr>
                    <w:pStyle w:val="116"/>
                  </w:pPr>
                  <w:r>
                    <w:rPr>
                      <w:rFonts w:hint="eastAsia"/>
                    </w:rPr>
                    <w:t>①原材料运输、堆放要求遮盖；及时清理场地上弃渣料，采取加盖防尘网、洒水抑尘；②加强施工管理，尽可能缩短施工周期</w:t>
                  </w:r>
                </w:p>
              </w:tc>
              <w:tc>
                <w:tcPr>
                  <w:tcW w:w="730" w:type="pct"/>
                  <w:vMerge w:val="restart"/>
                  <w:tcBorders>
                    <w:top w:val="nil"/>
                    <w:left w:val="nil"/>
                    <w:bottom w:val="single" w:color="auto" w:sz="4" w:space="0"/>
                    <w:right w:val="single" w:color="auto" w:sz="4" w:space="0"/>
                  </w:tcBorders>
                  <w:vAlign w:val="center"/>
                </w:tcPr>
                <w:p w14:paraId="2FAE4549">
                  <w:pPr>
                    <w:pStyle w:val="116"/>
                  </w:pPr>
                  <w:r>
                    <w:rPr>
                      <w:rFonts w:hint="eastAsia"/>
                    </w:rPr>
                    <w:t>施工现场所在地较空旷，有利于污染物扩散，同时废气污染源具有间歇性和流动性</w:t>
                  </w:r>
                </w:p>
              </w:tc>
              <w:tc>
                <w:tcPr>
                  <w:tcW w:w="646" w:type="pct"/>
                  <w:tcBorders>
                    <w:top w:val="single" w:color="auto" w:sz="4" w:space="0"/>
                    <w:left w:val="nil"/>
                    <w:bottom w:val="single" w:color="auto" w:sz="4" w:space="0"/>
                    <w:right w:val="single" w:color="auto" w:sz="4" w:space="0"/>
                  </w:tcBorders>
                  <w:vAlign w:val="center"/>
                </w:tcPr>
                <w:p w14:paraId="4BA4E061">
                  <w:pPr>
                    <w:pStyle w:val="116"/>
                  </w:pPr>
                  <w:r>
                    <w:rPr>
                      <w:rFonts w:hint="eastAsia"/>
                    </w:rPr>
                    <w:t>投资较少</w:t>
                  </w:r>
                </w:p>
              </w:tc>
              <w:tc>
                <w:tcPr>
                  <w:tcW w:w="1106" w:type="pct"/>
                  <w:tcBorders>
                    <w:top w:val="single" w:color="auto" w:sz="4" w:space="0"/>
                    <w:left w:val="nil"/>
                    <w:bottom w:val="single" w:color="auto" w:sz="4" w:space="0"/>
                    <w:right w:val="single" w:color="auto" w:sz="4" w:space="0"/>
                  </w:tcBorders>
                  <w:vAlign w:val="center"/>
                </w:tcPr>
                <w:p w14:paraId="0F40C16F">
                  <w:pPr>
                    <w:pStyle w:val="116"/>
                  </w:pPr>
                  <w:r>
                    <w:rPr>
                      <w:rFonts w:hint="eastAsia"/>
                    </w:rPr>
                    <w:t>施工场地无大量起尘</w:t>
                  </w:r>
                </w:p>
              </w:tc>
              <w:tc>
                <w:tcPr>
                  <w:tcW w:w="438" w:type="pct"/>
                  <w:tcBorders>
                    <w:top w:val="single" w:color="auto" w:sz="4" w:space="0"/>
                    <w:left w:val="nil"/>
                    <w:bottom w:val="single" w:color="auto" w:sz="4" w:space="0"/>
                    <w:right w:val="single" w:color="auto" w:sz="4" w:space="0"/>
                  </w:tcBorders>
                  <w:vAlign w:val="center"/>
                </w:tcPr>
                <w:p w14:paraId="42496AC8">
                  <w:pPr>
                    <w:pStyle w:val="116"/>
                  </w:pPr>
                  <w:r>
                    <w:rPr>
                      <w:rFonts w:hint="eastAsia"/>
                    </w:rPr>
                    <w:t>可行</w:t>
                  </w:r>
                </w:p>
              </w:tc>
            </w:tr>
            <w:tr w14:paraId="4A68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1" w:type="dxa"/>
                  <w:vMerge w:val="continue"/>
                  <w:tcBorders>
                    <w:top w:val="nil"/>
                    <w:left w:val="single" w:color="auto" w:sz="4" w:space="0"/>
                    <w:bottom w:val="single" w:color="auto" w:sz="4" w:space="0"/>
                    <w:right w:val="single" w:color="auto" w:sz="4" w:space="0"/>
                  </w:tcBorders>
                  <w:vAlign w:val="center"/>
                </w:tcPr>
                <w:p w14:paraId="2BC5C688">
                  <w:pPr>
                    <w:widowControl/>
                    <w:jc w:val="left"/>
                    <w:rPr>
                      <w:rFonts w:hint="eastAsia" w:ascii="宋体" w:hAnsi="宋体"/>
                      <w:szCs w:val="21"/>
                    </w:rPr>
                  </w:pPr>
                </w:p>
              </w:tc>
              <w:tc>
                <w:tcPr>
                  <w:tcW w:w="393" w:type="pct"/>
                  <w:tcBorders>
                    <w:top w:val="single" w:color="auto" w:sz="4" w:space="0"/>
                    <w:left w:val="nil"/>
                    <w:bottom w:val="single" w:color="auto" w:sz="4" w:space="0"/>
                    <w:right w:val="single" w:color="auto" w:sz="4" w:space="0"/>
                  </w:tcBorders>
                  <w:vAlign w:val="center"/>
                </w:tcPr>
                <w:p w14:paraId="5D5E1BE8">
                  <w:pPr>
                    <w:pStyle w:val="116"/>
                  </w:pPr>
                  <w:r>
                    <w:rPr>
                      <w:rFonts w:hint="eastAsia"/>
                    </w:rPr>
                    <w:t>机械尾气</w:t>
                  </w:r>
                </w:p>
              </w:tc>
              <w:tc>
                <w:tcPr>
                  <w:tcW w:w="1272" w:type="pct"/>
                  <w:tcBorders>
                    <w:top w:val="single" w:color="auto" w:sz="4" w:space="0"/>
                    <w:left w:val="nil"/>
                    <w:bottom w:val="single" w:color="auto" w:sz="4" w:space="0"/>
                    <w:right w:val="single" w:color="auto" w:sz="4" w:space="0"/>
                  </w:tcBorders>
                  <w:vAlign w:val="center"/>
                </w:tcPr>
                <w:p w14:paraId="7E617E93">
                  <w:pPr>
                    <w:pStyle w:val="116"/>
                  </w:pPr>
                  <w:r>
                    <w:rPr>
                      <w:rFonts w:hint="eastAsia"/>
                    </w:rPr>
                    <w:t>①选择技术先进、尾气排放达标的动力机械设备，主要是优良发动机；②选择符合国家要求的燃油指标</w:t>
                  </w:r>
                </w:p>
              </w:tc>
              <w:tc>
                <w:tcPr>
                  <w:tcW w:w="1103" w:type="dxa"/>
                  <w:vMerge w:val="continue"/>
                  <w:tcBorders>
                    <w:top w:val="nil"/>
                    <w:left w:val="nil"/>
                    <w:bottom w:val="single" w:color="auto" w:sz="4" w:space="0"/>
                    <w:right w:val="single" w:color="auto" w:sz="4" w:space="0"/>
                  </w:tcBorders>
                  <w:vAlign w:val="center"/>
                </w:tcPr>
                <w:p w14:paraId="7D41D1CC">
                  <w:pPr>
                    <w:widowControl/>
                    <w:jc w:val="left"/>
                    <w:rPr>
                      <w:rFonts w:hint="eastAsia" w:ascii="宋体" w:hAnsi="宋体"/>
                      <w:szCs w:val="21"/>
                    </w:rPr>
                  </w:pPr>
                </w:p>
              </w:tc>
              <w:tc>
                <w:tcPr>
                  <w:tcW w:w="646" w:type="pct"/>
                  <w:tcBorders>
                    <w:top w:val="single" w:color="auto" w:sz="4" w:space="0"/>
                    <w:left w:val="nil"/>
                    <w:bottom w:val="single" w:color="auto" w:sz="4" w:space="0"/>
                    <w:right w:val="single" w:color="auto" w:sz="4" w:space="0"/>
                  </w:tcBorders>
                  <w:vAlign w:val="center"/>
                </w:tcPr>
                <w:p w14:paraId="611A7DD0">
                  <w:pPr>
                    <w:pStyle w:val="116"/>
                  </w:pPr>
                  <w:r>
                    <w:rPr>
                      <w:rFonts w:hint="eastAsia"/>
                    </w:rPr>
                    <w:t>/</w:t>
                  </w:r>
                </w:p>
              </w:tc>
              <w:tc>
                <w:tcPr>
                  <w:tcW w:w="1106" w:type="pct"/>
                  <w:tcBorders>
                    <w:top w:val="single" w:color="auto" w:sz="4" w:space="0"/>
                    <w:left w:val="nil"/>
                    <w:bottom w:val="single" w:color="auto" w:sz="4" w:space="0"/>
                    <w:right w:val="single" w:color="auto" w:sz="4" w:space="0"/>
                  </w:tcBorders>
                  <w:vAlign w:val="center"/>
                </w:tcPr>
                <w:p w14:paraId="50597465">
                  <w:pPr>
                    <w:pStyle w:val="116"/>
                  </w:pPr>
                  <w:r>
                    <w:rPr>
                      <w:rFonts w:hint="eastAsia"/>
                    </w:rPr>
                    <w:t>柴油发动机参照《大气污染物综合排放标准》（GB 16297-1996）表2中标准</w:t>
                  </w:r>
                </w:p>
              </w:tc>
              <w:tc>
                <w:tcPr>
                  <w:tcW w:w="438" w:type="pct"/>
                  <w:tcBorders>
                    <w:top w:val="single" w:color="auto" w:sz="4" w:space="0"/>
                    <w:left w:val="nil"/>
                    <w:bottom w:val="single" w:color="auto" w:sz="4" w:space="0"/>
                    <w:right w:val="single" w:color="auto" w:sz="4" w:space="0"/>
                  </w:tcBorders>
                  <w:vAlign w:val="center"/>
                </w:tcPr>
                <w:p w14:paraId="12D32CBF">
                  <w:pPr>
                    <w:pStyle w:val="116"/>
                  </w:pPr>
                  <w:r>
                    <w:rPr>
                      <w:rFonts w:hint="eastAsia"/>
                    </w:rPr>
                    <w:t>可行</w:t>
                  </w:r>
                </w:p>
              </w:tc>
            </w:tr>
            <w:tr w14:paraId="394B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 w:type="pct"/>
                  <w:gridSpan w:val="2"/>
                  <w:tcBorders>
                    <w:top w:val="single" w:color="auto" w:sz="4" w:space="0"/>
                    <w:left w:val="single" w:color="auto" w:sz="4" w:space="0"/>
                    <w:bottom w:val="single" w:color="auto" w:sz="4" w:space="0"/>
                    <w:right w:val="single" w:color="auto" w:sz="4" w:space="0"/>
                  </w:tcBorders>
                  <w:vAlign w:val="center"/>
                </w:tcPr>
                <w:p w14:paraId="20EAEBD6">
                  <w:pPr>
                    <w:pStyle w:val="116"/>
                  </w:pPr>
                  <w:r>
                    <w:rPr>
                      <w:rFonts w:hint="eastAsia"/>
                    </w:rPr>
                    <w:t>伴生气燃放废气</w:t>
                  </w:r>
                </w:p>
              </w:tc>
              <w:tc>
                <w:tcPr>
                  <w:tcW w:w="1272" w:type="pct"/>
                  <w:tcBorders>
                    <w:top w:val="single" w:color="auto" w:sz="4" w:space="0"/>
                    <w:left w:val="nil"/>
                    <w:bottom w:val="single" w:color="auto" w:sz="4" w:space="0"/>
                    <w:right w:val="single" w:color="auto" w:sz="4" w:space="0"/>
                  </w:tcBorders>
                  <w:vAlign w:val="center"/>
                </w:tcPr>
                <w:p w14:paraId="6F662F4E">
                  <w:pPr>
                    <w:pStyle w:val="116"/>
                  </w:pPr>
                  <w:r>
                    <w:rPr>
                      <w:rFonts w:hint="eastAsia"/>
                    </w:rPr>
                    <w:t>伴生气经过液气分离后通过放喷池点火排放</w:t>
                  </w:r>
                </w:p>
              </w:tc>
              <w:tc>
                <w:tcPr>
                  <w:tcW w:w="730" w:type="pct"/>
                  <w:tcBorders>
                    <w:top w:val="single" w:color="auto" w:sz="4" w:space="0"/>
                    <w:left w:val="nil"/>
                    <w:bottom w:val="single" w:color="auto" w:sz="4" w:space="0"/>
                    <w:right w:val="single" w:color="auto" w:sz="4" w:space="0"/>
                  </w:tcBorders>
                  <w:vAlign w:val="center"/>
                </w:tcPr>
                <w:p w14:paraId="3E31B6E0">
                  <w:pPr>
                    <w:pStyle w:val="116"/>
                  </w:pPr>
                  <w:r>
                    <w:rPr>
                      <w:rFonts w:hint="eastAsia"/>
                    </w:rPr>
                    <w:t>伴生气燃放属短时偶发工况，且伴生气为天然气，燃烧后污染物较少</w:t>
                  </w:r>
                </w:p>
              </w:tc>
              <w:tc>
                <w:tcPr>
                  <w:tcW w:w="646" w:type="pct"/>
                  <w:tcBorders>
                    <w:top w:val="single" w:color="auto" w:sz="4" w:space="0"/>
                    <w:left w:val="nil"/>
                    <w:bottom w:val="single" w:color="auto" w:sz="4" w:space="0"/>
                    <w:right w:val="single" w:color="auto" w:sz="4" w:space="0"/>
                  </w:tcBorders>
                  <w:vAlign w:val="center"/>
                </w:tcPr>
                <w:p w14:paraId="14418CD0">
                  <w:pPr>
                    <w:pStyle w:val="116"/>
                  </w:pPr>
                  <w:r>
                    <w:rPr>
                      <w:rFonts w:hint="eastAsia"/>
                    </w:rPr>
                    <w:t>/</w:t>
                  </w:r>
                </w:p>
              </w:tc>
              <w:tc>
                <w:tcPr>
                  <w:tcW w:w="1106" w:type="pct"/>
                  <w:tcBorders>
                    <w:top w:val="single" w:color="auto" w:sz="4" w:space="0"/>
                    <w:left w:val="nil"/>
                    <w:bottom w:val="single" w:color="auto" w:sz="4" w:space="0"/>
                    <w:right w:val="single" w:color="auto" w:sz="4" w:space="0"/>
                  </w:tcBorders>
                  <w:vAlign w:val="center"/>
                </w:tcPr>
                <w:p w14:paraId="31C3CE72">
                  <w:pPr>
                    <w:pStyle w:val="116"/>
                  </w:pPr>
                  <w:r>
                    <w:rPr>
                      <w:rFonts w:hint="eastAsia"/>
                    </w:rPr>
                    <w:t>伴生气安全燃放，施工结束后停止，对周边环境影响小</w:t>
                  </w:r>
                </w:p>
              </w:tc>
              <w:tc>
                <w:tcPr>
                  <w:tcW w:w="438" w:type="pct"/>
                  <w:tcBorders>
                    <w:top w:val="single" w:color="auto" w:sz="4" w:space="0"/>
                    <w:left w:val="nil"/>
                    <w:bottom w:val="single" w:color="auto" w:sz="4" w:space="0"/>
                    <w:right w:val="single" w:color="auto" w:sz="4" w:space="0"/>
                  </w:tcBorders>
                  <w:vAlign w:val="center"/>
                </w:tcPr>
                <w:p w14:paraId="3FD3BECF">
                  <w:pPr>
                    <w:pStyle w:val="116"/>
                  </w:pPr>
                  <w:r>
                    <w:rPr>
                      <w:rFonts w:hint="eastAsia"/>
                    </w:rPr>
                    <w:t>可行</w:t>
                  </w:r>
                </w:p>
              </w:tc>
            </w:tr>
            <w:tr w14:paraId="040C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8" w:type="dxa"/>
                  <w:gridSpan w:val="2"/>
                  <w:tcBorders>
                    <w:top w:val="single" w:color="auto" w:sz="4" w:space="0"/>
                    <w:left w:val="single" w:color="auto" w:sz="4" w:space="0"/>
                    <w:bottom w:val="single" w:color="auto" w:sz="4" w:space="0"/>
                    <w:right w:val="single" w:color="auto" w:sz="4" w:space="0"/>
                  </w:tcBorders>
                  <w:vAlign w:val="center"/>
                </w:tcPr>
                <w:p w14:paraId="3092D750">
                  <w:pPr>
                    <w:pStyle w:val="116"/>
                  </w:pPr>
                  <w:r>
                    <w:rPr>
                      <w:rFonts w:hint="eastAsia" w:hAnsi="宋体"/>
                      <w:lang w:eastAsia="en-US"/>
                    </w:rPr>
                    <w:t>锅炉废气</w:t>
                  </w:r>
                </w:p>
              </w:tc>
              <w:tc>
                <w:tcPr>
                  <w:tcW w:w="1922" w:type="dxa"/>
                  <w:tcBorders>
                    <w:top w:val="single" w:color="auto" w:sz="4" w:space="0"/>
                    <w:left w:val="nil"/>
                    <w:bottom w:val="single" w:color="auto" w:sz="4" w:space="0"/>
                    <w:right w:val="single" w:color="auto" w:sz="4" w:space="0"/>
                  </w:tcBorders>
                  <w:vAlign w:val="center"/>
                </w:tcPr>
                <w:p w14:paraId="0C5AEC6F">
                  <w:pPr>
                    <w:pStyle w:val="116"/>
                  </w:pPr>
                  <w:r>
                    <w:rPr>
                      <w:rFonts w:hint="eastAsia" w:hAnsi="宋体"/>
                    </w:rPr>
                    <w:t>废气经低氮燃烧+SNCR炉内脱硝+袋式除尘+脱硫塔脱硫工艺处理后由1根15m高内径0.27m排气筒排放</w:t>
                  </w:r>
                </w:p>
              </w:tc>
              <w:tc>
                <w:tcPr>
                  <w:tcW w:w="1103" w:type="dxa"/>
                  <w:tcBorders>
                    <w:top w:val="single" w:color="auto" w:sz="4" w:space="0"/>
                    <w:left w:val="nil"/>
                    <w:bottom w:val="single" w:color="auto" w:sz="4" w:space="0"/>
                    <w:right w:val="single" w:color="auto" w:sz="4" w:space="0"/>
                  </w:tcBorders>
                  <w:vAlign w:val="center"/>
                </w:tcPr>
                <w:p w14:paraId="172D2609">
                  <w:pPr>
                    <w:pStyle w:val="116"/>
                  </w:pPr>
                  <w:r>
                    <w:rPr>
                      <w:rFonts w:hint="eastAsia" w:hAnsi="宋体"/>
                    </w:rPr>
                    <w:t>脱硫、脱硝、除尘措施技术成熟，处理效率有保障</w:t>
                  </w:r>
                </w:p>
              </w:tc>
              <w:tc>
                <w:tcPr>
                  <w:tcW w:w="979" w:type="dxa"/>
                  <w:tcBorders>
                    <w:top w:val="single" w:color="auto" w:sz="4" w:space="0"/>
                    <w:left w:val="nil"/>
                    <w:bottom w:val="single" w:color="auto" w:sz="4" w:space="0"/>
                    <w:right w:val="single" w:color="auto" w:sz="4" w:space="0"/>
                  </w:tcBorders>
                  <w:vAlign w:val="center"/>
                </w:tcPr>
                <w:p w14:paraId="3A18D43A">
                  <w:pPr>
                    <w:pStyle w:val="116"/>
                  </w:pPr>
                  <w:r>
                    <w:rPr>
                      <w:rFonts w:hint="eastAsia" w:hAnsi="宋体"/>
                      <w:lang w:eastAsia="en-US"/>
                    </w:rPr>
                    <w:t>投资较少</w:t>
                  </w:r>
                </w:p>
              </w:tc>
              <w:tc>
                <w:tcPr>
                  <w:tcW w:w="1672" w:type="dxa"/>
                  <w:tcBorders>
                    <w:top w:val="single" w:color="auto" w:sz="4" w:space="0"/>
                    <w:left w:val="nil"/>
                    <w:bottom w:val="single" w:color="auto" w:sz="4" w:space="0"/>
                    <w:right w:val="single" w:color="auto" w:sz="4" w:space="0"/>
                  </w:tcBorders>
                  <w:vAlign w:val="center"/>
                </w:tcPr>
                <w:p w14:paraId="65928E4F">
                  <w:pPr>
                    <w:pStyle w:val="116"/>
                  </w:pPr>
                  <w:r>
                    <w:rPr>
                      <w:rFonts w:hint="eastAsia" w:hAnsi="宋体"/>
                    </w:rPr>
                    <w:t>废气达到《锅炉大气污染物排放标准》（GB 13271-2014）表2中燃气锅炉大气污染物排放限值要求</w:t>
                  </w:r>
                </w:p>
              </w:tc>
              <w:tc>
                <w:tcPr>
                  <w:tcW w:w="660" w:type="dxa"/>
                  <w:tcBorders>
                    <w:top w:val="single" w:color="auto" w:sz="4" w:space="0"/>
                    <w:left w:val="nil"/>
                    <w:bottom w:val="single" w:color="auto" w:sz="4" w:space="0"/>
                    <w:right w:val="single" w:color="auto" w:sz="4" w:space="0"/>
                  </w:tcBorders>
                  <w:vAlign w:val="center"/>
                </w:tcPr>
                <w:p w14:paraId="426A535A">
                  <w:pPr>
                    <w:pStyle w:val="116"/>
                  </w:pPr>
                  <w:r>
                    <w:rPr>
                      <w:rFonts w:hint="eastAsia" w:hAnsi="宋体"/>
                    </w:rPr>
                    <w:t>可行</w:t>
                  </w:r>
                </w:p>
              </w:tc>
            </w:tr>
          </w:tbl>
          <w:p w14:paraId="6D588C87">
            <w:pPr>
              <w:pStyle w:val="3"/>
              <w:ind w:firstLine="420"/>
              <w:rPr>
                <w:rFonts w:hint="eastAsia"/>
                <w:bCs/>
                <w:sz w:val="21"/>
                <w:szCs w:val="21"/>
              </w:rPr>
            </w:pPr>
          </w:p>
          <w:p w14:paraId="7913FEF7">
            <w:pPr>
              <w:pStyle w:val="3"/>
              <w:ind w:firstLine="420"/>
              <w:rPr>
                <w:rFonts w:hint="eastAsia"/>
                <w:bCs/>
                <w:sz w:val="21"/>
                <w:szCs w:val="21"/>
              </w:rPr>
            </w:pPr>
            <w:r>
              <w:rPr>
                <w:bCs/>
                <w:sz w:val="21"/>
                <w:szCs w:val="21"/>
              </w:rPr>
              <w:t>4</w:t>
            </w:r>
            <w:r>
              <w:rPr>
                <w:rFonts w:hint="eastAsia"/>
                <w:bCs/>
                <w:sz w:val="21"/>
                <w:szCs w:val="21"/>
              </w:rPr>
              <w:t>、水环境保护措施</w:t>
            </w:r>
          </w:p>
          <w:p w14:paraId="0F29478A">
            <w:pPr>
              <w:pStyle w:val="3"/>
              <w:ind w:firstLine="420"/>
              <w:rPr>
                <w:rFonts w:hint="eastAsia"/>
                <w:sz w:val="21"/>
                <w:szCs w:val="21"/>
              </w:rPr>
            </w:pPr>
            <w:r>
              <w:rPr>
                <w:sz w:val="21"/>
                <w:szCs w:val="21"/>
              </w:rPr>
              <w:t>1</w:t>
            </w:r>
            <w:r>
              <w:rPr>
                <w:rFonts w:hint="eastAsia"/>
                <w:sz w:val="21"/>
                <w:szCs w:val="21"/>
              </w:rPr>
              <w:t>）废水处理方式</w:t>
            </w:r>
          </w:p>
          <w:p w14:paraId="3DAA2BB6">
            <w:pPr>
              <w:pStyle w:val="3"/>
              <w:ind w:firstLine="420"/>
              <w:rPr>
                <w:rFonts w:hint="eastAsia"/>
                <w:sz w:val="21"/>
                <w:szCs w:val="21"/>
              </w:rPr>
            </w:pPr>
            <w:r>
              <w:rPr>
                <w:rFonts w:hint="eastAsia"/>
                <w:sz w:val="21"/>
                <w:szCs w:val="21"/>
              </w:rPr>
              <w:t>（1）井下作业废液、压裂返排液</w:t>
            </w:r>
          </w:p>
          <w:p w14:paraId="445BAFE5">
            <w:pPr>
              <w:pStyle w:val="3"/>
              <w:ind w:firstLine="420"/>
              <w:rPr>
                <w:rFonts w:hint="eastAsia"/>
                <w:sz w:val="21"/>
                <w:szCs w:val="21"/>
              </w:rPr>
            </w:pPr>
            <w:r>
              <w:rPr>
                <w:rFonts w:hint="eastAsia"/>
                <w:kern w:val="0"/>
                <w:sz w:val="21"/>
                <w:szCs w:val="21"/>
              </w:rPr>
              <w:t>本项目试油期产生井下作业废液</w:t>
            </w:r>
            <w:r>
              <w:rPr>
                <w:rFonts w:hint="eastAsia"/>
                <w:sz w:val="21"/>
                <w:szCs w:val="21"/>
              </w:rPr>
              <w:t>、压裂返排液定期拉运至春风一号联合站采出水处理系统处理，经处理达到《碎屑岩油藏注水水质指标技术要求及分析方法》（SY/T 5329-20</w:t>
            </w:r>
            <w:r>
              <w:rPr>
                <w:sz w:val="21"/>
                <w:szCs w:val="21"/>
              </w:rPr>
              <w:t>2</w:t>
            </w:r>
            <w:r>
              <w:rPr>
                <w:rFonts w:hint="eastAsia"/>
                <w:sz w:val="21"/>
                <w:szCs w:val="21"/>
              </w:rPr>
              <w:t>2）</w:t>
            </w:r>
            <w:r>
              <w:rPr>
                <w:rFonts w:hint="eastAsia"/>
                <w:kern w:val="0"/>
                <w:sz w:val="21"/>
                <w:szCs w:val="21"/>
              </w:rPr>
              <w:t>对应储层空气渗透率下的水质主要控制指标后回注含油层用于产能开发，不外排。</w:t>
            </w:r>
          </w:p>
          <w:p w14:paraId="0C77C8AC">
            <w:pPr>
              <w:pStyle w:val="3"/>
              <w:ind w:firstLine="420"/>
              <w:rPr>
                <w:rFonts w:hint="eastAsia"/>
                <w:sz w:val="21"/>
                <w:szCs w:val="21"/>
              </w:rPr>
            </w:pPr>
            <w:r>
              <w:rPr>
                <w:rFonts w:hint="eastAsia"/>
                <w:sz w:val="21"/>
                <w:szCs w:val="21"/>
              </w:rPr>
              <w:t>（2）生活污水</w:t>
            </w:r>
          </w:p>
          <w:p w14:paraId="6A5A3836">
            <w:pPr>
              <w:pStyle w:val="113"/>
              <w:rPr>
                <w:rFonts w:hint="eastAsia"/>
                <w:kern w:val="0"/>
                <w:szCs w:val="21"/>
              </w:rPr>
            </w:pPr>
            <w:r>
              <w:rPr>
                <w:rFonts w:hint="eastAsia"/>
                <w:kern w:val="0"/>
                <w:szCs w:val="21"/>
              </w:rPr>
              <w:t>本项目井场设置环保厕所，用于接纳项目施工期生活污水，生活污水全部排至环保厕所，定期拉运至中石化新疆新春石油开发有限责任公司管理一区生活基地合理化处置。</w:t>
            </w:r>
          </w:p>
          <w:p w14:paraId="222B65A2">
            <w:pPr>
              <w:pStyle w:val="3"/>
              <w:ind w:firstLine="420"/>
              <w:rPr>
                <w:rFonts w:hint="eastAsia"/>
                <w:sz w:val="21"/>
                <w:szCs w:val="21"/>
              </w:rPr>
            </w:pPr>
            <w:r>
              <w:rPr>
                <w:rFonts w:hint="eastAsia"/>
                <w:sz w:val="21"/>
                <w:szCs w:val="21"/>
              </w:rPr>
              <w:t>（3）软水系统排水、锅炉排污水</w:t>
            </w:r>
          </w:p>
          <w:p w14:paraId="75E6AE8C">
            <w:pPr>
              <w:pStyle w:val="3"/>
              <w:ind w:firstLine="420"/>
              <w:rPr>
                <w:rFonts w:hint="eastAsia"/>
                <w:sz w:val="21"/>
                <w:szCs w:val="21"/>
              </w:rPr>
            </w:pPr>
            <w:r>
              <w:rPr>
                <w:rFonts w:hint="eastAsia"/>
                <w:sz w:val="21"/>
                <w:szCs w:val="21"/>
              </w:rPr>
              <w:t>根据核算，本项目冬防锅炉运行过程中产生软水系统排水和锅炉排污水。二者成分较为简单，属于含盐清净下水，经收集后直接作为脱硫塔补水使用，不外排。</w:t>
            </w:r>
          </w:p>
          <w:p w14:paraId="2DC321A1">
            <w:pPr>
              <w:pStyle w:val="3"/>
              <w:ind w:firstLine="420"/>
              <w:rPr>
                <w:rFonts w:hint="eastAsia"/>
                <w:sz w:val="21"/>
                <w:szCs w:val="21"/>
              </w:rPr>
            </w:pPr>
            <w:r>
              <w:rPr>
                <w:rFonts w:hint="eastAsia"/>
                <w:sz w:val="21"/>
                <w:szCs w:val="21"/>
              </w:rPr>
              <w:t>2）</w:t>
            </w:r>
            <w:r>
              <w:rPr>
                <w:rFonts w:hint="eastAsia"/>
                <w:sz w:val="21"/>
              </w:rPr>
              <w:t>地下水及土壤污染防治措施</w:t>
            </w:r>
          </w:p>
          <w:p w14:paraId="31EDDF34">
            <w:pPr>
              <w:pStyle w:val="3"/>
              <w:ind w:firstLine="420"/>
              <w:rPr>
                <w:rFonts w:hint="eastAsia"/>
                <w:sz w:val="21"/>
              </w:rPr>
            </w:pPr>
            <w:bookmarkStart w:id="69" w:name="_Ref121667940"/>
            <w:bookmarkEnd w:id="69"/>
            <w:bookmarkStart w:id="70" w:name="_Ref195704252"/>
            <w:r>
              <w:rPr>
                <w:rFonts w:hint="eastAsia"/>
                <w:sz w:val="21"/>
              </w:rPr>
              <w:t>（1）本项目无废水排入外环境，同时本次钻井过程中采用套管与地层隔离开，并在套管与地层之间注入水泥进行固井，水泥浆返至地面，封隔疏松地层和水层。套管的深度远远超出本区域地下水含水层深度，有效隔断了油井与含水层之间的联系，可保护地下水环境不受污染。试油目的层与地下水处于不同层系，在施工过程中确保套管下入指定深度，保证固井质量合格，可以有效控制钻井液在地层中的漏失，减轻对地下水环境的影响。</w:t>
            </w:r>
          </w:p>
          <w:p w14:paraId="0D988CD5">
            <w:pPr>
              <w:pStyle w:val="3"/>
              <w:ind w:firstLine="420"/>
              <w:rPr>
                <w:rFonts w:hint="eastAsia"/>
                <w:sz w:val="21"/>
                <w:szCs w:val="21"/>
              </w:rPr>
            </w:pPr>
            <w:r>
              <w:rPr>
                <w:rFonts w:hint="eastAsia"/>
                <w:sz w:val="21"/>
                <w:szCs w:val="21"/>
              </w:rPr>
              <w:t>（2）根据《环境影响评价技术导则 地下水环境》（HJ 610-2016），本项目通过采取分区防渗措施，加强井场防渗等级，避免钻井工程污染物入渗土壤及地下水环境。按照《环境影响评价技术导则 地下水环境》（HJ 610-2016）标准中典型污染防治分区表，本项目分为重点防渗区、一般防渗区。</w:t>
            </w:r>
          </w:p>
          <w:p w14:paraId="305F9109">
            <w:pPr>
              <w:pStyle w:val="3"/>
              <w:ind w:firstLine="420"/>
              <w:rPr>
                <w:rFonts w:hint="eastAsia"/>
                <w:sz w:val="21"/>
                <w:szCs w:val="21"/>
              </w:rPr>
            </w:pPr>
            <w:r>
              <w:rPr>
                <w:rFonts w:hint="eastAsia"/>
                <w:sz w:val="21"/>
                <w:szCs w:val="21"/>
              </w:rPr>
              <w:t>（3）严格控制施工期临时占地面积，按设计及规划的施工范围进行施工作业，减少土壤扰动；试油作业时采用船形围堰，防止产生落地原油，防止落地油散落地面污染土壤和地下水；定期检查储罐罐体、施工车带罐作业等，避免形成落地油；发生土壤污染事件，及时对受污染土壤进行收集处理，最终委托有资质单位处理。</w:t>
            </w:r>
          </w:p>
          <w:p w14:paraId="5D4BCEF3">
            <w:pPr>
              <w:pStyle w:val="100"/>
              <w:spacing w:before="120" w:beforeLines="50" w:line="360" w:lineRule="auto"/>
              <w:rPr>
                <w:rFonts w:hint="eastAsia"/>
              </w:rPr>
            </w:pPr>
            <w:r>
              <w:rPr>
                <w:rFonts w:hint="eastAsia"/>
              </w:rPr>
              <w:t>表</w:t>
            </w:r>
            <w:r>
              <w:rPr>
                <w:rFonts w:hint="eastAsia"/>
              </w:rPr>
              <w:fldChar w:fldCharType="begin"/>
            </w:r>
            <w:r>
              <w:rPr>
                <w:rFonts w:hint="eastAsia"/>
              </w:rPr>
              <w:instrText xml:space="preserve"> SEQ 表 \* ARABIC </w:instrText>
            </w:r>
            <w:r>
              <w:rPr>
                <w:rFonts w:hint="eastAsia"/>
              </w:rPr>
              <w:fldChar w:fldCharType="separate"/>
            </w:r>
            <w:r>
              <w:rPr>
                <w:rFonts w:hint="eastAsia"/>
              </w:rPr>
              <w:t>45</w:t>
            </w:r>
            <w:r>
              <w:rPr>
                <w:rFonts w:hint="eastAsia"/>
              </w:rPr>
              <w:fldChar w:fldCharType="end"/>
            </w:r>
            <w:bookmarkEnd w:id="70"/>
            <w:r>
              <w:rPr>
                <w:rFonts w:hint="eastAsia"/>
              </w:rPr>
              <w:t xml:space="preserve">  本项目防渗分区情况表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2004"/>
              <w:gridCol w:w="2040"/>
              <w:gridCol w:w="687"/>
              <w:gridCol w:w="1911"/>
            </w:tblGrid>
            <w:tr w14:paraId="134E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vAlign w:val="center"/>
                </w:tcPr>
                <w:p w14:paraId="404F2176">
                  <w:pPr>
                    <w:adjustRightInd w:val="0"/>
                    <w:snapToGrid w:val="0"/>
                    <w:jc w:val="center"/>
                    <w:rPr>
                      <w:rFonts w:hint="eastAsia" w:ascii="宋体" w:hAnsi="宋体"/>
                      <w:kern w:val="0"/>
                      <w:szCs w:val="21"/>
                    </w:rPr>
                  </w:pPr>
                  <w:r>
                    <w:rPr>
                      <w:rFonts w:hint="eastAsia" w:ascii="宋体" w:hAnsi="宋体"/>
                      <w:kern w:val="0"/>
                    </w:rPr>
                    <w:t>污染防治区类别</w:t>
                  </w:r>
                </w:p>
              </w:tc>
              <w:tc>
                <w:tcPr>
                  <w:tcW w:w="1326" w:type="pct"/>
                  <w:vAlign w:val="center"/>
                </w:tcPr>
                <w:p w14:paraId="36C375E6">
                  <w:pPr>
                    <w:adjustRightInd w:val="0"/>
                    <w:snapToGrid w:val="0"/>
                    <w:jc w:val="center"/>
                    <w:rPr>
                      <w:rFonts w:hint="eastAsia" w:ascii="宋体" w:hAnsi="宋体"/>
                      <w:kern w:val="0"/>
                    </w:rPr>
                  </w:pPr>
                  <w:r>
                    <w:rPr>
                      <w:rFonts w:hint="eastAsia" w:ascii="宋体" w:hAnsi="宋体"/>
                      <w:kern w:val="0"/>
                    </w:rPr>
                    <w:t>防渗性能要求</w:t>
                  </w:r>
                </w:p>
              </w:tc>
              <w:tc>
                <w:tcPr>
                  <w:tcW w:w="1349" w:type="pct"/>
                  <w:vAlign w:val="center"/>
                </w:tcPr>
                <w:p w14:paraId="038EBDB8">
                  <w:pPr>
                    <w:adjustRightInd w:val="0"/>
                    <w:snapToGrid w:val="0"/>
                    <w:jc w:val="center"/>
                    <w:rPr>
                      <w:rFonts w:hint="eastAsia" w:ascii="宋体" w:hAnsi="宋体"/>
                      <w:kern w:val="0"/>
                    </w:rPr>
                  </w:pPr>
                  <w:r>
                    <w:rPr>
                      <w:rFonts w:hint="eastAsia" w:ascii="宋体" w:hAnsi="宋体"/>
                      <w:kern w:val="0"/>
                    </w:rPr>
                    <w:t>污染防渗区域</w:t>
                  </w:r>
                </w:p>
              </w:tc>
              <w:tc>
                <w:tcPr>
                  <w:tcW w:w="455" w:type="pct"/>
                  <w:vAlign w:val="center"/>
                </w:tcPr>
                <w:p w14:paraId="1610E20F">
                  <w:pPr>
                    <w:adjustRightInd w:val="0"/>
                    <w:snapToGrid w:val="0"/>
                    <w:jc w:val="center"/>
                    <w:rPr>
                      <w:rFonts w:hint="eastAsia" w:ascii="宋体" w:hAnsi="宋体"/>
                      <w:kern w:val="0"/>
                    </w:rPr>
                  </w:pPr>
                  <w:r>
                    <w:rPr>
                      <w:rFonts w:hint="eastAsia" w:ascii="宋体" w:hAnsi="宋体"/>
                      <w:kern w:val="0"/>
                    </w:rPr>
                    <w:t>污染防渗部位</w:t>
                  </w:r>
                </w:p>
              </w:tc>
              <w:tc>
                <w:tcPr>
                  <w:tcW w:w="1264" w:type="pct"/>
                  <w:vAlign w:val="center"/>
                </w:tcPr>
                <w:p w14:paraId="20BD255B">
                  <w:pPr>
                    <w:adjustRightInd w:val="0"/>
                    <w:snapToGrid w:val="0"/>
                    <w:jc w:val="center"/>
                    <w:rPr>
                      <w:rFonts w:hint="eastAsia" w:ascii="宋体" w:hAnsi="宋体"/>
                      <w:kern w:val="0"/>
                    </w:rPr>
                  </w:pPr>
                  <w:r>
                    <w:rPr>
                      <w:rFonts w:hint="eastAsia" w:ascii="宋体" w:hAnsi="宋体"/>
                      <w:kern w:val="0"/>
                    </w:rPr>
                    <w:t>措施</w:t>
                  </w:r>
                </w:p>
              </w:tc>
            </w:tr>
            <w:tr w14:paraId="61E5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vAlign w:val="center"/>
                </w:tcPr>
                <w:p w14:paraId="504C8450">
                  <w:pPr>
                    <w:adjustRightInd w:val="0"/>
                    <w:snapToGrid w:val="0"/>
                    <w:jc w:val="center"/>
                    <w:rPr>
                      <w:rFonts w:hint="eastAsia" w:ascii="宋体" w:hAnsi="宋体"/>
                      <w:kern w:val="0"/>
                    </w:rPr>
                  </w:pPr>
                  <w:r>
                    <w:rPr>
                      <w:rFonts w:hint="eastAsia" w:ascii="宋体" w:hAnsi="宋体"/>
                      <w:kern w:val="0"/>
                    </w:rPr>
                    <w:t>重点污染防治区</w:t>
                  </w:r>
                </w:p>
              </w:tc>
              <w:tc>
                <w:tcPr>
                  <w:tcW w:w="1326" w:type="pct"/>
                  <w:vAlign w:val="center"/>
                </w:tcPr>
                <w:p w14:paraId="227CC655">
                  <w:pPr>
                    <w:adjustRightInd w:val="0"/>
                    <w:snapToGrid w:val="0"/>
                    <w:jc w:val="center"/>
                    <w:rPr>
                      <w:rFonts w:hint="eastAsia" w:ascii="宋体" w:hAnsi="宋体"/>
                      <w:kern w:val="0"/>
                    </w:rPr>
                  </w:pPr>
                  <w:r>
                    <w:rPr>
                      <w:rFonts w:hint="eastAsia" w:ascii="宋体" w:hAnsi="宋体"/>
                      <w:kern w:val="0"/>
                    </w:rPr>
                    <w:t>防渗性能应不低于6.0m厚渗透系数为1.0×10</w:t>
                  </w:r>
                  <w:r>
                    <w:rPr>
                      <w:rFonts w:hint="eastAsia" w:ascii="宋体" w:hAnsi="宋体"/>
                      <w:kern w:val="0"/>
                      <w:vertAlign w:val="superscript"/>
                    </w:rPr>
                    <w:t>-7</w:t>
                  </w:r>
                  <w:r>
                    <w:rPr>
                      <w:rFonts w:hint="eastAsia" w:ascii="宋体" w:hAnsi="宋体"/>
                      <w:kern w:val="0"/>
                    </w:rPr>
                    <w:t>cm/s的黏土层防渗性能</w:t>
                  </w:r>
                </w:p>
              </w:tc>
              <w:tc>
                <w:tcPr>
                  <w:tcW w:w="1349" w:type="pct"/>
                  <w:vAlign w:val="center"/>
                </w:tcPr>
                <w:p w14:paraId="27D1797B">
                  <w:pPr>
                    <w:adjustRightInd w:val="0"/>
                    <w:snapToGrid w:val="0"/>
                    <w:jc w:val="center"/>
                    <w:rPr>
                      <w:rFonts w:hint="eastAsia" w:ascii="宋体" w:hAnsi="宋体"/>
                      <w:kern w:val="0"/>
                    </w:rPr>
                  </w:pPr>
                  <w:r>
                    <w:rPr>
                      <w:rFonts w:hint="eastAsia" w:ascii="宋体" w:hAnsi="宋体"/>
                    </w:rPr>
                    <w:t>井口中心区域、危废暂存点、泥浆循环罐、泥浆不落地装置区、柴油罐区、</w:t>
                  </w:r>
                  <w:r>
                    <w:rPr>
                      <w:rFonts w:hint="eastAsia" w:ascii="宋体" w:hAnsi="宋体"/>
                      <w:kern w:val="0"/>
                    </w:rPr>
                    <w:t>柴油机</w:t>
                  </w:r>
                  <w:r>
                    <w:rPr>
                      <w:rFonts w:hint="eastAsia" w:ascii="宋体" w:hAnsi="宋体"/>
                    </w:rPr>
                    <w:t>区域</w:t>
                  </w:r>
                  <w:r>
                    <w:rPr>
                      <w:rFonts w:hint="eastAsia" w:ascii="宋体" w:hAnsi="宋体"/>
                      <w:kern w:val="0"/>
                    </w:rPr>
                    <w:t>、</w:t>
                  </w:r>
                  <w:r>
                    <w:rPr>
                      <w:rFonts w:hint="eastAsia" w:ascii="宋体" w:hAnsi="宋体"/>
                    </w:rPr>
                    <w:t>发电机区域等</w:t>
                  </w:r>
                </w:p>
              </w:tc>
              <w:tc>
                <w:tcPr>
                  <w:tcW w:w="455" w:type="pct"/>
                  <w:vAlign w:val="center"/>
                </w:tcPr>
                <w:p w14:paraId="2A2E2BEB">
                  <w:pPr>
                    <w:adjustRightInd w:val="0"/>
                    <w:snapToGrid w:val="0"/>
                    <w:jc w:val="center"/>
                    <w:rPr>
                      <w:rFonts w:hint="eastAsia" w:ascii="宋体" w:hAnsi="宋体"/>
                      <w:kern w:val="0"/>
                    </w:rPr>
                  </w:pPr>
                  <w:r>
                    <w:rPr>
                      <w:rFonts w:hint="eastAsia" w:ascii="宋体" w:hAnsi="宋体"/>
                      <w:kern w:val="0"/>
                    </w:rPr>
                    <w:t>地面</w:t>
                  </w:r>
                </w:p>
              </w:tc>
              <w:tc>
                <w:tcPr>
                  <w:tcW w:w="1264" w:type="pct"/>
                  <w:vAlign w:val="center"/>
                </w:tcPr>
                <w:p w14:paraId="48578DBE">
                  <w:pPr>
                    <w:adjustRightInd w:val="0"/>
                    <w:snapToGrid w:val="0"/>
                    <w:jc w:val="center"/>
                    <w:rPr>
                      <w:rFonts w:hint="eastAsia" w:ascii="宋体" w:hAnsi="宋体"/>
                      <w:kern w:val="0"/>
                    </w:rPr>
                  </w:pPr>
                  <w:bookmarkStart w:id="71" w:name="OLE_LINK5"/>
                  <w:bookmarkStart w:id="72" w:name="OLE_LINK7"/>
                  <w:r>
                    <w:rPr>
                      <w:rFonts w:hint="eastAsia" w:ascii="宋体" w:hAnsi="宋体"/>
                      <w:kern w:val="0"/>
                    </w:rPr>
                    <w:t>地面铺设HDPE防渗膜</w:t>
                  </w:r>
                  <w:bookmarkEnd w:id="71"/>
                  <w:bookmarkEnd w:id="72"/>
                </w:p>
              </w:tc>
            </w:tr>
            <w:tr w14:paraId="3957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vAlign w:val="center"/>
                </w:tcPr>
                <w:p w14:paraId="3F897F91">
                  <w:pPr>
                    <w:adjustRightInd w:val="0"/>
                    <w:snapToGrid w:val="0"/>
                    <w:jc w:val="center"/>
                    <w:rPr>
                      <w:rFonts w:hint="eastAsia" w:ascii="宋体" w:hAnsi="宋体"/>
                      <w:kern w:val="0"/>
                    </w:rPr>
                  </w:pPr>
                  <w:r>
                    <w:rPr>
                      <w:rFonts w:hint="eastAsia" w:ascii="宋体" w:hAnsi="宋体"/>
                      <w:kern w:val="0"/>
                    </w:rPr>
                    <w:t>一般防渗区</w:t>
                  </w:r>
                </w:p>
              </w:tc>
              <w:tc>
                <w:tcPr>
                  <w:tcW w:w="1326" w:type="pct"/>
                  <w:vAlign w:val="center"/>
                </w:tcPr>
                <w:p w14:paraId="18EFBF63">
                  <w:pPr>
                    <w:adjustRightInd w:val="0"/>
                    <w:snapToGrid w:val="0"/>
                    <w:jc w:val="center"/>
                    <w:rPr>
                      <w:rFonts w:hint="eastAsia" w:ascii="宋体" w:hAnsi="宋体"/>
                      <w:kern w:val="0"/>
                    </w:rPr>
                  </w:pPr>
                  <w:r>
                    <w:rPr>
                      <w:rFonts w:hint="eastAsia" w:ascii="宋体" w:hAnsi="宋体"/>
                      <w:kern w:val="0"/>
                    </w:rPr>
                    <w:t>防渗性能应不低于</w:t>
                  </w:r>
                  <w:r>
                    <w:rPr>
                      <w:rFonts w:ascii="宋体" w:hAnsi="宋体"/>
                      <w:kern w:val="0"/>
                    </w:rPr>
                    <w:t>1.5</w:t>
                  </w:r>
                  <w:r>
                    <w:rPr>
                      <w:rFonts w:hint="eastAsia" w:ascii="宋体" w:hAnsi="宋体"/>
                      <w:kern w:val="0"/>
                    </w:rPr>
                    <w:t>m厚渗透系数为1.0×10</w:t>
                  </w:r>
                  <w:r>
                    <w:rPr>
                      <w:rFonts w:hint="eastAsia" w:ascii="宋体" w:hAnsi="宋体"/>
                      <w:kern w:val="0"/>
                      <w:vertAlign w:val="superscript"/>
                    </w:rPr>
                    <w:t>-7</w:t>
                  </w:r>
                  <w:r>
                    <w:rPr>
                      <w:rFonts w:hint="eastAsia" w:ascii="宋体" w:hAnsi="宋体"/>
                      <w:kern w:val="0"/>
                    </w:rPr>
                    <w:t>cm/s的黏土层防渗性能</w:t>
                  </w:r>
                </w:p>
              </w:tc>
              <w:tc>
                <w:tcPr>
                  <w:tcW w:w="1349" w:type="pct"/>
                  <w:vAlign w:val="center"/>
                </w:tcPr>
                <w:p w14:paraId="408DE70C">
                  <w:pPr>
                    <w:adjustRightInd w:val="0"/>
                    <w:snapToGrid w:val="0"/>
                    <w:jc w:val="center"/>
                    <w:rPr>
                      <w:rFonts w:hint="eastAsia" w:ascii="宋体" w:hAnsi="宋体"/>
                      <w:kern w:val="0"/>
                    </w:rPr>
                  </w:pPr>
                  <w:r>
                    <w:rPr>
                      <w:rFonts w:hint="eastAsia" w:ascii="宋体" w:hAnsi="宋体"/>
                      <w:kern w:val="0"/>
                    </w:rPr>
                    <w:t>井口周边、钻具区、钻井机区域等</w:t>
                  </w:r>
                </w:p>
              </w:tc>
              <w:tc>
                <w:tcPr>
                  <w:tcW w:w="455" w:type="pct"/>
                  <w:vAlign w:val="center"/>
                </w:tcPr>
                <w:p w14:paraId="1EE58609">
                  <w:pPr>
                    <w:adjustRightInd w:val="0"/>
                    <w:snapToGrid w:val="0"/>
                    <w:jc w:val="center"/>
                    <w:rPr>
                      <w:rFonts w:hint="eastAsia" w:ascii="宋体" w:hAnsi="宋体"/>
                      <w:kern w:val="0"/>
                    </w:rPr>
                  </w:pPr>
                  <w:r>
                    <w:rPr>
                      <w:rFonts w:hint="eastAsia" w:ascii="宋体" w:hAnsi="宋体"/>
                      <w:kern w:val="0"/>
                    </w:rPr>
                    <w:t>地面</w:t>
                  </w:r>
                </w:p>
              </w:tc>
              <w:tc>
                <w:tcPr>
                  <w:tcW w:w="1264" w:type="pct"/>
                  <w:vAlign w:val="center"/>
                </w:tcPr>
                <w:p w14:paraId="6653D677">
                  <w:pPr>
                    <w:adjustRightInd w:val="0"/>
                    <w:snapToGrid w:val="0"/>
                    <w:jc w:val="center"/>
                    <w:rPr>
                      <w:rFonts w:hint="eastAsia" w:ascii="宋体" w:hAnsi="宋体"/>
                      <w:kern w:val="0"/>
                    </w:rPr>
                  </w:pPr>
                  <w:r>
                    <w:rPr>
                      <w:rFonts w:hint="eastAsia"/>
                    </w:rPr>
                    <w:t>在混凝土面层中掺水泥基渗透结晶型防水剂，其下铺砌砂石基层，原土夯实</w:t>
                  </w:r>
                </w:p>
              </w:tc>
            </w:tr>
          </w:tbl>
          <w:p w14:paraId="6FB73B62">
            <w:pPr>
              <w:rPr>
                <w:rFonts w:hint="eastAsia" w:ascii="宋体" w:hAnsi="宋体"/>
              </w:rPr>
            </w:pPr>
          </w:p>
          <w:p w14:paraId="636E045A">
            <w:pPr>
              <w:pStyle w:val="3"/>
              <w:ind w:firstLine="420"/>
              <w:rPr>
                <w:rFonts w:hint="eastAsia"/>
                <w:sz w:val="21"/>
                <w:szCs w:val="21"/>
              </w:rPr>
            </w:pPr>
            <w:r>
              <w:rPr>
                <w:rFonts w:hint="eastAsia"/>
                <w:sz w:val="21"/>
                <w:szCs w:val="21"/>
              </w:rPr>
              <w:t>3）环保措施可行性分析</w:t>
            </w:r>
          </w:p>
          <w:p w14:paraId="0EA9E450">
            <w:pPr>
              <w:pStyle w:val="3"/>
              <w:ind w:firstLine="420"/>
              <w:rPr>
                <w:rFonts w:hint="eastAsia"/>
                <w:sz w:val="21"/>
                <w:szCs w:val="21"/>
              </w:rPr>
            </w:pPr>
            <w:r>
              <w:rPr>
                <w:rFonts w:hint="eastAsia"/>
                <w:sz w:val="21"/>
                <w:szCs w:val="21"/>
              </w:rPr>
              <w:t>施工期、试油期水环境保护措施经济技术可行性见</w:t>
            </w:r>
            <w:r>
              <w:rPr>
                <w:sz w:val="21"/>
                <w:szCs w:val="21"/>
              </w:rPr>
              <w:fldChar w:fldCharType="begin"/>
            </w:r>
            <w:r>
              <w:rPr>
                <w:sz w:val="21"/>
                <w:szCs w:val="21"/>
              </w:rPr>
              <w:instrText xml:space="preserve"> </w:instrText>
            </w:r>
            <w:r>
              <w:rPr>
                <w:rFonts w:hint="eastAsia"/>
                <w:sz w:val="21"/>
                <w:szCs w:val="21"/>
              </w:rPr>
              <w:instrText xml:space="preserve">REF _Ref177564339 \h</w:instrText>
            </w:r>
            <w:r>
              <w:rPr>
                <w:sz w:val="21"/>
                <w:szCs w:val="21"/>
              </w:rPr>
              <w:instrText xml:space="preserve">  \* MERGEFORMAT </w:instrText>
            </w:r>
            <w:r>
              <w:rPr>
                <w:sz w:val="21"/>
                <w:szCs w:val="21"/>
              </w:rPr>
              <w:fldChar w:fldCharType="separate"/>
            </w:r>
            <w:r>
              <w:rPr>
                <w:rFonts w:hint="eastAsia"/>
                <w:sz w:val="21"/>
                <w:szCs w:val="21"/>
              </w:rPr>
              <w:t>表46</w:t>
            </w:r>
            <w:r>
              <w:rPr>
                <w:sz w:val="21"/>
                <w:szCs w:val="21"/>
              </w:rPr>
              <w:fldChar w:fldCharType="end"/>
            </w:r>
            <w:r>
              <w:rPr>
                <w:rFonts w:hint="eastAsia"/>
                <w:sz w:val="21"/>
                <w:szCs w:val="21"/>
              </w:rPr>
              <w:t>。</w:t>
            </w:r>
          </w:p>
          <w:p w14:paraId="26A88EF5">
            <w:pPr>
              <w:pStyle w:val="100"/>
              <w:spacing w:before="120" w:beforeLines="50" w:line="360" w:lineRule="auto"/>
              <w:rPr>
                <w:rFonts w:hint="eastAsia"/>
              </w:rPr>
            </w:pPr>
            <w:bookmarkStart w:id="73" w:name="_Ref177564339"/>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46</w:t>
            </w:r>
            <w:r>
              <w:fldChar w:fldCharType="end"/>
            </w:r>
            <w:bookmarkEnd w:id="73"/>
            <w:r>
              <w:t xml:space="preserve">  </w:t>
            </w:r>
            <w:r>
              <w:rPr>
                <w:rFonts w:hint="eastAsia"/>
              </w:rPr>
              <w:t>水环境保护措施经济技术可行性分析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3"/>
              <w:gridCol w:w="588"/>
              <w:gridCol w:w="1988"/>
              <w:gridCol w:w="1583"/>
              <w:gridCol w:w="973"/>
              <w:gridCol w:w="1216"/>
              <w:gridCol w:w="623"/>
            </w:tblGrid>
            <w:tr w14:paraId="5806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74" w:type="pct"/>
                  <w:gridSpan w:val="2"/>
                  <w:vMerge w:val="restart"/>
                  <w:tcBorders>
                    <w:top w:val="single" w:color="auto" w:sz="4" w:space="0"/>
                    <w:left w:val="single" w:color="auto" w:sz="4" w:space="0"/>
                    <w:bottom w:val="single" w:color="auto" w:sz="4" w:space="0"/>
                    <w:right w:val="single" w:color="auto" w:sz="4" w:space="0"/>
                  </w:tcBorders>
                  <w:vAlign w:val="center"/>
                </w:tcPr>
                <w:p w14:paraId="2B8101D4">
                  <w:pPr>
                    <w:widowControl/>
                    <w:adjustRightInd w:val="0"/>
                    <w:snapToGrid w:val="0"/>
                    <w:jc w:val="center"/>
                    <w:rPr>
                      <w:rFonts w:hint="eastAsia" w:ascii="宋体" w:hAnsi="宋体"/>
                      <w:szCs w:val="21"/>
                    </w:rPr>
                  </w:pPr>
                  <w:r>
                    <w:rPr>
                      <w:rFonts w:hint="eastAsia" w:ascii="宋体" w:hAnsi="宋体"/>
                      <w:szCs w:val="21"/>
                    </w:rPr>
                    <w:t>类型</w:t>
                  </w:r>
                </w:p>
              </w:tc>
              <w:tc>
                <w:tcPr>
                  <w:tcW w:w="3008" w:type="pct"/>
                  <w:gridSpan w:val="3"/>
                  <w:tcBorders>
                    <w:top w:val="single" w:color="auto" w:sz="4" w:space="0"/>
                    <w:left w:val="single" w:color="auto" w:sz="4" w:space="0"/>
                    <w:bottom w:val="single" w:color="auto" w:sz="4" w:space="0"/>
                    <w:right w:val="single" w:color="auto" w:sz="4" w:space="0"/>
                  </w:tcBorders>
                  <w:vAlign w:val="center"/>
                </w:tcPr>
                <w:p w14:paraId="0F2FFE08">
                  <w:pPr>
                    <w:widowControl/>
                    <w:adjustRightInd w:val="0"/>
                    <w:snapToGrid w:val="0"/>
                    <w:jc w:val="center"/>
                    <w:rPr>
                      <w:rFonts w:hint="eastAsia" w:ascii="宋体" w:hAnsi="宋体"/>
                      <w:szCs w:val="21"/>
                    </w:rPr>
                  </w:pPr>
                  <w:r>
                    <w:rPr>
                      <w:rFonts w:hint="eastAsia" w:ascii="宋体" w:hAnsi="宋体"/>
                      <w:szCs w:val="21"/>
                    </w:rPr>
                    <w:t>环保措施</w:t>
                  </w:r>
                </w:p>
              </w:tc>
              <w:tc>
                <w:tcPr>
                  <w:tcW w:w="805" w:type="pct"/>
                  <w:vMerge w:val="restart"/>
                  <w:tcBorders>
                    <w:top w:val="single" w:color="auto" w:sz="4" w:space="0"/>
                    <w:left w:val="single" w:color="auto" w:sz="4" w:space="0"/>
                    <w:bottom w:val="single" w:color="auto" w:sz="4" w:space="0"/>
                    <w:right w:val="single" w:color="auto" w:sz="4" w:space="0"/>
                  </w:tcBorders>
                  <w:vAlign w:val="center"/>
                </w:tcPr>
                <w:p w14:paraId="3F312E7B">
                  <w:pPr>
                    <w:widowControl/>
                    <w:adjustRightInd w:val="0"/>
                    <w:snapToGrid w:val="0"/>
                    <w:jc w:val="center"/>
                    <w:rPr>
                      <w:rFonts w:hint="eastAsia" w:ascii="宋体" w:hAnsi="宋体"/>
                      <w:szCs w:val="21"/>
                    </w:rPr>
                  </w:pPr>
                  <w:r>
                    <w:rPr>
                      <w:rFonts w:hint="eastAsia" w:ascii="宋体" w:hAnsi="宋体"/>
                      <w:szCs w:val="21"/>
                    </w:rPr>
                    <w:t>治理效果</w:t>
                  </w:r>
                </w:p>
              </w:tc>
              <w:tc>
                <w:tcPr>
                  <w:tcW w:w="412" w:type="pct"/>
                  <w:vMerge w:val="restart"/>
                  <w:tcBorders>
                    <w:top w:val="single" w:color="auto" w:sz="4" w:space="0"/>
                    <w:left w:val="single" w:color="auto" w:sz="4" w:space="0"/>
                    <w:bottom w:val="single" w:color="auto" w:sz="4" w:space="0"/>
                    <w:right w:val="single" w:color="auto" w:sz="4" w:space="0"/>
                  </w:tcBorders>
                  <w:vAlign w:val="center"/>
                </w:tcPr>
                <w:p w14:paraId="5CD0F9A7">
                  <w:pPr>
                    <w:widowControl/>
                    <w:adjustRightInd w:val="0"/>
                    <w:snapToGrid w:val="0"/>
                    <w:jc w:val="center"/>
                    <w:rPr>
                      <w:rFonts w:hint="eastAsia" w:ascii="宋体" w:hAnsi="宋体"/>
                      <w:szCs w:val="21"/>
                    </w:rPr>
                  </w:pPr>
                  <w:r>
                    <w:rPr>
                      <w:rFonts w:hint="eastAsia" w:ascii="宋体" w:hAnsi="宋体"/>
                      <w:szCs w:val="21"/>
                    </w:rPr>
                    <w:t>是否可行</w:t>
                  </w:r>
                </w:p>
              </w:tc>
            </w:tr>
            <w:tr w14:paraId="1981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69" w:type="dxa"/>
                  <w:gridSpan w:val="2"/>
                  <w:vMerge w:val="continue"/>
                  <w:tcBorders>
                    <w:top w:val="single" w:color="auto" w:sz="4" w:space="0"/>
                    <w:left w:val="single" w:color="auto" w:sz="4" w:space="0"/>
                    <w:bottom w:val="single" w:color="auto" w:sz="4" w:space="0"/>
                    <w:right w:val="single" w:color="auto" w:sz="4" w:space="0"/>
                  </w:tcBorders>
                  <w:vAlign w:val="center"/>
                </w:tcPr>
                <w:p w14:paraId="05EE6F32">
                  <w:pPr>
                    <w:widowControl/>
                    <w:jc w:val="left"/>
                    <w:rPr>
                      <w:rFonts w:hint="eastAsia" w:ascii="宋体" w:hAnsi="宋体"/>
                      <w:szCs w:val="21"/>
                    </w:rPr>
                  </w:pPr>
                </w:p>
              </w:tc>
              <w:tc>
                <w:tcPr>
                  <w:tcW w:w="1316" w:type="pct"/>
                  <w:tcBorders>
                    <w:top w:val="single" w:color="auto" w:sz="4" w:space="0"/>
                    <w:left w:val="single" w:color="auto" w:sz="4" w:space="0"/>
                    <w:bottom w:val="single" w:color="auto" w:sz="4" w:space="0"/>
                    <w:right w:val="single" w:color="auto" w:sz="4" w:space="0"/>
                  </w:tcBorders>
                  <w:vAlign w:val="center"/>
                </w:tcPr>
                <w:p w14:paraId="272C870A">
                  <w:pPr>
                    <w:widowControl/>
                    <w:adjustRightInd w:val="0"/>
                    <w:snapToGrid w:val="0"/>
                    <w:jc w:val="center"/>
                    <w:rPr>
                      <w:rFonts w:hint="eastAsia" w:ascii="宋体" w:hAnsi="宋体"/>
                      <w:szCs w:val="21"/>
                    </w:rPr>
                  </w:pPr>
                  <w:r>
                    <w:rPr>
                      <w:rFonts w:hint="eastAsia" w:ascii="宋体" w:hAnsi="宋体"/>
                      <w:szCs w:val="21"/>
                    </w:rPr>
                    <w:t>内容</w:t>
                  </w:r>
                </w:p>
              </w:tc>
              <w:tc>
                <w:tcPr>
                  <w:tcW w:w="1048" w:type="pct"/>
                  <w:tcBorders>
                    <w:top w:val="single" w:color="auto" w:sz="4" w:space="0"/>
                    <w:left w:val="single" w:color="auto" w:sz="4" w:space="0"/>
                    <w:bottom w:val="single" w:color="auto" w:sz="4" w:space="0"/>
                    <w:right w:val="single" w:color="auto" w:sz="4" w:space="0"/>
                  </w:tcBorders>
                  <w:vAlign w:val="center"/>
                </w:tcPr>
                <w:p w14:paraId="7245551C">
                  <w:pPr>
                    <w:widowControl/>
                    <w:adjustRightInd w:val="0"/>
                    <w:snapToGrid w:val="0"/>
                    <w:jc w:val="center"/>
                    <w:rPr>
                      <w:rFonts w:hint="eastAsia" w:ascii="宋体" w:hAnsi="宋体"/>
                      <w:szCs w:val="21"/>
                    </w:rPr>
                  </w:pPr>
                  <w:r>
                    <w:rPr>
                      <w:rFonts w:hint="eastAsia" w:ascii="宋体" w:hAnsi="宋体"/>
                      <w:szCs w:val="21"/>
                    </w:rPr>
                    <w:t>技术论证</w:t>
                  </w:r>
                </w:p>
              </w:tc>
              <w:tc>
                <w:tcPr>
                  <w:tcW w:w="644" w:type="pct"/>
                  <w:tcBorders>
                    <w:top w:val="single" w:color="auto" w:sz="4" w:space="0"/>
                    <w:left w:val="single" w:color="auto" w:sz="4" w:space="0"/>
                    <w:bottom w:val="single" w:color="auto" w:sz="4" w:space="0"/>
                    <w:right w:val="single" w:color="auto" w:sz="4" w:space="0"/>
                  </w:tcBorders>
                  <w:vAlign w:val="center"/>
                </w:tcPr>
                <w:p w14:paraId="68DF0223">
                  <w:pPr>
                    <w:widowControl/>
                    <w:adjustRightInd w:val="0"/>
                    <w:snapToGrid w:val="0"/>
                    <w:jc w:val="center"/>
                    <w:rPr>
                      <w:rFonts w:hint="eastAsia" w:ascii="宋体" w:hAnsi="宋体"/>
                      <w:szCs w:val="21"/>
                    </w:rPr>
                  </w:pPr>
                  <w:r>
                    <w:rPr>
                      <w:rFonts w:hint="eastAsia" w:ascii="宋体" w:hAnsi="宋体"/>
                      <w:szCs w:val="21"/>
                    </w:rPr>
                    <w:t>经济论证</w:t>
                  </w:r>
                </w:p>
              </w:tc>
              <w:tc>
                <w:tcPr>
                  <w:tcW w:w="1216" w:type="dxa"/>
                  <w:vMerge w:val="continue"/>
                  <w:tcBorders>
                    <w:top w:val="single" w:color="auto" w:sz="4" w:space="0"/>
                    <w:left w:val="single" w:color="auto" w:sz="4" w:space="0"/>
                    <w:bottom w:val="single" w:color="auto" w:sz="4" w:space="0"/>
                    <w:right w:val="single" w:color="auto" w:sz="4" w:space="0"/>
                  </w:tcBorders>
                  <w:vAlign w:val="center"/>
                </w:tcPr>
                <w:p w14:paraId="4E61F95E">
                  <w:pPr>
                    <w:widowControl/>
                    <w:jc w:val="left"/>
                    <w:rPr>
                      <w:rFonts w:hint="eastAsia" w:ascii="宋体" w:hAnsi="宋体"/>
                      <w:szCs w:val="21"/>
                    </w:rPr>
                  </w:pPr>
                </w:p>
              </w:tc>
              <w:tc>
                <w:tcPr>
                  <w:tcW w:w="623" w:type="dxa"/>
                  <w:vMerge w:val="continue"/>
                  <w:tcBorders>
                    <w:top w:val="single" w:color="auto" w:sz="4" w:space="0"/>
                    <w:left w:val="single" w:color="auto" w:sz="4" w:space="0"/>
                    <w:bottom w:val="single" w:color="auto" w:sz="4" w:space="0"/>
                    <w:right w:val="single" w:color="auto" w:sz="4" w:space="0"/>
                  </w:tcBorders>
                  <w:vAlign w:val="center"/>
                </w:tcPr>
                <w:p w14:paraId="1FA86045">
                  <w:pPr>
                    <w:widowControl/>
                    <w:jc w:val="left"/>
                    <w:rPr>
                      <w:rFonts w:hint="eastAsia" w:ascii="宋体" w:hAnsi="宋体"/>
                      <w:szCs w:val="21"/>
                    </w:rPr>
                  </w:pPr>
                </w:p>
              </w:tc>
            </w:tr>
            <w:tr w14:paraId="3921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2" w:hRule="atLeast"/>
                <w:jc w:val="center"/>
              </w:trPr>
              <w:tc>
                <w:tcPr>
                  <w:tcW w:w="582" w:type="dxa"/>
                  <w:tcBorders>
                    <w:top w:val="single" w:color="auto" w:sz="4" w:space="0"/>
                    <w:left w:val="single" w:color="auto" w:sz="4" w:space="0"/>
                    <w:bottom w:val="single" w:color="auto" w:sz="4" w:space="0"/>
                    <w:right w:val="single" w:color="auto" w:sz="4" w:space="0"/>
                  </w:tcBorders>
                  <w:vAlign w:val="center"/>
                </w:tcPr>
                <w:p w14:paraId="2A099169">
                  <w:pPr>
                    <w:widowControl/>
                    <w:adjustRightInd w:val="0"/>
                    <w:snapToGrid w:val="0"/>
                    <w:jc w:val="center"/>
                    <w:rPr>
                      <w:rFonts w:hint="eastAsia" w:ascii="宋体" w:hAnsi="宋体"/>
                      <w:szCs w:val="21"/>
                    </w:rPr>
                  </w:pPr>
                  <w:r>
                    <w:rPr>
                      <w:rFonts w:hint="eastAsia" w:ascii="宋体" w:hAnsi="宋体"/>
                      <w:szCs w:val="21"/>
                    </w:rPr>
                    <w:t>施工废水</w:t>
                  </w:r>
                </w:p>
              </w:tc>
              <w:tc>
                <w:tcPr>
                  <w:tcW w:w="389" w:type="pct"/>
                  <w:tcBorders>
                    <w:top w:val="single" w:color="auto" w:sz="4" w:space="0"/>
                    <w:left w:val="single" w:color="auto" w:sz="4" w:space="0"/>
                    <w:bottom w:val="single" w:color="auto" w:sz="4" w:space="0"/>
                    <w:right w:val="single" w:color="auto" w:sz="4" w:space="0"/>
                  </w:tcBorders>
                  <w:vAlign w:val="center"/>
                </w:tcPr>
                <w:p w14:paraId="4C1C1FC4">
                  <w:pPr>
                    <w:widowControl/>
                    <w:adjustRightInd w:val="0"/>
                    <w:snapToGrid w:val="0"/>
                    <w:jc w:val="center"/>
                    <w:rPr>
                      <w:rFonts w:hint="eastAsia" w:ascii="宋体" w:hAnsi="宋体"/>
                      <w:szCs w:val="21"/>
                      <w:lang w:eastAsia="en-US"/>
                    </w:rPr>
                  </w:pPr>
                  <w:r>
                    <w:rPr>
                      <w:rFonts w:hint="eastAsia" w:ascii="宋体" w:hAnsi="宋体"/>
                      <w:szCs w:val="21"/>
                      <w:lang w:eastAsia="en-US"/>
                    </w:rPr>
                    <w:t>生活污水</w:t>
                  </w:r>
                </w:p>
              </w:tc>
              <w:tc>
                <w:tcPr>
                  <w:tcW w:w="1316" w:type="pct"/>
                  <w:tcBorders>
                    <w:top w:val="single" w:color="auto" w:sz="4" w:space="0"/>
                    <w:left w:val="single" w:color="auto" w:sz="4" w:space="0"/>
                    <w:bottom w:val="single" w:color="auto" w:sz="4" w:space="0"/>
                    <w:right w:val="single" w:color="auto" w:sz="4" w:space="0"/>
                  </w:tcBorders>
                  <w:vAlign w:val="center"/>
                </w:tcPr>
                <w:p w14:paraId="6DFB8C00">
                  <w:pPr>
                    <w:widowControl/>
                    <w:adjustRightInd w:val="0"/>
                    <w:snapToGrid w:val="0"/>
                    <w:jc w:val="center"/>
                    <w:rPr>
                      <w:rFonts w:hint="eastAsia" w:ascii="宋体" w:hAnsi="宋体"/>
                      <w:szCs w:val="21"/>
                    </w:rPr>
                  </w:pPr>
                  <w:r>
                    <w:rPr>
                      <w:rFonts w:hint="eastAsia" w:ascii="宋体" w:hAnsi="宋体"/>
                      <w:szCs w:val="21"/>
                    </w:rPr>
                    <w:t>井场设置环保移动厕所，定期清运</w:t>
                  </w:r>
                </w:p>
              </w:tc>
              <w:tc>
                <w:tcPr>
                  <w:tcW w:w="1048" w:type="pct"/>
                  <w:tcBorders>
                    <w:top w:val="single" w:color="auto" w:sz="4" w:space="0"/>
                    <w:left w:val="single" w:color="auto" w:sz="4" w:space="0"/>
                    <w:bottom w:val="single" w:color="auto" w:sz="4" w:space="0"/>
                    <w:right w:val="single" w:color="auto" w:sz="4" w:space="0"/>
                  </w:tcBorders>
                  <w:vAlign w:val="center"/>
                </w:tcPr>
                <w:p w14:paraId="6636C81F">
                  <w:pPr>
                    <w:widowControl/>
                    <w:adjustRightInd w:val="0"/>
                    <w:snapToGrid w:val="0"/>
                    <w:jc w:val="center"/>
                    <w:rPr>
                      <w:rFonts w:hint="eastAsia" w:ascii="宋体" w:hAnsi="宋体"/>
                      <w:szCs w:val="21"/>
                    </w:rPr>
                  </w:pPr>
                  <w:r>
                    <w:rPr>
                      <w:rFonts w:hint="eastAsia" w:ascii="宋体" w:hAnsi="宋体"/>
                      <w:szCs w:val="21"/>
                    </w:rPr>
                    <w:t>施工人数有限，且短期施工</w:t>
                  </w:r>
                </w:p>
              </w:tc>
              <w:tc>
                <w:tcPr>
                  <w:tcW w:w="644" w:type="pct"/>
                  <w:tcBorders>
                    <w:top w:val="single" w:color="auto" w:sz="4" w:space="0"/>
                    <w:left w:val="single" w:color="auto" w:sz="4" w:space="0"/>
                    <w:bottom w:val="single" w:color="auto" w:sz="4" w:space="0"/>
                    <w:right w:val="single" w:color="auto" w:sz="4" w:space="0"/>
                  </w:tcBorders>
                  <w:vAlign w:val="center"/>
                </w:tcPr>
                <w:p w14:paraId="5EA82B4C">
                  <w:pPr>
                    <w:widowControl/>
                    <w:adjustRightInd w:val="0"/>
                    <w:snapToGrid w:val="0"/>
                    <w:jc w:val="center"/>
                    <w:rPr>
                      <w:rFonts w:hint="eastAsia" w:ascii="宋体" w:hAnsi="宋体"/>
                      <w:szCs w:val="21"/>
                    </w:rPr>
                  </w:pPr>
                  <w:r>
                    <w:rPr>
                      <w:rFonts w:hint="eastAsia" w:ascii="宋体" w:hAnsi="宋体"/>
                      <w:szCs w:val="21"/>
                    </w:rPr>
                    <w:t>投资较少</w:t>
                  </w:r>
                </w:p>
              </w:tc>
              <w:tc>
                <w:tcPr>
                  <w:tcW w:w="805" w:type="pct"/>
                  <w:tcBorders>
                    <w:top w:val="single" w:color="auto" w:sz="4" w:space="0"/>
                    <w:left w:val="single" w:color="auto" w:sz="4" w:space="0"/>
                    <w:bottom w:val="single" w:color="auto" w:sz="4" w:space="0"/>
                    <w:right w:val="single" w:color="auto" w:sz="4" w:space="0"/>
                  </w:tcBorders>
                  <w:vAlign w:val="center"/>
                </w:tcPr>
                <w:p w14:paraId="7491DADF">
                  <w:pPr>
                    <w:widowControl/>
                    <w:adjustRightInd w:val="0"/>
                    <w:snapToGrid w:val="0"/>
                    <w:jc w:val="center"/>
                    <w:rPr>
                      <w:rFonts w:hint="eastAsia" w:ascii="宋体" w:hAnsi="宋体"/>
                      <w:szCs w:val="21"/>
                    </w:rPr>
                  </w:pPr>
                  <w:r>
                    <w:rPr>
                      <w:rFonts w:hint="eastAsia" w:ascii="宋体" w:hAnsi="宋体"/>
                      <w:szCs w:val="21"/>
                    </w:rPr>
                    <w:t>不外排</w:t>
                  </w:r>
                </w:p>
              </w:tc>
              <w:tc>
                <w:tcPr>
                  <w:tcW w:w="412" w:type="pct"/>
                  <w:tcBorders>
                    <w:top w:val="single" w:color="auto" w:sz="4" w:space="0"/>
                    <w:left w:val="single" w:color="auto" w:sz="4" w:space="0"/>
                    <w:bottom w:val="single" w:color="auto" w:sz="4" w:space="0"/>
                    <w:right w:val="single" w:color="auto" w:sz="4" w:space="0"/>
                  </w:tcBorders>
                  <w:vAlign w:val="center"/>
                </w:tcPr>
                <w:p w14:paraId="1A869C2B">
                  <w:pPr>
                    <w:widowControl/>
                    <w:adjustRightInd w:val="0"/>
                    <w:snapToGrid w:val="0"/>
                    <w:jc w:val="center"/>
                    <w:rPr>
                      <w:rFonts w:hint="eastAsia" w:ascii="宋体" w:hAnsi="宋体"/>
                      <w:szCs w:val="21"/>
                    </w:rPr>
                  </w:pPr>
                  <w:r>
                    <w:rPr>
                      <w:rFonts w:hint="eastAsia" w:ascii="宋体" w:hAnsi="宋体"/>
                      <w:szCs w:val="21"/>
                    </w:rPr>
                    <w:t>可行</w:t>
                  </w:r>
                </w:p>
              </w:tc>
            </w:tr>
            <w:tr w14:paraId="66D9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5" w:hRule="atLeast"/>
                <w:jc w:val="center"/>
              </w:trPr>
              <w:tc>
                <w:tcPr>
                  <w:tcW w:w="582" w:type="dxa"/>
                  <w:tcBorders>
                    <w:top w:val="single" w:color="auto" w:sz="4" w:space="0"/>
                    <w:left w:val="single" w:color="auto" w:sz="4" w:space="0"/>
                    <w:bottom w:val="single" w:color="auto" w:sz="4" w:space="0"/>
                    <w:right w:val="single" w:color="auto" w:sz="4" w:space="0"/>
                  </w:tcBorders>
                  <w:vAlign w:val="center"/>
                </w:tcPr>
                <w:p w14:paraId="62C9AD75">
                  <w:pPr>
                    <w:widowControl/>
                    <w:jc w:val="center"/>
                    <w:rPr>
                      <w:rFonts w:hint="eastAsia" w:ascii="宋体" w:hAnsi="宋体"/>
                      <w:szCs w:val="21"/>
                    </w:rPr>
                  </w:pPr>
                  <w:r>
                    <w:rPr>
                      <w:rFonts w:hint="eastAsia" w:ascii="宋体" w:hAnsi="宋体"/>
                    </w:rPr>
                    <w:t>井下作业废液</w:t>
                  </w:r>
                </w:p>
              </w:tc>
              <w:tc>
                <w:tcPr>
                  <w:tcW w:w="389" w:type="pct"/>
                  <w:tcBorders>
                    <w:top w:val="single" w:color="auto" w:sz="4" w:space="0"/>
                    <w:left w:val="single" w:color="auto" w:sz="4" w:space="0"/>
                    <w:bottom w:val="single" w:color="auto" w:sz="4" w:space="0"/>
                    <w:right w:val="single" w:color="auto" w:sz="4" w:space="0"/>
                  </w:tcBorders>
                  <w:vAlign w:val="center"/>
                </w:tcPr>
                <w:p w14:paraId="6E104CB9">
                  <w:pPr>
                    <w:widowControl/>
                    <w:adjustRightInd w:val="0"/>
                    <w:snapToGrid w:val="0"/>
                    <w:jc w:val="center"/>
                    <w:rPr>
                      <w:rFonts w:hint="eastAsia" w:ascii="宋体" w:hAnsi="宋体"/>
                      <w:szCs w:val="21"/>
                      <w:lang w:eastAsia="en-US"/>
                    </w:rPr>
                  </w:pPr>
                  <w:r>
                    <w:rPr>
                      <w:rFonts w:hint="eastAsia" w:ascii="宋体" w:hAnsi="宋体"/>
                      <w:szCs w:val="21"/>
                      <w:lang w:eastAsia="en-US"/>
                    </w:rPr>
                    <w:t>井下作业废液</w:t>
                  </w:r>
                </w:p>
              </w:tc>
              <w:tc>
                <w:tcPr>
                  <w:tcW w:w="1316" w:type="pct"/>
                  <w:vMerge w:val="restart"/>
                  <w:tcBorders>
                    <w:top w:val="single" w:color="auto" w:sz="4" w:space="0"/>
                    <w:left w:val="single" w:color="auto" w:sz="4" w:space="0"/>
                    <w:bottom w:val="single" w:color="auto" w:sz="4" w:space="0"/>
                    <w:right w:val="single" w:color="auto" w:sz="4" w:space="0"/>
                  </w:tcBorders>
                  <w:vAlign w:val="center"/>
                </w:tcPr>
                <w:p w14:paraId="025C52A4">
                  <w:pPr>
                    <w:widowControl/>
                    <w:adjustRightInd w:val="0"/>
                    <w:snapToGrid w:val="0"/>
                    <w:jc w:val="center"/>
                    <w:rPr>
                      <w:rFonts w:hint="eastAsia" w:ascii="宋体" w:hAnsi="宋体" w:cs="宋体"/>
                      <w:szCs w:val="21"/>
                    </w:rPr>
                  </w:pPr>
                  <w:r>
                    <w:rPr>
                      <w:rFonts w:hint="eastAsia" w:ascii="宋体" w:hAnsi="宋体"/>
                      <w:szCs w:val="21"/>
                    </w:rPr>
                    <w:t>由罐车拉运至春风一号联合站采出水处理系统处理，经处理达到《碎屑岩油藏注水水质指标技术要求及分析方法》（SY/T 5329-2022）对应储层空气渗透率下的水质主要控制指标后回注含油层用于产能开发，不外排</w:t>
                  </w:r>
                </w:p>
              </w:tc>
              <w:tc>
                <w:tcPr>
                  <w:tcW w:w="1048" w:type="pct"/>
                  <w:vMerge w:val="restart"/>
                  <w:tcBorders>
                    <w:top w:val="single" w:color="auto" w:sz="4" w:space="0"/>
                    <w:left w:val="single" w:color="auto" w:sz="4" w:space="0"/>
                    <w:bottom w:val="single" w:color="auto" w:sz="4" w:space="0"/>
                    <w:right w:val="single" w:color="auto" w:sz="4" w:space="0"/>
                  </w:tcBorders>
                  <w:vAlign w:val="center"/>
                </w:tcPr>
                <w:p w14:paraId="2ADB13C1">
                  <w:pPr>
                    <w:adjustRightInd w:val="0"/>
                    <w:snapToGrid w:val="0"/>
                    <w:jc w:val="center"/>
                    <w:rPr>
                      <w:rFonts w:hint="eastAsia" w:ascii="宋体" w:hAnsi="宋体" w:cs="宋体"/>
                      <w:szCs w:val="21"/>
                    </w:rPr>
                  </w:pPr>
                  <w:r>
                    <w:rPr>
                      <w:rFonts w:hint="eastAsia" w:ascii="宋体" w:hAnsi="宋体"/>
                      <w:szCs w:val="21"/>
                    </w:rPr>
                    <w:t>春风一号联合站采出水处理系统</w:t>
                  </w:r>
                  <w:r>
                    <w:rPr>
                      <w:rFonts w:hint="eastAsia" w:ascii="宋体" w:hAnsi="宋体"/>
                      <w:snapToGrid w:val="0"/>
                      <w:szCs w:val="21"/>
                    </w:rPr>
                    <w:t>采用</w:t>
                  </w:r>
                  <w:r>
                    <w:rPr>
                      <w:rFonts w:hint="eastAsia" w:ascii="宋体" w:hAnsi="宋体"/>
                      <w:szCs w:val="21"/>
                    </w:rPr>
                    <w:t>“</w:t>
                  </w:r>
                  <w:r>
                    <w:rPr>
                      <w:rFonts w:hint="eastAsia" w:ascii="宋体" w:hAnsi="宋体"/>
                      <w:bCs/>
                      <w:szCs w:val="21"/>
                    </w:rPr>
                    <w:t>一次除油+二次沉降+缓冲+污水提升+过滤</w:t>
                  </w:r>
                  <w:r>
                    <w:rPr>
                      <w:rFonts w:hint="eastAsia" w:ascii="宋体" w:hAnsi="宋体"/>
                      <w:szCs w:val="21"/>
                    </w:rPr>
                    <w:t>”</w:t>
                  </w:r>
                  <w:r>
                    <w:rPr>
                      <w:rFonts w:hint="eastAsia" w:ascii="宋体" w:hAnsi="宋体"/>
                      <w:snapToGrid w:val="0"/>
                      <w:szCs w:val="21"/>
                    </w:rPr>
                    <w:t>工艺进行污水处理，</w:t>
                  </w:r>
                  <w:r>
                    <w:rPr>
                      <w:rFonts w:hint="eastAsia" w:ascii="宋体" w:hAnsi="宋体"/>
                      <w:szCs w:val="21"/>
                    </w:rPr>
                    <w:t>经处理达到《碎屑岩油藏注水水质指标技术要求及分析方法》（SY/T 5329-2022）中水质主要控制指标后回注地层</w:t>
                  </w:r>
                </w:p>
              </w:tc>
              <w:tc>
                <w:tcPr>
                  <w:tcW w:w="644" w:type="pct"/>
                  <w:vMerge w:val="restart"/>
                  <w:tcBorders>
                    <w:top w:val="single" w:color="auto" w:sz="4" w:space="0"/>
                    <w:left w:val="single" w:color="auto" w:sz="4" w:space="0"/>
                    <w:bottom w:val="single" w:color="auto" w:sz="4" w:space="0"/>
                    <w:right w:val="single" w:color="auto" w:sz="4" w:space="0"/>
                  </w:tcBorders>
                  <w:vAlign w:val="center"/>
                </w:tcPr>
                <w:p w14:paraId="3191931B">
                  <w:pPr>
                    <w:widowControl/>
                    <w:adjustRightInd w:val="0"/>
                    <w:snapToGrid w:val="0"/>
                    <w:jc w:val="center"/>
                    <w:rPr>
                      <w:rFonts w:hint="eastAsia" w:ascii="宋体" w:hAnsi="宋体" w:cs="宋体"/>
                      <w:szCs w:val="21"/>
                    </w:rPr>
                  </w:pPr>
                  <w:r>
                    <w:rPr>
                      <w:rFonts w:hint="eastAsia" w:ascii="宋体" w:hAnsi="宋体"/>
                      <w:szCs w:val="21"/>
                    </w:rPr>
                    <w:t>处理达标后回注地层用于注水开发，可节约大量用于注水驱油的新鲜水</w:t>
                  </w:r>
                </w:p>
              </w:tc>
              <w:tc>
                <w:tcPr>
                  <w:tcW w:w="805" w:type="pct"/>
                  <w:vMerge w:val="restart"/>
                  <w:tcBorders>
                    <w:top w:val="single" w:color="auto" w:sz="4" w:space="0"/>
                    <w:left w:val="single" w:color="auto" w:sz="4" w:space="0"/>
                    <w:bottom w:val="single" w:color="auto" w:sz="4" w:space="0"/>
                    <w:right w:val="single" w:color="auto" w:sz="4" w:space="0"/>
                  </w:tcBorders>
                  <w:vAlign w:val="center"/>
                </w:tcPr>
                <w:p w14:paraId="38C541EF">
                  <w:pPr>
                    <w:widowControl/>
                    <w:adjustRightInd w:val="0"/>
                    <w:snapToGrid w:val="0"/>
                    <w:jc w:val="center"/>
                    <w:rPr>
                      <w:rFonts w:hint="eastAsia" w:ascii="宋体" w:hAnsi="宋体" w:cs="宋体"/>
                      <w:szCs w:val="21"/>
                    </w:rPr>
                  </w:pPr>
                  <w:r>
                    <w:rPr>
                      <w:rFonts w:hint="eastAsia" w:ascii="宋体" w:hAnsi="宋体"/>
                      <w:szCs w:val="21"/>
                    </w:rPr>
                    <w:t>处理达到《碎屑岩油藏注水水质指标技术要求及分析方法》（SY/T 5329-2022）对应储层空气渗透率下的水质主要控制指标后回注含油层用于产能开发，不外排</w:t>
                  </w:r>
                </w:p>
              </w:tc>
              <w:tc>
                <w:tcPr>
                  <w:tcW w:w="412" w:type="pct"/>
                  <w:tcBorders>
                    <w:top w:val="single" w:color="auto" w:sz="4" w:space="0"/>
                    <w:left w:val="single" w:color="auto" w:sz="4" w:space="0"/>
                    <w:bottom w:val="single" w:color="auto" w:sz="4" w:space="0"/>
                    <w:right w:val="single" w:color="auto" w:sz="4" w:space="0"/>
                  </w:tcBorders>
                  <w:vAlign w:val="center"/>
                </w:tcPr>
                <w:p w14:paraId="027F4079">
                  <w:pPr>
                    <w:widowControl/>
                    <w:adjustRightInd w:val="0"/>
                    <w:snapToGrid w:val="0"/>
                    <w:jc w:val="center"/>
                    <w:rPr>
                      <w:rFonts w:hint="eastAsia" w:ascii="宋体" w:hAnsi="宋体" w:cs="宋体"/>
                      <w:szCs w:val="21"/>
                    </w:rPr>
                  </w:pPr>
                  <w:r>
                    <w:rPr>
                      <w:rFonts w:hint="eastAsia" w:ascii="宋体" w:hAnsi="宋体"/>
                      <w:szCs w:val="21"/>
                    </w:rPr>
                    <w:t>可行</w:t>
                  </w:r>
                </w:p>
              </w:tc>
            </w:tr>
            <w:tr w14:paraId="4E15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2" w:type="dxa"/>
                  <w:tcBorders>
                    <w:top w:val="single" w:color="auto" w:sz="4" w:space="0"/>
                    <w:left w:val="single" w:color="auto" w:sz="4" w:space="0"/>
                    <w:bottom w:val="single" w:color="auto" w:sz="4" w:space="0"/>
                    <w:right w:val="single" w:color="auto" w:sz="4" w:space="0"/>
                  </w:tcBorders>
                  <w:vAlign w:val="center"/>
                </w:tcPr>
                <w:p w14:paraId="331A9DDA">
                  <w:pPr>
                    <w:widowControl/>
                    <w:jc w:val="center"/>
                    <w:rPr>
                      <w:rFonts w:hint="eastAsia" w:ascii="宋体" w:hAnsi="宋体"/>
                    </w:rPr>
                  </w:pPr>
                  <w:r>
                    <w:rPr>
                      <w:rFonts w:hint="eastAsia" w:ascii="宋体" w:hAnsi="宋体"/>
                    </w:rPr>
                    <w:t>压裂返排液</w:t>
                  </w:r>
                </w:p>
              </w:tc>
              <w:tc>
                <w:tcPr>
                  <w:tcW w:w="389" w:type="pct"/>
                  <w:tcBorders>
                    <w:top w:val="single" w:color="auto" w:sz="4" w:space="0"/>
                    <w:left w:val="single" w:color="auto" w:sz="4" w:space="0"/>
                    <w:bottom w:val="single" w:color="auto" w:sz="4" w:space="0"/>
                    <w:right w:val="single" w:color="auto" w:sz="4" w:space="0"/>
                  </w:tcBorders>
                  <w:vAlign w:val="center"/>
                </w:tcPr>
                <w:p w14:paraId="1F267576">
                  <w:pPr>
                    <w:widowControl/>
                    <w:adjustRightInd w:val="0"/>
                    <w:snapToGrid w:val="0"/>
                    <w:jc w:val="center"/>
                    <w:rPr>
                      <w:rFonts w:hint="eastAsia" w:ascii="宋体" w:hAnsi="宋体"/>
                      <w:szCs w:val="21"/>
                    </w:rPr>
                  </w:pPr>
                  <w:r>
                    <w:rPr>
                      <w:rFonts w:hint="eastAsia" w:ascii="宋体" w:hAnsi="宋体"/>
                      <w:szCs w:val="21"/>
                    </w:rPr>
                    <w:t>压裂返排液</w:t>
                  </w:r>
                </w:p>
              </w:tc>
              <w:tc>
                <w:tcPr>
                  <w:tcW w:w="1989" w:type="dxa"/>
                  <w:vMerge w:val="continue"/>
                  <w:tcBorders>
                    <w:top w:val="single" w:color="auto" w:sz="4" w:space="0"/>
                    <w:left w:val="single" w:color="auto" w:sz="4" w:space="0"/>
                    <w:bottom w:val="single" w:color="auto" w:sz="4" w:space="0"/>
                    <w:right w:val="single" w:color="auto" w:sz="4" w:space="0"/>
                  </w:tcBorders>
                  <w:vAlign w:val="center"/>
                </w:tcPr>
                <w:p w14:paraId="2174EB5D">
                  <w:pPr>
                    <w:widowControl/>
                    <w:jc w:val="left"/>
                    <w:rPr>
                      <w:rFonts w:hint="eastAsia" w:ascii="宋体" w:hAnsi="宋体" w:cs="宋体"/>
                      <w:szCs w:val="21"/>
                    </w:rPr>
                  </w:pPr>
                </w:p>
              </w:tc>
              <w:tc>
                <w:tcPr>
                  <w:tcW w:w="1584" w:type="dxa"/>
                  <w:vMerge w:val="continue"/>
                  <w:tcBorders>
                    <w:top w:val="single" w:color="auto" w:sz="4" w:space="0"/>
                    <w:left w:val="single" w:color="auto" w:sz="4" w:space="0"/>
                    <w:bottom w:val="single" w:color="auto" w:sz="4" w:space="0"/>
                    <w:right w:val="single" w:color="auto" w:sz="4" w:space="0"/>
                  </w:tcBorders>
                  <w:vAlign w:val="center"/>
                </w:tcPr>
                <w:p w14:paraId="1D760ACE">
                  <w:pPr>
                    <w:widowControl/>
                    <w:jc w:val="left"/>
                    <w:rPr>
                      <w:rFonts w:hint="eastAsia" w:ascii="宋体" w:hAnsi="宋体" w:cs="宋体"/>
                      <w:szCs w:val="21"/>
                    </w:rPr>
                  </w:pPr>
                </w:p>
              </w:tc>
              <w:tc>
                <w:tcPr>
                  <w:tcW w:w="973" w:type="dxa"/>
                  <w:vMerge w:val="continue"/>
                  <w:tcBorders>
                    <w:top w:val="single" w:color="auto" w:sz="4" w:space="0"/>
                    <w:left w:val="single" w:color="auto" w:sz="4" w:space="0"/>
                    <w:bottom w:val="single" w:color="auto" w:sz="4" w:space="0"/>
                    <w:right w:val="single" w:color="auto" w:sz="4" w:space="0"/>
                  </w:tcBorders>
                  <w:vAlign w:val="center"/>
                </w:tcPr>
                <w:p w14:paraId="54894745">
                  <w:pPr>
                    <w:widowControl/>
                    <w:jc w:val="left"/>
                    <w:rPr>
                      <w:rFonts w:hint="eastAsia" w:ascii="宋体" w:hAnsi="宋体" w:cs="宋体"/>
                      <w:szCs w:val="21"/>
                    </w:rPr>
                  </w:pPr>
                </w:p>
              </w:tc>
              <w:tc>
                <w:tcPr>
                  <w:tcW w:w="1216" w:type="dxa"/>
                  <w:vMerge w:val="continue"/>
                  <w:tcBorders>
                    <w:top w:val="single" w:color="auto" w:sz="4" w:space="0"/>
                    <w:left w:val="single" w:color="auto" w:sz="4" w:space="0"/>
                    <w:bottom w:val="single" w:color="auto" w:sz="4" w:space="0"/>
                    <w:right w:val="single" w:color="auto" w:sz="4" w:space="0"/>
                  </w:tcBorders>
                  <w:vAlign w:val="center"/>
                </w:tcPr>
                <w:p w14:paraId="317FF204">
                  <w:pPr>
                    <w:widowControl/>
                    <w:jc w:val="left"/>
                    <w:rPr>
                      <w:rFonts w:hint="eastAsia" w:ascii="宋体" w:hAnsi="宋体" w:cs="宋体"/>
                      <w:szCs w:val="21"/>
                    </w:rPr>
                  </w:pPr>
                </w:p>
              </w:tc>
              <w:tc>
                <w:tcPr>
                  <w:tcW w:w="412" w:type="pct"/>
                  <w:tcBorders>
                    <w:top w:val="single" w:color="auto" w:sz="4" w:space="0"/>
                    <w:left w:val="single" w:color="auto" w:sz="4" w:space="0"/>
                    <w:bottom w:val="single" w:color="auto" w:sz="4" w:space="0"/>
                    <w:right w:val="single" w:color="auto" w:sz="4" w:space="0"/>
                  </w:tcBorders>
                  <w:vAlign w:val="center"/>
                </w:tcPr>
                <w:p w14:paraId="14745607">
                  <w:pPr>
                    <w:widowControl/>
                    <w:adjustRightInd w:val="0"/>
                    <w:snapToGrid w:val="0"/>
                    <w:jc w:val="center"/>
                    <w:rPr>
                      <w:rFonts w:hint="eastAsia" w:ascii="宋体" w:hAnsi="宋体"/>
                      <w:szCs w:val="21"/>
                    </w:rPr>
                  </w:pPr>
                  <w:r>
                    <w:rPr>
                      <w:rFonts w:hint="eastAsia" w:ascii="宋体" w:hAnsi="宋体"/>
                      <w:szCs w:val="21"/>
                    </w:rPr>
                    <w:t>可行</w:t>
                  </w:r>
                </w:p>
              </w:tc>
            </w:tr>
            <w:tr w14:paraId="5CD1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2" w:type="dxa"/>
                  <w:tcBorders>
                    <w:top w:val="single" w:color="auto" w:sz="4" w:space="0"/>
                    <w:left w:val="single" w:color="auto" w:sz="4" w:space="0"/>
                    <w:bottom w:val="single" w:color="auto" w:sz="4" w:space="0"/>
                    <w:right w:val="single" w:color="auto" w:sz="4" w:space="0"/>
                  </w:tcBorders>
                  <w:vAlign w:val="center"/>
                </w:tcPr>
                <w:p w14:paraId="17590C5E">
                  <w:pPr>
                    <w:widowControl/>
                    <w:adjustRightInd w:val="0"/>
                    <w:snapToGrid w:val="0"/>
                    <w:jc w:val="center"/>
                    <w:rPr>
                      <w:rFonts w:hint="eastAsia" w:ascii="宋体" w:hAnsi="宋体"/>
                      <w:szCs w:val="21"/>
                    </w:rPr>
                  </w:pPr>
                  <w:r>
                    <w:rPr>
                      <w:rFonts w:hint="eastAsia" w:ascii="宋体" w:hAnsi="宋体"/>
                      <w:szCs w:val="21"/>
                    </w:rPr>
                    <w:t>锅炉排污水</w:t>
                  </w:r>
                </w:p>
              </w:tc>
              <w:tc>
                <w:tcPr>
                  <w:tcW w:w="389" w:type="pct"/>
                  <w:tcBorders>
                    <w:top w:val="single" w:color="auto" w:sz="4" w:space="0"/>
                    <w:left w:val="single" w:color="auto" w:sz="4" w:space="0"/>
                    <w:bottom w:val="single" w:color="auto" w:sz="4" w:space="0"/>
                    <w:right w:val="single" w:color="auto" w:sz="4" w:space="0"/>
                  </w:tcBorders>
                  <w:vAlign w:val="center"/>
                </w:tcPr>
                <w:p w14:paraId="4E3C4265">
                  <w:pPr>
                    <w:widowControl/>
                    <w:adjustRightInd w:val="0"/>
                    <w:snapToGrid w:val="0"/>
                    <w:jc w:val="center"/>
                    <w:rPr>
                      <w:rFonts w:hint="eastAsia" w:ascii="宋体" w:hAnsi="宋体"/>
                      <w:szCs w:val="21"/>
                    </w:rPr>
                  </w:pPr>
                  <w:r>
                    <w:rPr>
                      <w:rFonts w:hint="eastAsia" w:ascii="宋体" w:hAnsi="宋体"/>
                      <w:szCs w:val="21"/>
                    </w:rPr>
                    <w:t>含盐清净下水</w:t>
                  </w:r>
                </w:p>
              </w:tc>
              <w:tc>
                <w:tcPr>
                  <w:tcW w:w="1989" w:type="dxa"/>
                  <w:vMerge w:val="restart"/>
                  <w:tcBorders>
                    <w:top w:val="single" w:color="auto" w:sz="4" w:space="0"/>
                    <w:left w:val="single" w:color="auto" w:sz="4" w:space="0"/>
                    <w:bottom w:val="single" w:color="auto" w:sz="4" w:space="0"/>
                    <w:right w:val="single" w:color="auto" w:sz="4" w:space="0"/>
                  </w:tcBorders>
                  <w:vAlign w:val="center"/>
                </w:tcPr>
                <w:p w14:paraId="78CC0B22">
                  <w:pPr>
                    <w:widowControl/>
                    <w:adjustRightInd w:val="0"/>
                    <w:snapToGrid w:val="0"/>
                    <w:jc w:val="center"/>
                    <w:rPr>
                      <w:rFonts w:hint="eastAsia" w:ascii="宋体" w:hAnsi="宋体"/>
                      <w:szCs w:val="21"/>
                    </w:rPr>
                  </w:pPr>
                  <w:r>
                    <w:rPr>
                      <w:rFonts w:hint="eastAsia" w:ascii="宋体" w:hAnsi="宋体"/>
                      <w:szCs w:val="21"/>
                    </w:rPr>
                    <w:t>经收集后直接作为脱硫塔补水使用</w:t>
                  </w:r>
                </w:p>
              </w:tc>
              <w:tc>
                <w:tcPr>
                  <w:tcW w:w="1584" w:type="dxa"/>
                  <w:tcBorders>
                    <w:top w:val="single" w:color="auto" w:sz="4" w:space="0"/>
                    <w:left w:val="single" w:color="auto" w:sz="4" w:space="0"/>
                    <w:bottom w:val="single" w:color="auto" w:sz="4" w:space="0"/>
                    <w:right w:val="single" w:color="auto" w:sz="4" w:space="0"/>
                  </w:tcBorders>
                  <w:vAlign w:val="center"/>
                </w:tcPr>
                <w:p w14:paraId="46D40D83">
                  <w:pPr>
                    <w:widowControl/>
                    <w:adjustRightInd w:val="0"/>
                    <w:snapToGrid w:val="0"/>
                    <w:jc w:val="center"/>
                    <w:rPr>
                      <w:rFonts w:hint="eastAsia" w:ascii="宋体" w:hAnsi="宋体"/>
                      <w:szCs w:val="21"/>
                    </w:rPr>
                  </w:pPr>
                  <w:r>
                    <w:rPr>
                      <w:rFonts w:hint="eastAsia" w:ascii="宋体" w:hAnsi="宋体"/>
                      <w:szCs w:val="21"/>
                    </w:rPr>
                    <w:t>水质较好，直接回用于脱硫塔补水，技术可行</w:t>
                  </w:r>
                </w:p>
              </w:tc>
              <w:tc>
                <w:tcPr>
                  <w:tcW w:w="973" w:type="dxa"/>
                  <w:tcBorders>
                    <w:top w:val="single" w:color="auto" w:sz="4" w:space="0"/>
                    <w:left w:val="single" w:color="auto" w:sz="4" w:space="0"/>
                    <w:bottom w:val="single" w:color="auto" w:sz="4" w:space="0"/>
                    <w:right w:val="single" w:color="auto" w:sz="4" w:space="0"/>
                  </w:tcBorders>
                  <w:vAlign w:val="center"/>
                </w:tcPr>
                <w:p w14:paraId="501745A9">
                  <w:pPr>
                    <w:widowControl/>
                    <w:adjustRightInd w:val="0"/>
                    <w:snapToGrid w:val="0"/>
                    <w:jc w:val="center"/>
                    <w:rPr>
                      <w:rFonts w:hint="eastAsia" w:ascii="宋体" w:hAnsi="宋体"/>
                      <w:szCs w:val="21"/>
                    </w:rPr>
                  </w:pPr>
                  <w:r>
                    <w:rPr>
                      <w:rFonts w:hint="eastAsia" w:ascii="宋体" w:hAnsi="宋体"/>
                      <w:szCs w:val="21"/>
                    </w:rPr>
                    <w:t>无投资</w:t>
                  </w:r>
                </w:p>
              </w:tc>
              <w:tc>
                <w:tcPr>
                  <w:tcW w:w="1216" w:type="dxa"/>
                  <w:tcBorders>
                    <w:top w:val="single" w:color="auto" w:sz="4" w:space="0"/>
                    <w:left w:val="single" w:color="auto" w:sz="4" w:space="0"/>
                    <w:bottom w:val="single" w:color="auto" w:sz="4" w:space="0"/>
                    <w:right w:val="single" w:color="auto" w:sz="4" w:space="0"/>
                  </w:tcBorders>
                  <w:vAlign w:val="center"/>
                </w:tcPr>
                <w:p w14:paraId="27D853E4">
                  <w:pPr>
                    <w:widowControl/>
                    <w:adjustRightInd w:val="0"/>
                    <w:snapToGrid w:val="0"/>
                    <w:jc w:val="center"/>
                    <w:rPr>
                      <w:rFonts w:hint="eastAsia" w:ascii="宋体" w:hAnsi="宋体"/>
                      <w:szCs w:val="21"/>
                    </w:rPr>
                  </w:pPr>
                  <w:r>
                    <w:rPr>
                      <w:rFonts w:hint="eastAsia" w:ascii="宋体" w:hAnsi="宋体"/>
                      <w:szCs w:val="21"/>
                    </w:rPr>
                    <w:t>不外排</w:t>
                  </w:r>
                </w:p>
              </w:tc>
              <w:tc>
                <w:tcPr>
                  <w:tcW w:w="412" w:type="pct"/>
                  <w:tcBorders>
                    <w:top w:val="single" w:color="auto" w:sz="4" w:space="0"/>
                    <w:left w:val="single" w:color="auto" w:sz="4" w:space="0"/>
                    <w:bottom w:val="single" w:color="auto" w:sz="4" w:space="0"/>
                    <w:right w:val="single" w:color="auto" w:sz="4" w:space="0"/>
                  </w:tcBorders>
                  <w:vAlign w:val="center"/>
                </w:tcPr>
                <w:p w14:paraId="31171018">
                  <w:pPr>
                    <w:widowControl/>
                    <w:adjustRightInd w:val="0"/>
                    <w:snapToGrid w:val="0"/>
                    <w:jc w:val="center"/>
                    <w:rPr>
                      <w:rFonts w:hint="eastAsia" w:ascii="宋体" w:hAnsi="宋体"/>
                      <w:szCs w:val="21"/>
                    </w:rPr>
                  </w:pPr>
                  <w:r>
                    <w:rPr>
                      <w:rFonts w:hint="eastAsia" w:ascii="宋体" w:hAnsi="宋体"/>
                      <w:szCs w:val="21"/>
                    </w:rPr>
                    <w:t>可行</w:t>
                  </w:r>
                </w:p>
              </w:tc>
            </w:tr>
            <w:tr w14:paraId="0FFF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2" w:type="dxa"/>
                  <w:tcBorders>
                    <w:top w:val="single" w:color="auto" w:sz="4" w:space="0"/>
                    <w:left w:val="single" w:color="auto" w:sz="4" w:space="0"/>
                    <w:bottom w:val="single" w:color="auto" w:sz="4" w:space="0"/>
                    <w:right w:val="single" w:color="auto" w:sz="4" w:space="0"/>
                  </w:tcBorders>
                  <w:vAlign w:val="center"/>
                </w:tcPr>
                <w:p w14:paraId="629FDD5F">
                  <w:pPr>
                    <w:widowControl/>
                    <w:adjustRightInd w:val="0"/>
                    <w:snapToGrid w:val="0"/>
                    <w:jc w:val="center"/>
                    <w:rPr>
                      <w:rFonts w:hint="eastAsia" w:ascii="宋体" w:hAnsi="宋体"/>
                      <w:szCs w:val="21"/>
                    </w:rPr>
                  </w:pPr>
                  <w:r>
                    <w:rPr>
                      <w:rFonts w:hint="eastAsia" w:ascii="宋体" w:hAnsi="宋体"/>
                      <w:szCs w:val="21"/>
                    </w:rPr>
                    <w:t>软水系统排水</w:t>
                  </w:r>
                </w:p>
              </w:tc>
              <w:tc>
                <w:tcPr>
                  <w:tcW w:w="389" w:type="pct"/>
                  <w:tcBorders>
                    <w:top w:val="single" w:color="auto" w:sz="4" w:space="0"/>
                    <w:left w:val="single" w:color="auto" w:sz="4" w:space="0"/>
                    <w:bottom w:val="single" w:color="auto" w:sz="4" w:space="0"/>
                    <w:right w:val="single" w:color="auto" w:sz="4" w:space="0"/>
                  </w:tcBorders>
                  <w:vAlign w:val="center"/>
                </w:tcPr>
                <w:p w14:paraId="29FC6353">
                  <w:pPr>
                    <w:widowControl/>
                    <w:adjustRightInd w:val="0"/>
                    <w:snapToGrid w:val="0"/>
                    <w:jc w:val="center"/>
                    <w:rPr>
                      <w:rFonts w:hint="eastAsia" w:ascii="宋体" w:hAnsi="宋体"/>
                      <w:szCs w:val="21"/>
                    </w:rPr>
                  </w:pPr>
                  <w:r>
                    <w:rPr>
                      <w:rFonts w:hint="eastAsia" w:ascii="宋体" w:hAnsi="宋体"/>
                      <w:szCs w:val="21"/>
                    </w:rPr>
                    <w:t>含盐清净下水</w:t>
                  </w:r>
                </w:p>
              </w:tc>
              <w:tc>
                <w:tcPr>
                  <w:tcW w:w="1989" w:type="dxa"/>
                  <w:vMerge w:val="continue"/>
                  <w:tcBorders>
                    <w:top w:val="single" w:color="auto" w:sz="4" w:space="0"/>
                    <w:left w:val="single" w:color="auto" w:sz="4" w:space="0"/>
                    <w:bottom w:val="single" w:color="auto" w:sz="4" w:space="0"/>
                    <w:right w:val="single" w:color="auto" w:sz="4" w:space="0"/>
                  </w:tcBorders>
                  <w:vAlign w:val="center"/>
                </w:tcPr>
                <w:p w14:paraId="527B2A83">
                  <w:pPr>
                    <w:widowControl/>
                    <w:jc w:val="left"/>
                    <w:rPr>
                      <w:rFonts w:hint="eastAsia" w:ascii="宋体" w:hAnsi="宋体"/>
                      <w:szCs w:val="21"/>
                    </w:rPr>
                  </w:pPr>
                </w:p>
              </w:tc>
              <w:tc>
                <w:tcPr>
                  <w:tcW w:w="1584" w:type="dxa"/>
                  <w:tcBorders>
                    <w:top w:val="single" w:color="auto" w:sz="4" w:space="0"/>
                    <w:left w:val="single" w:color="auto" w:sz="4" w:space="0"/>
                    <w:bottom w:val="single" w:color="auto" w:sz="4" w:space="0"/>
                    <w:right w:val="single" w:color="auto" w:sz="4" w:space="0"/>
                  </w:tcBorders>
                  <w:vAlign w:val="center"/>
                </w:tcPr>
                <w:p w14:paraId="5A1AC8BE">
                  <w:pPr>
                    <w:widowControl/>
                    <w:adjustRightInd w:val="0"/>
                    <w:snapToGrid w:val="0"/>
                    <w:jc w:val="center"/>
                    <w:rPr>
                      <w:rFonts w:hint="eastAsia" w:ascii="宋体" w:hAnsi="宋体"/>
                      <w:szCs w:val="21"/>
                    </w:rPr>
                  </w:pPr>
                  <w:r>
                    <w:rPr>
                      <w:rFonts w:hint="eastAsia" w:ascii="宋体" w:hAnsi="宋体"/>
                      <w:szCs w:val="21"/>
                    </w:rPr>
                    <w:t>水质较好，直接回用于脱硫塔补水，技术可行</w:t>
                  </w:r>
                </w:p>
              </w:tc>
              <w:tc>
                <w:tcPr>
                  <w:tcW w:w="973" w:type="dxa"/>
                  <w:tcBorders>
                    <w:top w:val="single" w:color="auto" w:sz="4" w:space="0"/>
                    <w:left w:val="single" w:color="auto" w:sz="4" w:space="0"/>
                    <w:bottom w:val="single" w:color="auto" w:sz="4" w:space="0"/>
                    <w:right w:val="single" w:color="auto" w:sz="4" w:space="0"/>
                  </w:tcBorders>
                  <w:vAlign w:val="center"/>
                </w:tcPr>
                <w:p w14:paraId="5094031B">
                  <w:pPr>
                    <w:widowControl/>
                    <w:adjustRightInd w:val="0"/>
                    <w:snapToGrid w:val="0"/>
                    <w:jc w:val="center"/>
                    <w:rPr>
                      <w:rFonts w:hint="eastAsia" w:ascii="宋体" w:hAnsi="宋体"/>
                      <w:szCs w:val="21"/>
                    </w:rPr>
                  </w:pPr>
                  <w:r>
                    <w:rPr>
                      <w:rFonts w:hint="eastAsia" w:ascii="宋体" w:hAnsi="宋体"/>
                      <w:szCs w:val="21"/>
                    </w:rPr>
                    <w:t>无投资</w:t>
                  </w:r>
                </w:p>
              </w:tc>
              <w:tc>
                <w:tcPr>
                  <w:tcW w:w="1216" w:type="dxa"/>
                  <w:tcBorders>
                    <w:top w:val="single" w:color="auto" w:sz="4" w:space="0"/>
                    <w:left w:val="single" w:color="auto" w:sz="4" w:space="0"/>
                    <w:bottom w:val="single" w:color="auto" w:sz="4" w:space="0"/>
                    <w:right w:val="single" w:color="auto" w:sz="4" w:space="0"/>
                  </w:tcBorders>
                  <w:vAlign w:val="center"/>
                </w:tcPr>
                <w:p w14:paraId="5947F3BB">
                  <w:pPr>
                    <w:widowControl/>
                    <w:adjustRightInd w:val="0"/>
                    <w:snapToGrid w:val="0"/>
                    <w:jc w:val="center"/>
                    <w:rPr>
                      <w:rFonts w:hint="eastAsia" w:ascii="宋体" w:hAnsi="宋体"/>
                      <w:szCs w:val="21"/>
                    </w:rPr>
                  </w:pPr>
                  <w:r>
                    <w:rPr>
                      <w:rFonts w:hint="eastAsia" w:ascii="宋体" w:hAnsi="宋体"/>
                      <w:szCs w:val="21"/>
                    </w:rPr>
                    <w:t>不外排</w:t>
                  </w:r>
                </w:p>
              </w:tc>
              <w:tc>
                <w:tcPr>
                  <w:tcW w:w="412" w:type="pct"/>
                  <w:tcBorders>
                    <w:top w:val="single" w:color="auto" w:sz="4" w:space="0"/>
                    <w:left w:val="single" w:color="auto" w:sz="4" w:space="0"/>
                    <w:bottom w:val="single" w:color="auto" w:sz="4" w:space="0"/>
                    <w:right w:val="single" w:color="auto" w:sz="4" w:space="0"/>
                  </w:tcBorders>
                  <w:vAlign w:val="center"/>
                </w:tcPr>
                <w:p w14:paraId="385E2D5E">
                  <w:pPr>
                    <w:widowControl/>
                    <w:adjustRightInd w:val="0"/>
                    <w:snapToGrid w:val="0"/>
                    <w:jc w:val="center"/>
                    <w:rPr>
                      <w:rFonts w:hint="eastAsia" w:ascii="宋体" w:hAnsi="宋体"/>
                      <w:szCs w:val="21"/>
                    </w:rPr>
                  </w:pPr>
                  <w:r>
                    <w:rPr>
                      <w:rFonts w:hint="eastAsia" w:ascii="宋体" w:hAnsi="宋体"/>
                      <w:szCs w:val="21"/>
                    </w:rPr>
                    <w:t>可行</w:t>
                  </w:r>
                </w:p>
              </w:tc>
            </w:tr>
          </w:tbl>
          <w:p w14:paraId="4E4F92B6">
            <w:pPr>
              <w:pStyle w:val="113"/>
              <w:rPr>
                <w:rFonts w:hint="eastAsia"/>
              </w:rPr>
            </w:pPr>
          </w:p>
          <w:p w14:paraId="5DBC3F4F">
            <w:pPr>
              <w:pStyle w:val="3"/>
              <w:ind w:firstLine="420"/>
              <w:rPr>
                <w:rFonts w:hint="eastAsia"/>
                <w:bCs/>
                <w:sz w:val="21"/>
                <w:szCs w:val="21"/>
              </w:rPr>
            </w:pPr>
            <w:r>
              <w:rPr>
                <w:bCs/>
                <w:sz w:val="21"/>
                <w:szCs w:val="21"/>
              </w:rPr>
              <w:t>5</w:t>
            </w:r>
            <w:r>
              <w:rPr>
                <w:rFonts w:hint="eastAsia"/>
                <w:bCs/>
                <w:sz w:val="21"/>
                <w:szCs w:val="21"/>
              </w:rPr>
              <w:t>、声环境保护措施</w:t>
            </w:r>
          </w:p>
          <w:p w14:paraId="19D5A8D2">
            <w:pPr>
              <w:pStyle w:val="113"/>
              <w:rPr>
                <w:rFonts w:hint="eastAsia"/>
                <w:szCs w:val="21"/>
              </w:rPr>
            </w:pPr>
            <w:r>
              <w:rPr>
                <w:rFonts w:hint="eastAsia"/>
                <w:szCs w:val="21"/>
              </w:rPr>
              <w:t>经现场踏勘，本项目拟建井场</w:t>
            </w:r>
            <w:r>
              <w:rPr>
                <w:szCs w:val="21"/>
              </w:rPr>
              <w:t>20</w:t>
            </w:r>
            <w:r>
              <w:rPr>
                <w:rFonts w:hint="eastAsia"/>
                <w:szCs w:val="21"/>
              </w:rPr>
              <w:t>0m范围内无噪声敏感目标，施工单位应参照《建筑施工场界环境噪声排放标准》（GB 12523-2011）的要求进行施工，并采取以下措施：</w:t>
            </w:r>
          </w:p>
          <w:p w14:paraId="34BA4214">
            <w:pPr>
              <w:pStyle w:val="113"/>
              <w:rPr>
                <w:rFonts w:hint="eastAsia"/>
                <w:szCs w:val="21"/>
              </w:rPr>
            </w:pPr>
            <w:r>
              <w:rPr>
                <w:rFonts w:hint="eastAsia"/>
                <w:szCs w:val="21"/>
              </w:rPr>
              <w:t>1）合理布局钻井现场，将高噪声设备布置在远离井场生活区、敏感目标一侧，尽量选用低噪声设备。</w:t>
            </w:r>
          </w:p>
          <w:p w14:paraId="6885BF2C">
            <w:pPr>
              <w:pStyle w:val="113"/>
              <w:rPr>
                <w:rFonts w:hint="eastAsia"/>
                <w:szCs w:val="21"/>
              </w:rPr>
            </w:pPr>
            <w:r>
              <w:rPr>
                <w:rFonts w:hint="eastAsia"/>
                <w:szCs w:val="21"/>
              </w:rPr>
              <w:t>2）制定施工计划时，尽可能避免大量高噪声设备同时施工。同时，高噪声设备施工时间安排在昼间，禁止夜间施工。</w:t>
            </w:r>
          </w:p>
          <w:p w14:paraId="6E03E6E1">
            <w:pPr>
              <w:pStyle w:val="113"/>
              <w:rPr>
                <w:rFonts w:hint="eastAsia"/>
                <w:szCs w:val="21"/>
              </w:rPr>
            </w:pPr>
            <w:r>
              <w:rPr>
                <w:rFonts w:hint="eastAsia"/>
                <w:szCs w:val="21"/>
              </w:rPr>
              <w:t>3）加强施工管理和设备维护，发现设备存在的问题及时维修，保证设备正常运转；整体设备要安放稳固，并与地面保持良好接触，有条件的应使用减振机座，柴油机、发电机和各种机泵等要安装消声隔声设施，最大限度地降低噪声源的噪声。</w:t>
            </w:r>
          </w:p>
          <w:p w14:paraId="26BD3529">
            <w:pPr>
              <w:pStyle w:val="113"/>
              <w:rPr>
                <w:rFonts w:hint="eastAsia"/>
                <w:szCs w:val="21"/>
              </w:rPr>
            </w:pPr>
            <w:r>
              <w:rPr>
                <w:rFonts w:hint="eastAsia"/>
                <w:szCs w:val="21"/>
              </w:rPr>
              <w:t>4）加强对运输车辆的管理及疏导，尽量压缩施工区汽车数量和行车密度，控制汽车鸣笛。</w:t>
            </w:r>
          </w:p>
          <w:p w14:paraId="43AD1D44">
            <w:pPr>
              <w:pStyle w:val="3"/>
              <w:ind w:firstLine="420"/>
              <w:rPr>
                <w:rFonts w:hint="eastAsia"/>
                <w:sz w:val="21"/>
                <w:szCs w:val="21"/>
              </w:rPr>
            </w:pPr>
            <w:r>
              <w:rPr>
                <w:rFonts w:hint="eastAsia"/>
                <w:sz w:val="21"/>
                <w:szCs w:val="21"/>
              </w:rPr>
              <w:t>由于钻井期和试油期较短，施工噪声随钻井和试油结束即可消失，通过采取上述措施后，项目施工期噪声能够满足《建筑施工场界环境噪声排放标准》（</w:t>
            </w:r>
            <w:r>
              <w:rPr>
                <w:sz w:val="21"/>
                <w:szCs w:val="21"/>
              </w:rPr>
              <w:t>GB 12523-2011</w:t>
            </w:r>
            <w:r>
              <w:rPr>
                <w:rFonts w:hint="eastAsia"/>
                <w:sz w:val="21"/>
                <w:szCs w:val="21"/>
              </w:rPr>
              <w:t>）的要求。因此，施工机械产生噪声对周围环境的影响较小。</w:t>
            </w:r>
          </w:p>
          <w:p w14:paraId="63489C75">
            <w:pPr>
              <w:pStyle w:val="3"/>
              <w:ind w:firstLine="420"/>
              <w:rPr>
                <w:rFonts w:hint="eastAsia"/>
                <w:bCs/>
                <w:sz w:val="21"/>
                <w:szCs w:val="21"/>
              </w:rPr>
            </w:pPr>
            <w:r>
              <w:rPr>
                <w:bCs/>
                <w:sz w:val="21"/>
                <w:szCs w:val="21"/>
              </w:rPr>
              <w:t>6</w:t>
            </w:r>
            <w:r>
              <w:rPr>
                <w:rFonts w:hint="eastAsia"/>
                <w:bCs/>
                <w:sz w:val="21"/>
                <w:szCs w:val="21"/>
              </w:rPr>
              <w:t>、固体废物保护措施</w:t>
            </w:r>
          </w:p>
          <w:p w14:paraId="73A71DC6">
            <w:pPr>
              <w:pStyle w:val="3"/>
              <w:ind w:firstLine="420"/>
              <w:rPr>
                <w:rFonts w:hint="eastAsia"/>
                <w:sz w:val="21"/>
                <w:szCs w:val="21"/>
              </w:rPr>
            </w:pPr>
            <w:r>
              <w:rPr>
                <w:rFonts w:hint="eastAsia"/>
                <w:sz w:val="21"/>
                <w:szCs w:val="21"/>
              </w:rPr>
              <w:t>1）钻井固废影响分析</w:t>
            </w:r>
          </w:p>
          <w:p w14:paraId="6D2E3CFF">
            <w:pPr>
              <w:pStyle w:val="3"/>
              <w:ind w:firstLine="420"/>
              <w:rPr>
                <w:rFonts w:hint="eastAsia"/>
                <w:sz w:val="21"/>
                <w:szCs w:val="21"/>
              </w:rPr>
            </w:pPr>
            <w:r>
              <w:rPr>
                <w:rFonts w:hint="eastAsia"/>
                <w:sz w:val="21"/>
                <w:szCs w:val="21"/>
              </w:rPr>
              <w:t>本项目采用“泥浆不落地”工艺，导管、一开和二开段钻井固废属于一般固体废物，交由专业单位无害化处置；处理后的钻井固废按照《油气田钻井固体废物综合利用污染控制要求》（DB65/T 3997-2017）的规范标准要求，可用于修路、铺垫井场。</w:t>
            </w:r>
          </w:p>
          <w:p w14:paraId="21E6FD72">
            <w:pPr>
              <w:pStyle w:val="3"/>
              <w:ind w:firstLine="420"/>
              <w:rPr>
                <w:rFonts w:hint="eastAsia"/>
                <w:sz w:val="21"/>
                <w:szCs w:val="21"/>
              </w:rPr>
            </w:pPr>
            <w:r>
              <w:rPr>
                <w:rFonts w:hint="eastAsia"/>
                <w:sz w:val="21"/>
                <w:szCs w:val="21"/>
              </w:rPr>
              <w:t>2）生活垃圾影响分析</w:t>
            </w:r>
          </w:p>
          <w:p w14:paraId="3595CD2A">
            <w:pPr>
              <w:pStyle w:val="3"/>
              <w:ind w:firstLine="420"/>
              <w:rPr>
                <w:rFonts w:hint="eastAsia"/>
                <w:sz w:val="21"/>
                <w:szCs w:val="21"/>
              </w:rPr>
            </w:pPr>
            <w:r>
              <w:rPr>
                <w:rFonts w:hint="eastAsia"/>
                <w:sz w:val="21"/>
                <w:szCs w:val="21"/>
              </w:rPr>
              <w:t>生活垃圾集中在生活垃圾收集箱内，定期拉运至附近生活垃圾暂存点，交由环卫部门进行统一处理。</w:t>
            </w:r>
          </w:p>
          <w:p w14:paraId="4EEC9A6D">
            <w:pPr>
              <w:pStyle w:val="113"/>
              <w:numPr>
                <w:ilvl w:val="0"/>
                <w:numId w:val="9"/>
              </w:numPr>
              <w:rPr>
                <w:rFonts w:hint="eastAsia"/>
                <w:bCs/>
                <w:szCs w:val="21"/>
              </w:rPr>
            </w:pPr>
            <w:r>
              <w:rPr>
                <w:rFonts w:hint="eastAsia"/>
                <w:bCs/>
                <w:szCs w:val="21"/>
              </w:rPr>
              <w:t>产生的废防渗材料、废润滑油、</w:t>
            </w:r>
            <w:r>
              <w:rPr>
                <w:rFonts w:hint="eastAsia"/>
              </w:rPr>
              <w:t>废润滑油桶、</w:t>
            </w:r>
            <w:r>
              <w:rPr>
                <w:rFonts w:hint="eastAsia"/>
                <w:szCs w:val="21"/>
              </w:rPr>
              <w:t>废弃包装物</w:t>
            </w:r>
            <w:r>
              <w:rPr>
                <w:rFonts w:hint="eastAsia"/>
                <w:bCs/>
                <w:szCs w:val="21"/>
              </w:rPr>
              <w:t>、废弃的含油抹布、劳保用品收集、贮存严格按照</w:t>
            </w:r>
            <w:r>
              <w:rPr>
                <w:rFonts w:hint="eastAsia"/>
              </w:rPr>
              <w:t>《危险废物收集 贮存 运输技术规范》（</w:t>
            </w:r>
            <w:r>
              <w:t>HJ 2025-2012</w:t>
            </w:r>
            <w:r>
              <w:rPr>
                <w:rFonts w:hint="eastAsia"/>
              </w:rPr>
              <w:t>）的要求进行管理；转移过程按照《危险废物转移管理办法》（2022年1月1日）办理危险废物转移联单</w:t>
            </w:r>
            <w:r>
              <w:rPr>
                <w:rFonts w:hint="eastAsia"/>
                <w:bCs/>
                <w:szCs w:val="21"/>
              </w:rPr>
              <w:t>。</w:t>
            </w:r>
          </w:p>
          <w:p w14:paraId="65ED1D17">
            <w:pPr>
              <w:pStyle w:val="113"/>
              <w:tabs>
                <w:tab w:val="left" w:pos="4905"/>
              </w:tabs>
              <w:rPr>
                <w:rFonts w:hint="eastAsia"/>
              </w:rPr>
            </w:pPr>
            <w:r>
              <w:rPr>
                <w:rFonts w:hint="eastAsia"/>
              </w:rPr>
              <w:t>4）锅炉炉渣</w:t>
            </w:r>
          </w:p>
          <w:p w14:paraId="5481DEDC">
            <w:pPr>
              <w:pStyle w:val="113"/>
              <w:tabs>
                <w:tab w:val="left" w:pos="4905"/>
              </w:tabs>
              <w:rPr>
                <w:rFonts w:hint="eastAsia"/>
              </w:rPr>
            </w:pPr>
            <w:r>
              <w:rPr>
                <w:rFonts w:hint="eastAsia"/>
              </w:rPr>
              <w:t>本项目生物质锅炉燃料采用生物质，其在燃烧后会产生炉渣。类比锅炉供应商前期锅炉运行数据，该型号锅炉满负荷运行过程中，锅炉炉渣产生量为0.2t，施工期锅炉运行时间为90d，则锅炉炉渣量为18t。经收集后临时暂存于一般固废暂存间内，定期拉运、外售给有需求的厂家。</w:t>
            </w:r>
          </w:p>
          <w:p w14:paraId="154F8028">
            <w:pPr>
              <w:pStyle w:val="113"/>
              <w:tabs>
                <w:tab w:val="left" w:pos="4905"/>
              </w:tabs>
              <w:rPr>
                <w:rFonts w:hint="eastAsia"/>
              </w:rPr>
            </w:pPr>
            <w:r>
              <w:rPr>
                <w:rFonts w:hint="eastAsia"/>
              </w:rPr>
              <w:t>5）袋式除尘器截获的粉尘</w:t>
            </w:r>
          </w:p>
          <w:p w14:paraId="25F43707">
            <w:pPr>
              <w:pStyle w:val="113"/>
              <w:tabs>
                <w:tab w:val="left" w:pos="4905"/>
              </w:tabs>
              <w:rPr>
                <w:rFonts w:hint="eastAsia"/>
              </w:rPr>
            </w:pPr>
            <w:r>
              <w:rPr>
                <w:rFonts w:hint="eastAsia"/>
              </w:rPr>
              <w:t>根据物料衡算，本项目袋式除尘器截获的粉尘量为0.269t。经收集后临时暂存于一般固废暂存间内，定期拉运、外售给有需求的厂家。</w:t>
            </w:r>
          </w:p>
          <w:p w14:paraId="24EFDFBC">
            <w:pPr>
              <w:pStyle w:val="113"/>
              <w:tabs>
                <w:tab w:val="left" w:pos="4905"/>
              </w:tabs>
              <w:rPr>
                <w:rFonts w:hint="eastAsia"/>
              </w:rPr>
            </w:pPr>
            <w:r>
              <w:rPr>
                <w:rFonts w:hint="eastAsia"/>
              </w:rPr>
              <w:t>6）脱硫石膏</w:t>
            </w:r>
          </w:p>
          <w:p w14:paraId="2167011F">
            <w:pPr>
              <w:pStyle w:val="113"/>
              <w:tabs>
                <w:tab w:val="left" w:pos="4905"/>
              </w:tabs>
              <w:rPr>
                <w:rFonts w:hint="eastAsia"/>
              </w:rPr>
            </w:pPr>
            <w:r>
              <w:rPr>
                <w:rFonts w:hint="eastAsia"/>
              </w:rPr>
              <w:t>本项目脱硫塔脱硫会产生一部分脱硫石膏，石膏位于脱硫塔底部，需定期清理。本项目SO</w:t>
            </w:r>
            <w:r>
              <w:rPr>
                <w:rFonts w:hint="eastAsia"/>
                <w:vertAlign w:val="subscript"/>
              </w:rPr>
              <w:t>2</w:t>
            </w:r>
            <w:r>
              <w:rPr>
                <w:rFonts w:hint="eastAsia"/>
              </w:rPr>
              <w:t>吸收量为0.48t，经核算，脱硫石膏产生量约1.4t。经收集后临时暂存于一般固废暂存间内，定期拉运、外售给有需求的厂家。</w:t>
            </w:r>
          </w:p>
          <w:p w14:paraId="07A2C33A">
            <w:pPr>
              <w:pStyle w:val="3"/>
              <w:ind w:firstLine="420"/>
              <w:rPr>
                <w:rFonts w:hint="eastAsia"/>
                <w:sz w:val="21"/>
                <w:szCs w:val="21"/>
              </w:rPr>
            </w:pPr>
            <w:r>
              <w:rPr>
                <w:rFonts w:hint="eastAsia"/>
                <w:sz w:val="21"/>
                <w:szCs w:val="21"/>
              </w:rPr>
              <w:t>7）环保措施可行性分析</w:t>
            </w:r>
          </w:p>
          <w:p w14:paraId="0A284E0F">
            <w:pPr>
              <w:pStyle w:val="3"/>
              <w:ind w:firstLine="420"/>
              <w:rPr>
                <w:rFonts w:hint="eastAsia"/>
                <w:sz w:val="21"/>
                <w:szCs w:val="21"/>
              </w:rPr>
            </w:pPr>
            <w:r>
              <w:rPr>
                <w:rFonts w:hint="eastAsia"/>
                <w:sz w:val="21"/>
                <w:szCs w:val="21"/>
              </w:rPr>
              <w:t>固废环境保护措施经济技术可行性见</w:t>
            </w:r>
            <w:r>
              <w:rPr>
                <w:sz w:val="21"/>
                <w:szCs w:val="21"/>
              </w:rPr>
              <w:fldChar w:fldCharType="begin"/>
            </w:r>
            <w:r>
              <w:rPr>
                <w:sz w:val="21"/>
                <w:szCs w:val="21"/>
              </w:rPr>
              <w:instrText xml:space="preserve"> </w:instrText>
            </w:r>
            <w:r>
              <w:rPr>
                <w:rFonts w:hint="eastAsia"/>
                <w:sz w:val="21"/>
                <w:szCs w:val="21"/>
              </w:rPr>
              <w:instrText xml:space="preserve">REF _Ref177564457 \h</w:instrText>
            </w:r>
            <w:r>
              <w:rPr>
                <w:sz w:val="21"/>
                <w:szCs w:val="21"/>
              </w:rPr>
              <w:instrText xml:space="preserve">  \* MERGEFORMAT </w:instrText>
            </w:r>
            <w:r>
              <w:rPr>
                <w:sz w:val="21"/>
                <w:szCs w:val="21"/>
              </w:rPr>
              <w:fldChar w:fldCharType="separate"/>
            </w:r>
            <w:r>
              <w:rPr>
                <w:rFonts w:hint="eastAsia"/>
                <w:sz w:val="21"/>
                <w:szCs w:val="21"/>
              </w:rPr>
              <w:t>表47</w:t>
            </w:r>
            <w:r>
              <w:rPr>
                <w:sz w:val="21"/>
                <w:szCs w:val="21"/>
              </w:rPr>
              <w:fldChar w:fldCharType="end"/>
            </w:r>
            <w:r>
              <w:rPr>
                <w:rFonts w:hint="eastAsia"/>
                <w:sz w:val="21"/>
                <w:szCs w:val="21"/>
              </w:rPr>
              <w:t>。</w:t>
            </w:r>
          </w:p>
          <w:p w14:paraId="32FD4059">
            <w:pPr>
              <w:pStyle w:val="3"/>
              <w:ind w:firstLine="420"/>
              <w:rPr>
                <w:rFonts w:hint="eastAsia"/>
                <w:sz w:val="21"/>
                <w:szCs w:val="21"/>
              </w:rPr>
            </w:pPr>
          </w:p>
          <w:p w14:paraId="161EED0F">
            <w:pPr>
              <w:pStyle w:val="3"/>
              <w:ind w:firstLine="420"/>
              <w:rPr>
                <w:rFonts w:hint="eastAsia"/>
                <w:sz w:val="21"/>
                <w:szCs w:val="21"/>
              </w:rPr>
            </w:pPr>
          </w:p>
          <w:p w14:paraId="47473B96">
            <w:pPr>
              <w:pStyle w:val="100"/>
              <w:spacing w:before="120" w:beforeLines="50" w:line="360" w:lineRule="auto"/>
              <w:rPr>
                <w:rFonts w:hint="eastAsia"/>
                <w:szCs w:val="21"/>
              </w:rPr>
            </w:pPr>
            <w:bookmarkStart w:id="74" w:name="_Ref141888768"/>
            <w:bookmarkEnd w:id="74"/>
            <w:bookmarkStart w:id="75" w:name="_Ref177564457"/>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47</w:t>
            </w:r>
            <w:r>
              <w:fldChar w:fldCharType="end"/>
            </w:r>
            <w:bookmarkEnd w:id="75"/>
            <w:r>
              <w:t xml:space="preserve">  </w:t>
            </w:r>
            <w:r>
              <w:rPr>
                <w:rFonts w:hint="eastAsia"/>
              </w:rPr>
              <w:t>施工期固废环境保护措施经济技术可行性分析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4"/>
              <w:gridCol w:w="772"/>
              <w:gridCol w:w="2026"/>
              <w:gridCol w:w="1706"/>
              <w:gridCol w:w="1095"/>
              <w:gridCol w:w="792"/>
              <w:gridCol w:w="561"/>
            </w:tblGrid>
            <w:tr w14:paraId="1AE3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10" w:type="pct"/>
                  <w:gridSpan w:val="2"/>
                  <w:vMerge w:val="restart"/>
                  <w:tcBorders>
                    <w:top w:val="single" w:color="auto" w:sz="4" w:space="0"/>
                    <w:left w:val="single" w:color="auto" w:sz="4" w:space="0"/>
                    <w:bottom w:val="single" w:color="auto" w:sz="4" w:space="0"/>
                    <w:right w:val="single" w:color="auto" w:sz="4" w:space="0"/>
                  </w:tcBorders>
                  <w:vAlign w:val="center"/>
                </w:tcPr>
                <w:p w14:paraId="12C5D4CB">
                  <w:pPr>
                    <w:pStyle w:val="116"/>
                    <w:rPr>
                      <w:rFonts w:hint="eastAsia" w:hAnsi="宋体"/>
                    </w:rPr>
                  </w:pPr>
                  <w:r>
                    <w:rPr>
                      <w:rFonts w:hint="eastAsia" w:hAnsi="宋体"/>
                    </w:rPr>
                    <w:t>类型</w:t>
                  </w:r>
                </w:p>
              </w:tc>
              <w:tc>
                <w:tcPr>
                  <w:tcW w:w="3195" w:type="pct"/>
                  <w:gridSpan w:val="3"/>
                  <w:tcBorders>
                    <w:top w:val="single" w:color="auto" w:sz="4" w:space="0"/>
                    <w:left w:val="single" w:color="auto" w:sz="4" w:space="0"/>
                    <w:bottom w:val="single" w:color="auto" w:sz="4" w:space="0"/>
                    <w:right w:val="single" w:color="auto" w:sz="4" w:space="0"/>
                  </w:tcBorders>
                  <w:vAlign w:val="center"/>
                </w:tcPr>
                <w:p w14:paraId="4A81276B">
                  <w:pPr>
                    <w:pStyle w:val="116"/>
                    <w:rPr>
                      <w:rFonts w:hint="eastAsia" w:hAnsi="宋体"/>
                    </w:rPr>
                  </w:pPr>
                  <w:r>
                    <w:rPr>
                      <w:rFonts w:hint="eastAsia" w:hAnsi="宋体"/>
                    </w:rPr>
                    <w:t>环保措施</w:t>
                  </w:r>
                </w:p>
              </w:tc>
              <w:tc>
                <w:tcPr>
                  <w:tcW w:w="524" w:type="pct"/>
                  <w:vMerge w:val="restart"/>
                  <w:tcBorders>
                    <w:top w:val="single" w:color="auto" w:sz="4" w:space="0"/>
                    <w:left w:val="single" w:color="auto" w:sz="4" w:space="0"/>
                    <w:bottom w:val="single" w:color="auto" w:sz="4" w:space="0"/>
                    <w:right w:val="single" w:color="auto" w:sz="4" w:space="0"/>
                  </w:tcBorders>
                  <w:vAlign w:val="center"/>
                </w:tcPr>
                <w:p w14:paraId="57D20C23">
                  <w:pPr>
                    <w:pStyle w:val="116"/>
                    <w:rPr>
                      <w:rFonts w:hint="eastAsia" w:hAnsi="宋体"/>
                    </w:rPr>
                  </w:pPr>
                  <w:r>
                    <w:rPr>
                      <w:rFonts w:hint="eastAsia" w:hAnsi="宋体"/>
                    </w:rPr>
                    <w:t>治理效果</w:t>
                  </w:r>
                </w:p>
              </w:tc>
              <w:tc>
                <w:tcPr>
                  <w:tcW w:w="371" w:type="pct"/>
                  <w:vMerge w:val="restart"/>
                  <w:tcBorders>
                    <w:top w:val="single" w:color="auto" w:sz="4" w:space="0"/>
                    <w:left w:val="single" w:color="auto" w:sz="4" w:space="0"/>
                    <w:bottom w:val="single" w:color="auto" w:sz="4" w:space="0"/>
                    <w:right w:val="single" w:color="auto" w:sz="4" w:space="0"/>
                  </w:tcBorders>
                  <w:vAlign w:val="center"/>
                </w:tcPr>
                <w:p w14:paraId="30287382">
                  <w:pPr>
                    <w:pStyle w:val="116"/>
                    <w:rPr>
                      <w:rFonts w:hint="eastAsia" w:hAnsi="宋体"/>
                    </w:rPr>
                  </w:pPr>
                  <w:r>
                    <w:rPr>
                      <w:rFonts w:hint="eastAsia" w:hAnsi="宋体"/>
                    </w:rPr>
                    <w:t>是否可行</w:t>
                  </w:r>
                </w:p>
              </w:tc>
            </w:tr>
            <w:tr w14:paraId="3F69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374" w:type="dxa"/>
                  <w:gridSpan w:val="2"/>
                  <w:vMerge w:val="continue"/>
                  <w:tcBorders>
                    <w:top w:val="single" w:color="auto" w:sz="4" w:space="0"/>
                    <w:left w:val="single" w:color="auto" w:sz="4" w:space="0"/>
                    <w:bottom w:val="single" w:color="auto" w:sz="4" w:space="0"/>
                    <w:right w:val="single" w:color="auto" w:sz="4" w:space="0"/>
                  </w:tcBorders>
                  <w:vAlign w:val="center"/>
                </w:tcPr>
                <w:p w14:paraId="37BD1BE6">
                  <w:pPr>
                    <w:pStyle w:val="116"/>
                    <w:rPr>
                      <w:rFonts w:hint="eastAsia" w:hAnsi="宋体"/>
                    </w:rPr>
                  </w:pPr>
                </w:p>
              </w:tc>
              <w:tc>
                <w:tcPr>
                  <w:tcW w:w="1341" w:type="pct"/>
                  <w:tcBorders>
                    <w:top w:val="single" w:color="auto" w:sz="4" w:space="0"/>
                    <w:left w:val="single" w:color="auto" w:sz="4" w:space="0"/>
                    <w:bottom w:val="single" w:color="auto" w:sz="4" w:space="0"/>
                    <w:right w:val="single" w:color="auto" w:sz="4" w:space="0"/>
                  </w:tcBorders>
                  <w:vAlign w:val="center"/>
                </w:tcPr>
                <w:p w14:paraId="6CE40F88">
                  <w:pPr>
                    <w:pStyle w:val="116"/>
                    <w:rPr>
                      <w:rFonts w:hint="eastAsia" w:hAnsi="宋体"/>
                    </w:rPr>
                  </w:pPr>
                  <w:r>
                    <w:rPr>
                      <w:rFonts w:hint="eastAsia" w:hAnsi="宋体"/>
                    </w:rPr>
                    <w:t>内容</w:t>
                  </w:r>
                </w:p>
              </w:tc>
              <w:tc>
                <w:tcPr>
                  <w:tcW w:w="1129" w:type="pct"/>
                  <w:tcBorders>
                    <w:top w:val="single" w:color="auto" w:sz="4" w:space="0"/>
                    <w:left w:val="single" w:color="auto" w:sz="4" w:space="0"/>
                    <w:bottom w:val="single" w:color="auto" w:sz="4" w:space="0"/>
                    <w:right w:val="single" w:color="auto" w:sz="4" w:space="0"/>
                  </w:tcBorders>
                  <w:vAlign w:val="center"/>
                </w:tcPr>
                <w:p w14:paraId="0434D177">
                  <w:pPr>
                    <w:pStyle w:val="116"/>
                    <w:rPr>
                      <w:rFonts w:hint="eastAsia" w:hAnsi="宋体"/>
                    </w:rPr>
                  </w:pPr>
                  <w:r>
                    <w:rPr>
                      <w:rFonts w:hint="eastAsia" w:hAnsi="宋体"/>
                    </w:rPr>
                    <w:t>技术论证</w:t>
                  </w:r>
                </w:p>
              </w:tc>
              <w:tc>
                <w:tcPr>
                  <w:tcW w:w="725" w:type="pct"/>
                  <w:tcBorders>
                    <w:top w:val="single" w:color="auto" w:sz="4" w:space="0"/>
                    <w:left w:val="single" w:color="auto" w:sz="4" w:space="0"/>
                    <w:bottom w:val="single" w:color="auto" w:sz="4" w:space="0"/>
                    <w:right w:val="single" w:color="auto" w:sz="4" w:space="0"/>
                  </w:tcBorders>
                  <w:vAlign w:val="center"/>
                </w:tcPr>
                <w:p w14:paraId="79547BD9">
                  <w:pPr>
                    <w:pStyle w:val="116"/>
                    <w:rPr>
                      <w:rFonts w:hint="eastAsia" w:hAnsi="宋体"/>
                    </w:rPr>
                  </w:pPr>
                  <w:r>
                    <w:rPr>
                      <w:rFonts w:hint="eastAsia" w:hAnsi="宋体"/>
                    </w:rPr>
                    <w:t>经济论证</w:t>
                  </w:r>
                </w:p>
              </w:tc>
              <w:tc>
                <w:tcPr>
                  <w:tcW w:w="792" w:type="dxa"/>
                  <w:vMerge w:val="continue"/>
                  <w:tcBorders>
                    <w:top w:val="single" w:color="auto" w:sz="4" w:space="0"/>
                    <w:left w:val="single" w:color="auto" w:sz="4" w:space="0"/>
                    <w:bottom w:val="single" w:color="auto" w:sz="4" w:space="0"/>
                    <w:right w:val="single" w:color="auto" w:sz="4" w:space="0"/>
                  </w:tcBorders>
                  <w:vAlign w:val="center"/>
                </w:tcPr>
                <w:p w14:paraId="392027D2">
                  <w:pPr>
                    <w:pStyle w:val="116"/>
                    <w:rPr>
                      <w:rFonts w:hint="eastAsia" w:hAnsi="宋体"/>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14:paraId="21A48406">
                  <w:pPr>
                    <w:pStyle w:val="116"/>
                    <w:rPr>
                      <w:rFonts w:hint="eastAsia" w:hAnsi="宋体"/>
                    </w:rPr>
                  </w:pPr>
                </w:p>
              </w:tc>
            </w:tr>
            <w:tr w14:paraId="417C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9" w:type="pct"/>
                  <w:vMerge w:val="restart"/>
                  <w:tcBorders>
                    <w:top w:val="single" w:color="auto" w:sz="4" w:space="0"/>
                    <w:left w:val="single" w:color="auto" w:sz="4" w:space="0"/>
                    <w:bottom w:val="single" w:color="auto" w:sz="4" w:space="0"/>
                    <w:right w:val="single" w:color="auto" w:sz="4" w:space="0"/>
                  </w:tcBorders>
                  <w:vAlign w:val="center"/>
                </w:tcPr>
                <w:p w14:paraId="524936B9">
                  <w:pPr>
                    <w:pStyle w:val="116"/>
                    <w:rPr>
                      <w:rFonts w:hint="eastAsia" w:hAnsi="宋体"/>
                    </w:rPr>
                  </w:pPr>
                  <w:r>
                    <w:rPr>
                      <w:rFonts w:hint="eastAsia" w:hAnsi="宋体"/>
                    </w:rPr>
                    <w:t>施工期固废</w:t>
                  </w:r>
                </w:p>
              </w:tc>
              <w:tc>
                <w:tcPr>
                  <w:tcW w:w="511" w:type="pct"/>
                  <w:tcBorders>
                    <w:top w:val="single" w:color="auto" w:sz="4" w:space="0"/>
                    <w:left w:val="single" w:color="auto" w:sz="4" w:space="0"/>
                    <w:bottom w:val="single" w:color="auto" w:sz="4" w:space="0"/>
                    <w:right w:val="single" w:color="auto" w:sz="4" w:space="0"/>
                  </w:tcBorders>
                  <w:vAlign w:val="center"/>
                </w:tcPr>
                <w:p w14:paraId="5DC547E6">
                  <w:pPr>
                    <w:pStyle w:val="116"/>
                    <w:rPr>
                      <w:rFonts w:hint="eastAsia" w:hAnsi="宋体"/>
                    </w:rPr>
                  </w:pPr>
                  <w:r>
                    <w:rPr>
                      <w:rFonts w:hint="eastAsia" w:hAnsi="宋体"/>
                    </w:rPr>
                    <w:t>钻井固废</w:t>
                  </w:r>
                </w:p>
              </w:tc>
              <w:tc>
                <w:tcPr>
                  <w:tcW w:w="1341" w:type="pct"/>
                  <w:tcBorders>
                    <w:top w:val="single" w:color="auto" w:sz="4" w:space="0"/>
                    <w:left w:val="single" w:color="auto" w:sz="4" w:space="0"/>
                    <w:bottom w:val="single" w:color="auto" w:sz="4" w:space="0"/>
                    <w:right w:val="single" w:color="auto" w:sz="4" w:space="0"/>
                  </w:tcBorders>
                  <w:vAlign w:val="center"/>
                </w:tcPr>
                <w:p w14:paraId="74642395">
                  <w:pPr>
                    <w:pStyle w:val="116"/>
                    <w:rPr>
                      <w:rFonts w:hint="eastAsia" w:hAnsi="宋体"/>
                    </w:rPr>
                  </w:pPr>
                  <w:r>
                    <w:rPr>
                      <w:rFonts w:hint="eastAsia" w:hAnsi="宋体"/>
                    </w:rPr>
                    <w:t>钻井过程采用“泥浆不落地”工艺，属于一般工业固体废物，交由专业单位无害化处理</w:t>
                  </w:r>
                </w:p>
              </w:tc>
              <w:tc>
                <w:tcPr>
                  <w:tcW w:w="1129" w:type="pct"/>
                  <w:tcBorders>
                    <w:top w:val="single" w:color="auto" w:sz="4" w:space="0"/>
                    <w:left w:val="single" w:color="auto" w:sz="4" w:space="0"/>
                    <w:bottom w:val="single" w:color="auto" w:sz="4" w:space="0"/>
                    <w:right w:val="single" w:color="auto" w:sz="4" w:space="0"/>
                  </w:tcBorders>
                  <w:vAlign w:val="center"/>
                </w:tcPr>
                <w:p w14:paraId="40B613F3">
                  <w:pPr>
                    <w:pStyle w:val="116"/>
                    <w:rPr>
                      <w:rFonts w:hint="eastAsia" w:hAnsi="宋体"/>
                    </w:rPr>
                  </w:pPr>
                  <w:r>
                    <w:rPr>
                      <w:rFonts w:hint="eastAsia" w:hAnsi="宋体"/>
                    </w:rPr>
                    <w:t>“泥浆不落地”工艺成熟高效，可减少钻井固废产生；钻井固废处理后再利用。</w:t>
                  </w:r>
                </w:p>
              </w:tc>
              <w:tc>
                <w:tcPr>
                  <w:tcW w:w="725" w:type="pct"/>
                  <w:tcBorders>
                    <w:top w:val="single" w:color="auto" w:sz="4" w:space="0"/>
                    <w:left w:val="single" w:color="auto" w:sz="4" w:space="0"/>
                    <w:bottom w:val="single" w:color="auto" w:sz="4" w:space="0"/>
                    <w:right w:val="single" w:color="auto" w:sz="4" w:space="0"/>
                  </w:tcBorders>
                  <w:vAlign w:val="center"/>
                </w:tcPr>
                <w:p w14:paraId="24281ED5">
                  <w:pPr>
                    <w:pStyle w:val="116"/>
                    <w:rPr>
                      <w:rFonts w:hint="eastAsia" w:hAnsi="宋体"/>
                    </w:rPr>
                  </w:pPr>
                  <w:r>
                    <w:rPr>
                      <w:rFonts w:hint="eastAsia" w:hAnsi="宋体"/>
                    </w:rPr>
                    <w:t>实现资源减量化、循环化、无害化</w:t>
                  </w:r>
                </w:p>
              </w:tc>
              <w:tc>
                <w:tcPr>
                  <w:tcW w:w="524" w:type="pct"/>
                  <w:tcBorders>
                    <w:top w:val="single" w:color="auto" w:sz="4" w:space="0"/>
                    <w:left w:val="single" w:color="auto" w:sz="4" w:space="0"/>
                    <w:bottom w:val="single" w:color="auto" w:sz="4" w:space="0"/>
                    <w:right w:val="single" w:color="auto" w:sz="4" w:space="0"/>
                  </w:tcBorders>
                  <w:vAlign w:val="center"/>
                </w:tcPr>
                <w:p w14:paraId="323384C8">
                  <w:pPr>
                    <w:pStyle w:val="116"/>
                    <w:rPr>
                      <w:rFonts w:hint="eastAsia" w:hAnsi="宋体"/>
                    </w:rPr>
                  </w:pPr>
                  <w:r>
                    <w:rPr>
                      <w:rFonts w:hint="eastAsia" w:hAnsi="宋体"/>
                    </w:rPr>
                    <w:t>零排放</w:t>
                  </w:r>
                </w:p>
              </w:tc>
              <w:tc>
                <w:tcPr>
                  <w:tcW w:w="371" w:type="pct"/>
                  <w:tcBorders>
                    <w:top w:val="single" w:color="auto" w:sz="4" w:space="0"/>
                    <w:left w:val="single" w:color="auto" w:sz="4" w:space="0"/>
                    <w:bottom w:val="single" w:color="auto" w:sz="4" w:space="0"/>
                    <w:right w:val="single" w:color="auto" w:sz="4" w:space="0"/>
                  </w:tcBorders>
                  <w:vAlign w:val="center"/>
                </w:tcPr>
                <w:p w14:paraId="7D79B75B">
                  <w:pPr>
                    <w:pStyle w:val="116"/>
                    <w:rPr>
                      <w:rFonts w:hint="eastAsia" w:hAnsi="宋体"/>
                    </w:rPr>
                  </w:pPr>
                  <w:r>
                    <w:rPr>
                      <w:rFonts w:hint="eastAsia" w:hAnsi="宋体"/>
                    </w:rPr>
                    <w:t>可行</w:t>
                  </w:r>
                </w:p>
              </w:tc>
            </w:tr>
            <w:tr w14:paraId="10FB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2" w:type="dxa"/>
                  <w:vMerge w:val="continue"/>
                  <w:tcBorders>
                    <w:top w:val="single" w:color="auto" w:sz="4" w:space="0"/>
                    <w:left w:val="single" w:color="auto" w:sz="4" w:space="0"/>
                    <w:bottom w:val="single" w:color="auto" w:sz="4" w:space="0"/>
                    <w:right w:val="single" w:color="auto" w:sz="4" w:space="0"/>
                  </w:tcBorders>
                  <w:vAlign w:val="center"/>
                </w:tcPr>
                <w:p w14:paraId="522E9BAD">
                  <w:pPr>
                    <w:pStyle w:val="116"/>
                    <w:rPr>
                      <w:rFonts w:hint="eastAsia" w:hAnsi="宋体"/>
                    </w:rPr>
                  </w:pPr>
                </w:p>
              </w:tc>
              <w:tc>
                <w:tcPr>
                  <w:tcW w:w="511" w:type="pct"/>
                  <w:tcBorders>
                    <w:top w:val="single" w:color="auto" w:sz="4" w:space="0"/>
                    <w:left w:val="single" w:color="auto" w:sz="4" w:space="0"/>
                    <w:bottom w:val="single" w:color="auto" w:sz="4" w:space="0"/>
                    <w:right w:val="single" w:color="auto" w:sz="4" w:space="0"/>
                  </w:tcBorders>
                  <w:vAlign w:val="center"/>
                </w:tcPr>
                <w:p w14:paraId="61170B1F">
                  <w:pPr>
                    <w:pStyle w:val="116"/>
                    <w:rPr>
                      <w:rFonts w:hint="eastAsia" w:hAnsi="宋体"/>
                    </w:rPr>
                  </w:pPr>
                  <w:r>
                    <w:rPr>
                      <w:rFonts w:hint="eastAsia" w:hAnsi="宋体"/>
                    </w:rPr>
                    <w:t>废沾油防渗材料</w:t>
                  </w:r>
                </w:p>
              </w:tc>
              <w:tc>
                <w:tcPr>
                  <w:tcW w:w="1341" w:type="pct"/>
                  <w:tcBorders>
                    <w:top w:val="single" w:color="auto" w:sz="4" w:space="0"/>
                    <w:left w:val="single" w:color="auto" w:sz="4" w:space="0"/>
                    <w:bottom w:val="single" w:color="auto" w:sz="4" w:space="0"/>
                    <w:right w:val="single" w:color="auto" w:sz="4" w:space="0"/>
                  </w:tcBorders>
                  <w:vAlign w:val="center"/>
                </w:tcPr>
                <w:p w14:paraId="4C1284D8">
                  <w:pPr>
                    <w:pStyle w:val="116"/>
                    <w:rPr>
                      <w:rFonts w:hint="eastAsia" w:hAnsi="宋体"/>
                    </w:rPr>
                  </w:pPr>
                  <w:r>
                    <w:rPr>
                      <w:rFonts w:hint="eastAsia" w:hAnsi="宋体"/>
                    </w:rPr>
                    <w:t>废沾油防渗材料循环利用，使用过程中如产生不可利用的废沾油防渗材料，统一委托有危险废物处理资质单位处置</w:t>
                  </w:r>
                </w:p>
              </w:tc>
              <w:tc>
                <w:tcPr>
                  <w:tcW w:w="1129" w:type="pct"/>
                  <w:tcBorders>
                    <w:top w:val="single" w:color="auto" w:sz="4" w:space="0"/>
                    <w:left w:val="single" w:color="auto" w:sz="4" w:space="0"/>
                    <w:bottom w:val="single" w:color="auto" w:sz="4" w:space="0"/>
                    <w:right w:val="single" w:color="auto" w:sz="4" w:space="0"/>
                  </w:tcBorders>
                  <w:vAlign w:val="center"/>
                </w:tcPr>
                <w:p w14:paraId="7D7F3179">
                  <w:pPr>
                    <w:pStyle w:val="116"/>
                    <w:rPr>
                      <w:rFonts w:hint="eastAsia" w:hAnsi="宋体"/>
                    </w:rPr>
                  </w:pPr>
                  <w:r>
                    <w:rPr>
                      <w:rFonts w:hint="eastAsia" w:hAnsi="宋体"/>
                    </w:rPr>
                    <w:t>循环利用，使用过程中如产生不可利用的废沾油防渗材料，统一委托有危险废物处置资质的单位处。</w:t>
                  </w:r>
                </w:p>
              </w:tc>
              <w:tc>
                <w:tcPr>
                  <w:tcW w:w="725" w:type="pct"/>
                  <w:tcBorders>
                    <w:top w:val="single" w:color="auto" w:sz="4" w:space="0"/>
                    <w:left w:val="single" w:color="auto" w:sz="4" w:space="0"/>
                    <w:bottom w:val="single" w:color="auto" w:sz="4" w:space="0"/>
                    <w:right w:val="single" w:color="auto" w:sz="4" w:space="0"/>
                  </w:tcBorders>
                  <w:vAlign w:val="center"/>
                </w:tcPr>
                <w:p w14:paraId="1399FB73">
                  <w:pPr>
                    <w:pStyle w:val="116"/>
                    <w:rPr>
                      <w:rFonts w:hint="eastAsia" w:hAnsi="宋体"/>
                    </w:rPr>
                  </w:pPr>
                  <w:r>
                    <w:rPr>
                      <w:rFonts w:hint="eastAsia" w:hAnsi="宋体"/>
                    </w:rPr>
                    <w:t>实现无害化处置</w:t>
                  </w:r>
                </w:p>
              </w:tc>
              <w:tc>
                <w:tcPr>
                  <w:tcW w:w="524" w:type="pct"/>
                  <w:tcBorders>
                    <w:top w:val="single" w:color="auto" w:sz="4" w:space="0"/>
                    <w:left w:val="single" w:color="auto" w:sz="4" w:space="0"/>
                    <w:bottom w:val="single" w:color="auto" w:sz="4" w:space="0"/>
                    <w:right w:val="single" w:color="auto" w:sz="4" w:space="0"/>
                  </w:tcBorders>
                  <w:vAlign w:val="center"/>
                </w:tcPr>
                <w:p w14:paraId="1550346F">
                  <w:pPr>
                    <w:pStyle w:val="116"/>
                    <w:rPr>
                      <w:rFonts w:hint="eastAsia" w:hAnsi="宋体"/>
                    </w:rPr>
                  </w:pPr>
                  <w:r>
                    <w:rPr>
                      <w:rFonts w:hint="eastAsia" w:hAnsi="宋体"/>
                    </w:rPr>
                    <w:t>零排放</w:t>
                  </w:r>
                </w:p>
              </w:tc>
              <w:tc>
                <w:tcPr>
                  <w:tcW w:w="371" w:type="pct"/>
                  <w:tcBorders>
                    <w:top w:val="single" w:color="auto" w:sz="4" w:space="0"/>
                    <w:left w:val="single" w:color="auto" w:sz="4" w:space="0"/>
                    <w:bottom w:val="single" w:color="auto" w:sz="4" w:space="0"/>
                    <w:right w:val="single" w:color="auto" w:sz="4" w:space="0"/>
                  </w:tcBorders>
                  <w:vAlign w:val="center"/>
                </w:tcPr>
                <w:p w14:paraId="40F84F01">
                  <w:pPr>
                    <w:pStyle w:val="116"/>
                    <w:rPr>
                      <w:rFonts w:hint="eastAsia" w:hAnsi="宋体"/>
                    </w:rPr>
                  </w:pPr>
                  <w:r>
                    <w:rPr>
                      <w:rFonts w:hint="eastAsia" w:hAnsi="宋体"/>
                    </w:rPr>
                    <w:t>可行</w:t>
                  </w:r>
                </w:p>
              </w:tc>
            </w:tr>
            <w:tr w14:paraId="756F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2" w:type="dxa"/>
                  <w:vMerge w:val="continue"/>
                  <w:tcBorders>
                    <w:top w:val="single" w:color="auto" w:sz="4" w:space="0"/>
                    <w:left w:val="single" w:color="auto" w:sz="4" w:space="0"/>
                    <w:bottom w:val="single" w:color="auto" w:sz="4" w:space="0"/>
                    <w:right w:val="single" w:color="auto" w:sz="4" w:space="0"/>
                  </w:tcBorders>
                  <w:vAlign w:val="center"/>
                </w:tcPr>
                <w:p w14:paraId="243056E4">
                  <w:pPr>
                    <w:pStyle w:val="116"/>
                    <w:rPr>
                      <w:rFonts w:hint="eastAsia" w:hAnsi="宋体"/>
                    </w:rPr>
                  </w:pPr>
                </w:p>
              </w:tc>
              <w:tc>
                <w:tcPr>
                  <w:tcW w:w="511" w:type="pct"/>
                  <w:tcBorders>
                    <w:top w:val="single" w:color="auto" w:sz="4" w:space="0"/>
                    <w:left w:val="single" w:color="auto" w:sz="4" w:space="0"/>
                    <w:bottom w:val="single" w:color="auto" w:sz="4" w:space="0"/>
                    <w:right w:val="single" w:color="auto" w:sz="4" w:space="0"/>
                  </w:tcBorders>
                  <w:vAlign w:val="center"/>
                </w:tcPr>
                <w:p w14:paraId="6D822DFC">
                  <w:pPr>
                    <w:pStyle w:val="116"/>
                    <w:rPr>
                      <w:rFonts w:hint="eastAsia" w:hAnsi="宋体"/>
                    </w:rPr>
                  </w:pPr>
                  <w:r>
                    <w:rPr>
                      <w:rFonts w:hint="eastAsia" w:hAnsi="宋体"/>
                    </w:rPr>
                    <w:t>设备保养产生的危废</w:t>
                  </w:r>
                </w:p>
              </w:tc>
              <w:tc>
                <w:tcPr>
                  <w:tcW w:w="1341" w:type="pct"/>
                  <w:tcBorders>
                    <w:top w:val="single" w:color="auto" w:sz="4" w:space="0"/>
                    <w:left w:val="single" w:color="auto" w:sz="4" w:space="0"/>
                    <w:bottom w:val="single" w:color="auto" w:sz="4" w:space="0"/>
                    <w:right w:val="single" w:color="auto" w:sz="4" w:space="0"/>
                  </w:tcBorders>
                  <w:vAlign w:val="center"/>
                </w:tcPr>
                <w:p w14:paraId="362B0F7D">
                  <w:pPr>
                    <w:pStyle w:val="116"/>
                    <w:rPr>
                      <w:rFonts w:hint="eastAsia" w:hAnsi="宋体"/>
                    </w:rPr>
                  </w:pPr>
                  <w:r>
                    <w:rPr>
                      <w:rFonts w:hint="eastAsia" w:hAnsi="宋体"/>
                    </w:rPr>
                    <w:t>设备保养、维护产生的废润滑油、废润滑油桶、废弃的含油抹布、劳保用品在井场危废贮存点内暂存，统一委托有危险废物处置资质的单位处理</w:t>
                  </w:r>
                </w:p>
              </w:tc>
              <w:tc>
                <w:tcPr>
                  <w:tcW w:w="1129" w:type="pct"/>
                  <w:tcBorders>
                    <w:top w:val="single" w:color="auto" w:sz="4" w:space="0"/>
                    <w:left w:val="single" w:color="auto" w:sz="4" w:space="0"/>
                    <w:bottom w:val="single" w:color="auto" w:sz="4" w:space="0"/>
                    <w:right w:val="single" w:color="auto" w:sz="4" w:space="0"/>
                  </w:tcBorders>
                  <w:vAlign w:val="center"/>
                </w:tcPr>
                <w:p w14:paraId="2CFDFA77">
                  <w:pPr>
                    <w:pStyle w:val="116"/>
                    <w:rPr>
                      <w:rFonts w:hint="eastAsia" w:hAnsi="宋体"/>
                    </w:rPr>
                  </w:pPr>
                  <w:r>
                    <w:rPr>
                      <w:rFonts w:hint="eastAsia" w:hAnsi="宋体"/>
                    </w:rPr>
                    <w:t>在井场危废贮存点内暂存，统一委托有危险废物处置资质的单位处理</w:t>
                  </w:r>
                </w:p>
              </w:tc>
              <w:tc>
                <w:tcPr>
                  <w:tcW w:w="725" w:type="pct"/>
                  <w:tcBorders>
                    <w:top w:val="single" w:color="auto" w:sz="4" w:space="0"/>
                    <w:left w:val="single" w:color="auto" w:sz="4" w:space="0"/>
                    <w:bottom w:val="single" w:color="auto" w:sz="4" w:space="0"/>
                    <w:right w:val="single" w:color="auto" w:sz="4" w:space="0"/>
                  </w:tcBorders>
                  <w:vAlign w:val="center"/>
                </w:tcPr>
                <w:p w14:paraId="267E68B8">
                  <w:pPr>
                    <w:pStyle w:val="116"/>
                    <w:rPr>
                      <w:rFonts w:hint="eastAsia" w:hAnsi="宋体"/>
                    </w:rPr>
                  </w:pPr>
                  <w:r>
                    <w:rPr>
                      <w:rFonts w:hint="eastAsia" w:hAnsi="宋体"/>
                    </w:rPr>
                    <w:t>实现无害化处置</w:t>
                  </w:r>
                </w:p>
              </w:tc>
              <w:tc>
                <w:tcPr>
                  <w:tcW w:w="524" w:type="pct"/>
                  <w:tcBorders>
                    <w:top w:val="single" w:color="auto" w:sz="4" w:space="0"/>
                    <w:left w:val="single" w:color="auto" w:sz="4" w:space="0"/>
                    <w:bottom w:val="single" w:color="auto" w:sz="4" w:space="0"/>
                    <w:right w:val="single" w:color="auto" w:sz="4" w:space="0"/>
                  </w:tcBorders>
                  <w:vAlign w:val="center"/>
                </w:tcPr>
                <w:p w14:paraId="5A842B3E">
                  <w:pPr>
                    <w:pStyle w:val="116"/>
                    <w:rPr>
                      <w:rFonts w:hint="eastAsia" w:hAnsi="宋体"/>
                    </w:rPr>
                  </w:pPr>
                  <w:r>
                    <w:rPr>
                      <w:rFonts w:hint="eastAsia" w:hAnsi="宋体"/>
                    </w:rPr>
                    <w:t>零排放</w:t>
                  </w:r>
                </w:p>
              </w:tc>
              <w:tc>
                <w:tcPr>
                  <w:tcW w:w="371" w:type="pct"/>
                  <w:tcBorders>
                    <w:top w:val="single" w:color="auto" w:sz="4" w:space="0"/>
                    <w:left w:val="single" w:color="auto" w:sz="4" w:space="0"/>
                    <w:bottom w:val="single" w:color="auto" w:sz="4" w:space="0"/>
                    <w:right w:val="single" w:color="auto" w:sz="4" w:space="0"/>
                  </w:tcBorders>
                  <w:vAlign w:val="center"/>
                </w:tcPr>
                <w:p w14:paraId="1B7BBF8B">
                  <w:pPr>
                    <w:pStyle w:val="116"/>
                    <w:rPr>
                      <w:rFonts w:hint="eastAsia" w:hAnsi="宋体"/>
                    </w:rPr>
                  </w:pPr>
                  <w:r>
                    <w:rPr>
                      <w:rFonts w:hint="eastAsia" w:hAnsi="宋体"/>
                    </w:rPr>
                    <w:t>可行</w:t>
                  </w:r>
                </w:p>
              </w:tc>
            </w:tr>
            <w:tr w14:paraId="06AA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2" w:type="dxa"/>
                  <w:vMerge w:val="continue"/>
                  <w:tcBorders>
                    <w:top w:val="single" w:color="auto" w:sz="4" w:space="0"/>
                    <w:left w:val="single" w:color="auto" w:sz="4" w:space="0"/>
                    <w:bottom w:val="single" w:color="auto" w:sz="4" w:space="0"/>
                    <w:right w:val="single" w:color="auto" w:sz="4" w:space="0"/>
                  </w:tcBorders>
                  <w:vAlign w:val="center"/>
                </w:tcPr>
                <w:p w14:paraId="64988178">
                  <w:pPr>
                    <w:pStyle w:val="116"/>
                    <w:rPr>
                      <w:rFonts w:hint="eastAsia" w:hAnsi="宋体"/>
                    </w:rPr>
                  </w:pPr>
                </w:p>
              </w:tc>
              <w:tc>
                <w:tcPr>
                  <w:tcW w:w="511" w:type="pct"/>
                  <w:tcBorders>
                    <w:top w:val="single" w:color="auto" w:sz="4" w:space="0"/>
                    <w:left w:val="single" w:color="auto" w:sz="4" w:space="0"/>
                    <w:bottom w:val="single" w:color="auto" w:sz="4" w:space="0"/>
                    <w:right w:val="single" w:color="auto" w:sz="4" w:space="0"/>
                  </w:tcBorders>
                  <w:vAlign w:val="center"/>
                </w:tcPr>
                <w:p w14:paraId="49ABBA3A">
                  <w:pPr>
                    <w:pStyle w:val="116"/>
                    <w:rPr>
                      <w:rFonts w:hint="eastAsia" w:hAnsi="宋体"/>
                    </w:rPr>
                  </w:pPr>
                  <w:r>
                    <w:rPr>
                      <w:rFonts w:hint="eastAsia" w:hAnsi="宋体"/>
                    </w:rPr>
                    <w:t>废弃包装物</w:t>
                  </w:r>
                </w:p>
              </w:tc>
              <w:tc>
                <w:tcPr>
                  <w:tcW w:w="1341" w:type="pct"/>
                  <w:tcBorders>
                    <w:top w:val="single" w:color="auto" w:sz="4" w:space="0"/>
                    <w:left w:val="single" w:color="auto" w:sz="4" w:space="0"/>
                    <w:bottom w:val="single" w:color="auto" w:sz="4" w:space="0"/>
                    <w:right w:val="single" w:color="auto" w:sz="4" w:space="0"/>
                  </w:tcBorders>
                  <w:vAlign w:val="center"/>
                </w:tcPr>
                <w:p w14:paraId="5C14108B">
                  <w:pPr>
                    <w:pStyle w:val="116"/>
                    <w:rPr>
                      <w:rFonts w:hint="eastAsia" w:hAnsi="宋体"/>
                    </w:rPr>
                  </w:pPr>
                  <w:r>
                    <w:rPr>
                      <w:rFonts w:hint="eastAsia" w:hAnsi="宋体"/>
                    </w:rPr>
                    <w:t>属于危险废物的在井场危废贮存点内暂存，定期交由有资质的危废处置单位处理；属于一般固废的由供货厂家回收后利用</w:t>
                  </w:r>
                </w:p>
              </w:tc>
              <w:tc>
                <w:tcPr>
                  <w:tcW w:w="1129" w:type="pct"/>
                  <w:tcBorders>
                    <w:top w:val="single" w:color="auto" w:sz="4" w:space="0"/>
                    <w:left w:val="single" w:color="auto" w:sz="4" w:space="0"/>
                    <w:bottom w:val="single" w:color="auto" w:sz="4" w:space="0"/>
                    <w:right w:val="single" w:color="auto" w:sz="4" w:space="0"/>
                  </w:tcBorders>
                  <w:vAlign w:val="center"/>
                </w:tcPr>
                <w:p w14:paraId="08CB9DA9">
                  <w:pPr>
                    <w:pStyle w:val="116"/>
                    <w:rPr>
                      <w:rFonts w:hint="eastAsia" w:hAnsi="宋体"/>
                    </w:rPr>
                  </w:pPr>
                  <w:r>
                    <w:rPr>
                      <w:rFonts w:hint="eastAsia" w:hAnsi="宋体"/>
                    </w:rPr>
                    <w:t>属于危险废物的在井场危废贮存点内暂存，统一委托有危险废物处置资质的单位处理；属于一般固废的直接回收，不暂存</w:t>
                  </w:r>
                </w:p>
              </w:tc>
              <w:tc>
                <w:tcPr>
                  <w:tcW w:w="725" w:type="pct"/>
                  <w:tcBorders>
                    <w:top w:val="single" w:color="auto" w:sz="4" w:space="0"/>
                    <w:left w:val="single" w:color="auto" w:sz="4" w:space="0"/>
                    <w:bottom w:val="single" w:color="auto" w:sz="4" w:space="0"/>
                    <w:right w:val="single" w:color="auto" w:sz="4" w:space="0"/>
                  </w:tcBorders>
                  <w:vAlign w:val="center"/>
                </w:tcPr>
                <w:p w14:paraId="066C04DC">
                  <w:pPr>
                    <w:pStyle w:val="116"/>
                    <w:rPr>
                      <w:rFonts w:hint="eastAsia" w:hAnsi="宋体"/>
                    </w:rPr>
                  </w:pPr>
                  <w:r>
                    <w:rPr>
                      <w:rFonts w:hint="eastAsia" w:hAnsi="宋体"/>
                    </w:rPr>
                    <w:t>实现循环化、无害化</w:t>
                  </w:r>
                </w:p>
              </w:tc>
              <w:tc>
                <w:tcPr>
                  <w:tcW w:w="524" w:type="pct"/>
                  <w:tcBorders>
                    <w:top w:val="single" w:color="auto" w:sz="4" w:space="0"/>
                    <w:left w:val="single" w:color="auto" w:sz="4" w:space="0"/>
                    <w:bottom w:val="single" w:color="auto" w:sz="4" w:space="0"/>
                    <w:right w:val="single" w:color="auto" w:sz="4" w:space="0"/>
                  </w:tcBorders>
                  <w:vAlign w:val="center"/>
                </w:tcPr>
                <w:p w14:paraId="790322B1">
                  <w:pPr>
                    <w:pStyle w:val="116"/>
                    <w:rPr>
                      <w:rFonts w:hint="eastAsia" w:hAnsi="宋体"/>
                    </w:rPr>
                  </w:pPr>
                  <w:r>
                    <w:rPr>
                      <w:rFonts w:hint="eastAsia" w:hAnsi="宋体"/>
                    </w:rPr>
                    <w:t>零排放</w:t>
                  </w:r>
                </w:p>
              </w:tc>
              <w:tc>
                <w:tcPr>
                  <w:tcW w:w="371" w:type="pct"/>
                  <w:tcBorders>
                    <w:top w:val="single" w:color="auto" w:sz="4" w:space="0"/>
                    <w:left w:val="single" w:color="auto" w:sz="4" w:space="0"/>
                    <w:bottom w:val="single" w:color="auto" w:sz="4" w:space="0"/>
                    <w:right w:val="single" w:color="auto" w:sz="4" w:space="0"/>
                  </w:tcBorders>
                  <w:vAlign w:val="center"/>
                </w:tcPr>
                <w:p w14:paraId="0856D80A">
                  <w:pPr>
                    <w:pStyle w:val="116"/>
                    <w:rPr>
                      <w:rFonts w:hint="eastAsia" w:hAnsi="宋体"/>
                    </w:rPr>
                  </w:pPr>
                  <w:r>
                    <w:rPr>
                      <w:rFonts w:hint="eastAsia" w:hAnsi="宋体"/>
                    </w:rPr>
                    <w:t>可行</w:t>
                  </w:r>
                </w:p>
              </w:tc>
            </w:tr>
            <w:tr w14:paraId="71D6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2" w:type="dxa"/>
                  <w:vMerge w:val="continue"/>
                  <w:tcBorders>
                    <w:top w:val="single" w:color="auto" w:sz="4" w:space="0"/>
                    <w:left w:val="single" w:color="auto" w:sz="4" w:space="0"/>
                    <w:bottom w:val="single" w:color="auto" w:sz="4" w:space="0"/>
                    <w:right w:val="single" w:color="auto" w:sz="4" w:space="0"/>
                  </w:tcBorders>
                  <w:vAlign w:val="center"/>
                </w:tcPr>
                <w:p w14:paraId="5DFA1141">
                  <w:pPr>
                    <w:pStyle w:val="116"/>
                    <w:rPr>
                      <w:rFonts w:hint="eastAsia" w:hAnsi="宋体"/>
                    </w:rPr>
                  </w:pPr>
                </w:p>
              </w:tc>
              <w:tc>
                <w:tcPr>
                  <w:tcW w:w="511" w:type="pct"/>
                  <w:tcBorders>
                    <w:top w:val="single" w:color="auto" w:sz="4" w:space="0"/>
                    <w:left w:val="single" w:color="auto" w:sz="4" w:space="0"/>
                    <w:bottom w:val="single" w:color="auto" w:sz="4" w:space="0"/>
                    <w:right w:val="single" w:color="auto" w:sz="4" w:space="0"/>
                  </w:tcBorders>
                  <w:vAlign w:val="center"/>
                </w:tcPr>
                <w:p w14:paraId="5D74D2FD">
                  <w:pPr>
                    <w:pStyle w:val="116"/>
                    <w:rPr>
                      <w:rFonts w:hint="eastAsia" w:hAnsi="宋体"/>
                    </w:rPr>
                  </w:pPr>
                  <w:r>
                    <w:rPr>
                      <w:rFonts w:hint="eastAsia" w:hAnsi="宋体"/>
                    </w:rPr>
                    <w:t>生活垃圾</w:t>
                  </w:r>
                </w:p>
              </w:tc>
              <w:tc>
                <w:tcPr>
                  <w:tcW w:w="1341" w:type="pct"/>
                  <w:tcBorders>
                    <w:top w:val="single" w:color="auto" w:sz="4" w:space="0"/>
                    <w:left w:val="single" w:color="auto" w:sz="4" w:space="0"/>
                    <w:bottom w:val="single" w:color="auto" w:sz="4" w:space="0"/>
                    <w:right w:val="single" w:color="auto" w:sz="4" w:space="0"/>
                  </w:tcBorders>
                  <w:vAlign w:val="center"/>
                </w:tcPr>
                <w:p w14:paraId="65CF0EB9">
                  <w:pPr>
                    <w:pStyle w:val="116"/>
                    <w:rPr>
                      <w:rFonts w:hint="eastAsia" w:hAnsi="宋体"/>
                    </w:rPr>
                  </w:pPr>
                  <w:r>
                    <w:rPr>
                      <w:rFonts w:hint="eastAsia" w:hAnsi="宋体"/>
                    </w:rPr>
                    <w:t>施工场地临设垃圾桶内，由施工单位交由环卫部门处理</w:t>
                  </w:r>
                </w:p>
              </w:tc>
              <w:tc>
                <w:tcPr>
                  <w:tcW w:w="1129" w:type="pct"/>
                  <w:tcBorders>
                    <w:top w:val="single" w:color="auto" w:sz="4" w:space="0"/>
                    <w:left w:val="single" w:color="auto" w:sz="4" w:space="0"/>
                    <w:bottom w:val="single" w:color="auto" w:sz="4" w:space="0"/>
                    <w:right w:val="single" w:color="auto" w:sz="4" w:space="0"/>
                  </w:tcBorders>
                  <w:vAlign w:val="center"/>
                </w:tcPr>
                <w:p w14:paraId="5374AEBD">
                  <w:pPr>
                    <w:pStyle w:val="116"/>
                    <w:rPr>
                      <w:rFonts w:hint="eastAsia" w:hAnsi="宋体"/>
                    </w:rPr>
                  </w:pPr>
                  <w:r>
                    <w:rPr>
                      <w:rFonts w:hint="eastAsia" w:hAnsi="宋体"/>
                    </w:rPr>
                    <w:t>施工人员数量有限，临时垃圾桶足以盛装生活垃圾</w:t>
                  </w:r>
                </w:p>
              </w:tc>
              <w:tc>
                <w:tcPr>
                  <w:tcW w:w="725" w:type="pct"/>
                  <w:tcBorders>
                    <w:top w:val="single" w:color="auto" w:sz="4" w:space="0"/>
                    <w:left w:val="single" w:color="auto" w:sz="4" w:space="0"/>
                    <w:bottom w:val="single" w:color="auto" w:sz="4" w:space="0"/>
                    <w:right w:val="single" w:color="auto" w:sz="4" w:space="0"/>
                  </w:tcBorders>
                  <w:vAlign w:val="center"/>
                </w:tcPr>
                <w:p w14:paraId="3E607934">
                  <w:pPr>
                    <w:pStyle w:val="116"/>
                    <w:rPr>
                      <w:rFonts w:hint="eastAsia" w:hAnsi="宋体"/>
                    </w:rPr>
                  </w:pPr>
                  <w:r>
                    <w:rPr>
                      <w:rFonts w:hint="eastAsia" w:hAnsi="宋体"/>
                    </w:rPr>
                    <w:t>投资较少</w:t>
                  </w:r>
                </w:p>
              </w:tc>
              <w:tc>
                <w:tcPr>
                  <w:tcW w:w="524" w:type="pct"/>
                  <w:tcBorders>
                    <w:top w:val="single" w:color="auto" w:sz="4" w:space="0"/>
                    <w:left w:val="single" w:color="auto" w:sz="4" w:space="0"/>
                    <w:bottom w:val="single" w:color="auto" w:sz="4" w:space="0"/>
                    <w:right w:val="single" w:color="auto" w:sz="4" w:space="0"/>
                  </w:tcBorders>
                  <w:vAlign w:val="center"/>
                </w:tcPr>
                <w:p w14:paraId="161692FD">
                  <w:pPr>
                    <w:pStyle w:val="116"/>
                    <w:rPr>
                      <w:rFonts w:hint="eastAsia" w:hAnsi="宋体"/>
                    </w:rPr>
                  </w:pPr>
                  <w:r>
                    <w:rPr>
                      <w:rFonts w:hint="eastAsia" w:hAnsi="宋体"/>
                    </w:rPr>
                    <w:t>无害化处置，不外排</w:t>
                  </w:r>
                </w:p>
              </w:tc>
              <w:tc>
                <w:tcPr>
                  <w:tcW w:w="371" w:type="pct"/>
                  <w:tcBorders>
                    <w:top w:val="single" w:color="auto" w:sz="4" w:space="0"/>
                    <w:left w:val="single" w:color="auto" w:sz="4" w:space="0"/>
                    <w:bottom w:val="single" w:color="auto" w:sz="4" w:space="0"/>
                    <w:right w:val="single" w:color="auto" w:sz="4" w:space="0"/>
                  </w:tcBorders>
                  <w:vAlign w:val="center"/>
                </w:tcPr>
                <w:p w14:paraId="7B11B83E">
                  <w:pPr>
                    <w:pStyle w:val="116"/>
                    <w:rPr>
                      <w:rFonts w:hint="eastAsia" w:hAnsi="宋体"/>
                    </w:rPr>
                  </w:pPr>
                  <w:r>
                    <w:rPr>
                      <w:rFonts w:hint="eastAsia" w:hAnsi="宋体"/>
                    </w:rPr>
                    <w:t>可行</w:t>
                  </w:r>
                </w:p>
              </w:tc>
            </w:tr>
            <w:tr w14:paraId="51F3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2" w:type="dxa"/>
                  <w:vMerge w:val="continue"/>
                  <w:tcBorders>
                    <w:top w:val="single" w:color="auto" w:sz="4" w:space="0"/>
                    <w:left w:val="single" w:color="auto" w:sz="4" w:space="0"/>
                    <w:bottom w:val="single" w:color="auto" w:sz="4" w:space="0"/>
                    <w:right w:val="single" w:color="auto" w:sz="4" w:space="0"/>
                  </w:tcBorders>
                  <w:vAlign w:val="center"/>
                </w:tcPr>
                <w:p w14:paraId="3D052214">
                  <w:pPr>
                    <w:pStyle w:val="116"/>
                    <w:rPr>
                      <w:rFonts w:hint="eastAsia" w:hAnsi="宋体"/>
                    </w:rPr>
                  </w:pPr>
                </w:p>
              </w:tc>
              <w:tc>
                <w:tcPr>
                  <w:tcW w:w="511" w:type="pct"/>
                  <w:tcBorders>
                    <w:top w:val="single" w:color="auto" w:sz="4" w:space="0"/>
                    <w:left w:val="single" w:color="auto" w:sz="4" w:space="0"/>
                    <w:bottom w:val="single" w:color="auto" w:sz="4" w:space="0"/>
                    <w:right w:val="single" w:color="auto" w:sz="4" w:space="0"/>
                  </w:tcBorders>
                  <w:vAlign w:val="center"/>
                </w:tcPr>
                <w:p w14:paraId="08F9361B">
                  <w:pPr>
                    <w:pStyle w:val="116"/>
                    <w:rPr>
                      <w:rFonts w:hint="eastAsia" w:hAnsi="宋体"/>
                    </w:rPr>
                  </w:pPr>
                  <w:r>
                    <w:rPr>
                      <w:rFonts w:hint="eastAsia" w:hAnsi="宋体"/>
                    </w:rPr>
                    <w:t>锅炉炉渣</w:t>
                  </w:r>
                </w:p>
              </w:tc>
              <w:tc>
                <w:tcPr>
                  <w:tcW w:w="1341" w:type="pct"/>
                  <w:tcBorders>
                    <w:top w:val="single" w:color="auto" w:sz="4" w:space="0"/>
                    <w:left w:val="single" w:color="auto" w:sz="4" w:space="0"/>
                    <w:bottom w:val="single" w:color="auto" w:sz="4" w:space="0"/>
                    <w:right w:val="single" w:color="auto" w:sz="4" w:space="0"/>
                  </w:tcBorders>
                  <w:vAlign w:val="center"/>
                </w:tcPr>
                <w:p w14:paraId="5B9D5F4E">
                  <w:pPr>
                    <w:pStyle w:val="116"/>
                    <w:rPr>
                      <w:rFonts w:hint="eastAsia" w:hAnsi="宋体"/>
                    </w:rPr>
                  </w:pPr>
                  <w:r>
                    <w:rPr>
                      <w:rFonts w:hint="eastAsia" w:hAnsi="宋体"/>
                    </w:rPr>
                    <w:t>外售给有相关需求的厂家</w:t>
                  </w:r>
                </w:p>
              </w:tc>
              <w:tc>
                <w:tcPr>
                  <w:tcW w:w="1129" w:type="pct"/>
                  <w:tcBorders>
                    <w:top w:val="single" w:color="auto" w:sz="4" w:space="0"/>
                    <w:left w:val="single" w:color="auto" w:sz="4" w:space="0"/>
                    <w:bottom w:val="single" w:color="auto" w:sz="4" w:space="0"/>
                    <w:right w:val="single" w:color="auto" w:sz="4" w:space="0"/>
                  </w:tcBorders>
                  <w:vAlign w:val="center"/>
                </w:tcPr>
                <w:p w14:paraId="3F5E27B3">
                  <w:pPr>
                    <w:pStyle w:val="116"/>
                    <w:rPr>
                      <w:rFonts w:hint="eastAsia" w:hAnsi="宋体"/>
                    </w:rPr>
                  </w:pPr>
                  <w:r>
                    <w:rPr>
                      <w:rFonts w:hint="eastAsia" w:hAnsi="宋体"/>
                    </w:rPr>
                    <w:t>在井场一般固废暂存间内暂存，统一外售给有需求的厂家</w:t>
                  </w:r>
                </w:p>
              </w:tc>
              <w:tc>
                <w:tcPr>
                  <w:tcW w:w="725" w:type="pct"/>
                  <w:tcBorders>
                    <w:top w:val="single" w:color="auto" w:sz="4" w:space="0"/>
                    <w:left w:val="single" w:color="auto" w:sz="4" w:space="0"/>
                    <w:bottom w:val="single" w:color="auto" w:sz="4" w:space="0"/>
                    <w:right w:val="single" w:color="auto" w:sz="4" w:space="0"/>
                  </w:tcBorders>
                  <w:vAlign w:val="center"/>
                </w:tcPr>
                <w:p w14:paraId="1A25DB3E">
                  <w:pPr>
                    <w:pStyle w:val="116"/>
                    <w:rPr>
                      <w:rFonts w:hint="eastAsia" w:hAnsi="宋体"/>
                    </w:rPr>
                  </w:pPr>
                  <w:r>
                    <w:rPr>
                      <w:rFonts w:hint="eastAsia" w:hAnsi="宋体"/>
                    </w:rPr>
                    <w:t>外售综合利用</w:t>
                  </w:r>
                </w:p>
              </w:tc>
              <w:tc>
                <w:tcPr>
                  <w:tcW w:w="524" w:type="pct"/>
                  <w:tcBorders>
                    <w:top w:val="single" w:color="auto" w:sz="4" w:space="0"/>
                    <w:left w:val="single" w:color="auto" w:sz="4" w:space="0"/>
                    <w:bottom w:val="single" w:color="auto" w:sz="4" w:space="0"/>
                    <w:right w:val="single" w:color="auto" w:sz="4" w:space="0"/>
                  </w:tcBorders>
                  <w:vAlign w:val="center"/>
                </w:tcPr>
                <w:p w14:paraId="39588B80">
                  <w:pPr>
                    <w:pStyle w:val="116"/>
                    <w:rPr>
                      <w:rFonts w:hint="eastAsia" w:hAnsi="宋体"/>
                    </w:rPr>
                  </w:pPr>
                  <w:r>
                    <w:rPr>
                      <w:rFonts w:hint="eastAsia" w:hAnsi="宋体"/>
                    </w:rPr>
                    <w:t>零排放</w:t>
                  </w:r>
                </w:p>
              </w:tc>
              <w:tc>
                <w:tcPr>
                  <w:tcW w:w="371" w:type="pct"/>
                  <w:tcBorders>
                    <w:top w:val="single" w:color="auto" w:sz="4" w:space="0"/>
                    <w:left w:val="single" w:color="auto" w:sz="4" w:space="0"/>
                    <w:bottom w:val="single" w:color="auto" w:sz="4" w:space="0"/>
                    <w:right w:val="single" w:color="auto" w:sz="4" w:space="0"/>
                  </w:tcBorders>
                  <w:vAlign w:val="center"/>
                </w:tcPr>
                <w:p w14:paraId="14EC8D43">
                  <w:pPr>
                    <w:pStyle w:val="116"/>
                    <w:rPr>
                      <w:rFonts w:hint="eastAsia" w:hAnsi="宋体"/>
                    </w:rPr>
                  </w:pPr>
                  <w:r>
                    <w:rPr>
                      <w:rFonts w:hint="eastAsia" w:hAnsi="宋体"/>
                    </w:rPr>
                    <w:t>可行</w:t>
                  </w:r>
                </w:p>
              </w:tc>
            </w:tr>
            <w:tr w14:paraId="17C9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2" w:type="dxa"/>
                  <w:vMerge w:val="continue"/>
                  <w:tcBorders>
                    <w:top w:val="single" w:color="auto" w:sz="4" w:space="0"/>
                    <w:left w:val="single" w:color="auto" w:sz="4" w:space="0"/>
                    <w:bottom w:val="single" w:color="auto" w:sz="4" w:space="0"/>
                    <w:right w:val="single" w:color="auto" w:sz="4" w:space="0"/>
                  </w:tcBorders>
                  <w:vAlign w:val="center"/>
                </w:tcPr>
                <w:p w14:paraId="1819B88C">
                  <w:pPr>
                    <w:pStyle w:val="116"/>
                    <w:rPr>
                      <w:rFonts w:hint="eastAsia" w:hAnsi="宋体"/>
                    </w:rPr>
                  </w:pPr>
                </w:p>
              </w:tc>
              <w:tc>
                <w:tcPr>
                  <w:tcW w:w="511" w:type="pct"/>
                  <w:tcBorders>
                    <w:top w:val="single" w:color="auto" w:sz="4" w:space="0"/>
                    <w:left w:val="single" w:color="auto" w:sz="4" w:space="0"/>
                    <w:bottom w:val="single" w:color="auto" w:sz="4" w:space="0"/>
                    <w:right w:val="single" w:color="auto" w:sz="4" w:space="0"/>
                  </w:tcBorders>
                  <w:vAlign w:val="center"/>
                </w:tcPr>
                <w:p w14:paraId="2DC99852">
                  <w:pPr>
                    <w:pStyle w:val="116"/>
                    <w:rPr>
                      <w:rFonts w:hint="eastAsia" w:hAnsi="宋体"/>
                    </w:rPr>
                  </w:pPr>
                  <w:r>
                    <w:rPr>
                      <w:rFonts w:hint="eastAsia" w:hAnsi="宋体"/>
                    </w:rPr>
                    <w:t>袋式除尘器截获的粉尘</w:t>
                  </w:r>
                </w:p>
              </w:tc>
              <w:tc>
                <w:tcPr>
                  <w:tcW w:w="1341" w:type="pct"/>
                  <w:tcBorders>
                    <w:top w:val="single" w:color="auto" w:sz="4" w:space="0"/>
                    <w:left w:val="single" w:color="auto" w:sz="4" w:space="0"/>
                    <w:bottom w:val="single" w:color="auto" w:sz="4" w:space="0"/>
                    <w:right w:val="single" w:color="auto" w:sz="4" w:space="0"/>
                  </w:tcBorders>
                  <w:vAlign w:val="center"/>
                </w:tcPr>
                <w:p w14:paraId="29E543E1">
                  <w:pPr>
                    <w:pStyle w:val="116"/>
                    <w:rPr>
                      <w:rFonts w:hint="eastAsia" w:hAnsi="宋体"/>
                    </w:rPr>
                  </w:pPr>
                  <w:r>
                    <w:rPr>
                      <w:rFonts w:hint="eastAsia" w:hAnsi="宋体"/>
                    </w:rPr>
                    <w:t>外售给有相关需求的厂家</w:t>
                  </w:r>
                </w:p>
              </w:tc>
              <w:tc>
                <w:tcPr>
                  <w:tcW w:w="1129" w:type="pct"/>
                  <w:tcBorders>
                    <w:top w:val="single" w:color="auto" w:sz="4" w:space="0"/>
                    <w:left w:val="single" w:color="auto" w:sz="4" w:space="0"/>
                    <w:bottom w:val="single" w:color="auto" w:sz="4" w:space="0"/>
                    <w:right w:val="single" w:color="auto" w:sz="4" w:space="0"/>
                  </w:tcBorders>
                  <w:vAlign w:val="center"/>
                </w:tcPr>
                <w:p w14:paraId="5B69CA28">
                  <w:pPr>
                    <w:pStyle w:val="116"/>
                    <w:rPr>
                      <w:rFonts w:hint="eastAsia" w:hAnsi="宋体"/>
                    </w:rPr>
                  </w:pPr>
                  <w:r>
                    <w:rPr>
                      <w:rFonts w:hint="eastAsia" w:hAnsi="宋体"/>
                    </w:rPr>
                    <w:t>在井场一般固废暂存间内暂存，统一外售给有需求的厂家</w:t>
                  </w:r>
                </w:p>
              </w:tc>
              <w:tc>
                <w:tcPr>
                  <w:tcW w:w="725" w:type="pct"/>
                  <w:tcBorders>
                    <w:top w:val="single" w:color="auto" w:sz="4" w:space="0"/>
                    <w:left w:val="single" w:color="auto" w:sz="4" w:space="0"/>
                    <w:bottom w:val="single" w:color="auto" w:sz="4" w:space="0"/>
                    <w:right w:val="single" w:color="auto" w:sz="4" w:space="0"/>
                  </w:tcBorders>
                  <w:vAlign w:val="center"/>
                </w:tcPr>
                <w:p w14:paraId="047D3BF3">
                  <w:pPr>
                    <w:pStyle w:val="116"/>
                    <w:rPr>
                      <w:rFonts w:hint="eastAsia" w:hAnsi="宋体"/>
                    </w:rPr>
                  </w:pPr>
                  <w:r>
                    <w:rPr>
                      <w:rFonts w:hint="eastAsia" w:hAnsi="宋体"/>
                    </w:rPr>
                    <w:t>外售综合利用</w:t>
                  </w:r>
                </w:p>
              </w:tc>
              <w:tc>
                <w:tcPr>
                  <w:tcW w:w="524" w:type="pct"/>
                  <w:tcBorders>
                    <w:top w:val="single" w:color="auto" w:sz="4" w:space="0"/>
                    <w:left w:val="single" w:color="auto" w:sz="4" w:space="0"/>
                    <w:bottom w:val="single" w:color="auto" w:sz="4" w:space="0"/>
                    <w:right w:val="single" w:color="auto" w:sz="4" w:space="0"/>
                  </w:tcBorders>
                  <w:vAlign w:val="center"/>
                </w:tcPr>
                <w:p w14:paraId="53717D78">
                  <w:pPr>
                    <w:pStyle w:val="116"/>
                    <w:rPr>
                      <w:rFonts w:hint="eastAsia" w:hAnsi="宋体"/>
                    </w:rPr>
                  </w:pPr>
                  <w:r>
                    <w:rPr>
                      <w:rFonts w:hint="eastAsia" w:hAnsi="宋体"/>
                    </w:rPr>
                    <w:t>零排放</w:t>
                  </w:r>
                </w:p>
              </w:tc>
              <w:tc>
                <w:tcPr>
                  <w:tcW w:w="371" w:type="pct"/>
                  <w:tcBorders>
                    <w:top w:val="single" w:color="auto" w:sz="4" w:space="0"/>
                    <w:left w:val="single" w:color="auto" w:sz="4" w:space="0"/>
                    <w:bottom w:val="single" w:color="auto" w:sz="4" w:space="0"/>
                    <w:right w:val="single" w:color="auto" w:sz="4" w:space="0"/>
                  </w:tcBorders>
                  <w:vAlign w:val="center"/>
                </w:tcPr>
                <w:p w14:paraId="43E7342B">
                  <w:pPr>
                    <w:pStyle w:val="116"/>
                    <w:rPr>
                      <w:rFonts w:hint="eastAsia" w:hAnsi="宋体"/>
                    </w:rPr>
                  </w:pPr>
                  <w:r>
                    <w:rPr>
                      <w:rFonts w:hint="eastAsia" w:hAnsi="宋体"/>
                    </w:rPr>
                    <w:t>可行</w:t>
                  </w:r>
                </w:p>
              </w:tc>
            </w:tr>
            <w:tr w14:paraId="1D11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2" w:type="dxa"/>
                  <w:vMerge w:val="continue"/>
                  <w:tcBorders>
                    <w:top w:val="single" w:color="auto" w:sz="4" w:space="0"/>
                    <w:left w:val="single" w:color="auto" w:sz="4" w:space="0"/>
                    <w:bottom w:val="single" w:color="auto" w:sz="4" w:space="0"/>
                    <w:right w:val="single" w:color="auto" w:sz="4" w:space="0"/>
                  </w:tcBorders>
                  <w:vAlign w:val="center"/>
                </w:tcPr>
                <w:p w14:paraId="1B9EDA02">
                  <w:pPr>
                    <w:pStyle w:val="116"/>
                    <w:rPr>
                      <w:rFonts w:hint="eastAsia" w:hAnsi="宋体"/>
                    </w:rPr>
                  </w:pPr>
                </w:p>
              </w:tc>
              <w:tc>
                <w:tcPr>
                  <w:tcW w:w="511" w:type="pct"/>
                  <w:tcBorders>
                    <w:top w:val="single" w:color="auto" w:sz="4" w:space="0"/>
                    <w:left w:val="single" w:color="auto" w:sz="4" w:space="0"/>
                    <w:bottom w:val="single" w:color="auto" w:sz="4" w:space="0"/>
                    <w:right w:val="single" w:color="auto" w:sz="4" w:space="0"/>
                  </w:tcBorders>
                  <w:vAlign w:val="center"/>
                </w:tcPr>
                <w:p w14:paraId="381E3FFD">
                  <w:pPr>
                    <w:pStyle w:val="116"/>
                    <w:rPr>
                      <w:rFonts w:hint="eastAsia" w:hAnsi="宋体"/>
                    </w:rPr>
                  </w:pPr>
                  <w:r>
                    <w:rPr>
                      <w:rFonts w:hint="eastAsia" w:hAnsi="宋体"/>
                    </w:rPr>
                    <w:t>脱硫石膏</w:t>
                  </w:r>
                </w:p>
              </w:tc>
              <w:tc>
                <w:tcPr>
                  <w:tcW w:w="1341" w:type="pct"/>
                  <w:tcBorders>
                    <w:top w:val="single" w:color="auto" w:sz="4" w:space="0"/>
                    <w:left w:val="single" w:color="auto" w:sz="4" w:space="0"/>
                    <w:bottom w:val="single" w:color="auto" w:sz="4" w:space="0"/>
                    <w:right w:val="single" w:color="auto" w:sz="4" w:space="0"/>
                  </w:tcBorders>
                  <w:vAlign w:val="center"/>
                </w:tcPr>
                <w:p w14:paraId="7B89AEC3">
                  <w:pPr>
                    <w:pStyle w:val="116"/>
                    <w:rPr>
                      <w:rFonts w:hint="eastAsia" w:hAnsi="宋体"/>
                    </w:rPr>
                  </w:pPr>
                  <w:r>
                    <w:rPr>
                      <w:rFonts w:hint="eastAsia" w:hAnsi="宋体"/>
                    </w:rPr>
                    <w:t>外售给有相关需求的厂家</w:t>
                  </w:r>
                </w:p>
              </w:tc>
              <w:tc>
                <w:tcPr>
                  <w:tcW w:w="1129" w:type="pct"/>
                  <w:tcBorders>
                    <w:top w:val="single" w:color="auto" w:sz="4" w:space="0"/>
                    <w:left w:val="single" w:color="auto" w:sz="4" w:space="0"/>
                    <w:bottom w:val="single" w:color="auto" w:sz="4" w:space="0"/>
                    <w:right w:val="single" w:color="auto" w:sz="4" w:space="0"/>
                  </w:tcBorders>
                  <w:vAlign w:val="center"/>
                </w:tcPr>
                <w:p w14:paraId="6C027795">
                  <w:pPr>
                    <w:pStyle w:val="116"/>
                    <w:rPr>
                      <w:rFonts w:hint="eastAsia" w:hAnsi="宋体"/>
                    </w:rPr>
                  </w:pPr>
                  <w:r>
                    <w:rPr>
                      <w:rFonts w:hint="eastAsia" w:hAnsi="宋体"/>
                    </w:rPr>
                    <w:t>在井场一般固废暂存间内暂存，统一外售给有需求的厂家</w:t>
                  </w:r>
                </w:p>
              </w:tc>
              <w:tc>
                <w:tcPr>
                  <w:tcW w:w="725" w:type="pct"/>
                  <w:tcBorders>
                    <w:top w:val="single" w:color="auto" w:sz="4" w:space="0"/>
                    <w:left w:val="single" w:color="auto" w:sz="4" w:space="0"/>
                    <w:bottom w:val="single" w:color="auto" w:sz="4" w:space="0"/>
                    <w:right w:val="single" w:color="auto" w:sz="4" w:space="0"/>
                  </w:tcBorders>
                  <w:vAlign w:val="center"/>
                </w:tcPr>
                <w:p w14:paraId="35B27C00">
                  <w:pPr>
                    <w:pStyle w:val="116"/>
                    <w:rPr>
                      <w:rFonts w:hint="eastAsia" w:hAnsi="宋体"/>
                    </w:rPr>
                  </w:pPr>
                  <w:r>
                    <w:rPr>
                      <w:rFonts w:hint="eastAsia" w:hAnsi="宋体"/>
                    </w:rPr>
                    <w:t>外售综合利用</w:t>
                  </w:r>
                </w:p>
              </w:tc>
              <w:tc>
                <w:tcPr>
                  <w:tcW w:w="524" w:type="pct"/>
                  <w:tcBorders>
                    <w:top w:val="single" w:color="auto" w:sz="4" w:space="0"/>
                    <w:left w:val="single" w:color="auto" w:sz="4" w:space="0"/>
                    <w:bottom w:val="single" w:color="auto" w:sz="4" w:space="0"/>
                    <w:right w:val="single" w:color="auto" w:sz="4" w:space="0"/>
                  </w:tcBorders>
                  <w:vAlign w:val="center"/>
                </w:tcPr>
                <w:p w14:paraId="1B4BE2FF">
                  <w:pPr>
                    <w:pStyle w:val="116"/>
                    <w:rPr>
                      <w:rFonts w:hint="eastAsia" w:hAnsi="宋体"/>
                    </w:rPr>
                  </w:pPr>
                  <w:r>
                    <w:rPr>
                      <w:rFonts w:hint="eastAsia" w:hAnsi="宋体"/>
                    </w:rPr>
                    <w:t>零排放</w:t>
                  </w:r>
                </w:p>
              </w:tc>
              <w:tc>
                <w:tcPr>
                  <w:tcW w:w="371" w:type="pct"/>
                  <w:tcBorders>
                    <w:top w:val="single" w:color="auto" w:sz="4" w:space="0"/>
                    <w:left w:val="single" w:color="auto" w:sz="4" w:space="0"/>
                    <w:bottom w:val="single" w:color="auto" w:sz="4" w:space="0"/>
                    <w:right w:val="single" w:color="auto" w:sz="4" w:space="0"/>
                  </w:tcBorders>
                  <w:vAlign w:val="center"/>
                </w:tcPr>
                <w:p w14:paraId="494FFFB1">
                  <w:pPr>
                    <w:pStyle w:val="116"/>
                    <w:rPr>
                      <w:rFonts w:hint="eastAsia" w:hAnsi="宋体"/>
                    </w:rPr>
                  </w:pPr>
                  <w:r>
                    <w:rPr>
                      <w:rFonts w:hint="eastAsia" w:hAnsi="宋体"/>
                    </w:rPr>
                    <w:t>可行</w:t>
                  </w:r>
                </w:p>
              </w:tc>
            </w:tr>
            <w:tr w14:paraId="628B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14:paraId="3119C918">
                  <w:pPr>
                    <w:pStyle w:val="116"/>
                    <w:rPr>
                      <w:rFonts w:hint="eastAsia" w:hAnsi="宋体"/>
                    </w:rPr>
                  </w:pPr>
                  <w:r>
                    <w:rPr>
                      <w:rFonts w:hint="eastAsia" w:hAnsi="宋体"/>
                    </w:rPr>
                    <w:t>退役期固废</w:t>
                  </w:r>
                </w:p>
              </w:tc>
              <w:tc>
                <w:tcPr>
                  <w:tcW w:w="511" w:type="pct"/>
                  <w:tcBorders>
                    <w:top w:val="single" w:color="auto" w:sz="4" w:space="0"/>
                    <w:left w:val="single" w:color="auto" w:sz="4" w:space="0"/>
                    <w:bottom w:val="single" w:color="auto" w:sz="4" w:space="0"/>
                    <w:right w:val="single" w:color="auto" w:sz="4" w:space="0"/>
                  </w:tcBorders>
                  <w:vAlign w:val="center"/>
                </w:tcPr>
                <w:p w14:paraId="45447C34">
                  <w:pPr>
                    <w:pStyle w:val="116"/>
                    <w:rPr>
                      <w:rFonts w:hint="eastAsia" w:hAnsi="宋体"/>
                    </w:rPr>
                  </w:pPr>
                  <w:r>
                    <w:rPr>
                      <w:rFonts w:hint="eastAsia" w:hAnsi="宋体"/>
                    </w:rPr>
                    <w:t>废弃建筑残渣及废弃设备</w:t>
                  </w:r>
                </w:p>
              </w:tc>
              <w:tc>
                <w:tcPr>
                  <w:tcW w:w="1341" w:type="pct"/>
                  <w:tcBorders>
                    <w:top w:val="single" w:color="auto" w:sz="4" w:space="0"/>
                    <w:left w:val="single" w:color="auto" w:sz="4" w:space="0"/>
                    <w:bottom w:val="single" w:color="auto" w:sz="4" w:space="0"/>
                    <w:right w:val="single" w:color="auto" w:sz="4" w:space="0"/>
                  </w:tcBorders>
                  <w:vAlign w:val="center"/>
                </w:tcPr>
                <w:p w14:paraId="6F5DB29A">
                  <w:pPr>
                    <w:pStyle w:val="116"/>
                    <w:rPr>
                      <w:rFonts w:hint="eastAsia" w:hAnsi="宋体"/>
                    </w:rPr>
                  </w:pPr>
                  <w:r>
                    <w:rPr>
                      <w:rFonts w:hint="eastAsia" w:hAnsi="宋体"/>
                    </w:rPr>
                    <w:t>集中收集，由当地环卫部门统一处理</w:t>
                  </w:r>
                </w:p>
              </w:tc>
              <w:tc>
                <w:tcPr>
                  <w:tcW w:w="1129" w:type="pct"/>
                  <w:tcBorders>
                    <w:top w:val="single" w:color="auto" w:sz="4" w:space="0"/>
                    <w:left w:val="single" w:color="auto" w:sz="4" w:space="0"/>
                    <w:bottom w:val="single" w:color="auto" w:sz="4" w:space="0"/>
                    <w:right w:val="single" w:color="auto" w:sz="4" w:space="0"/>
                  </w:tcBorders>
                  <w:vAlign w:val="center"/>
                </w:tcPr>
                <w:p w14:paraId="7899A45F">
                  <w:pPr>
                    <w:pStyle w:val="116"/>
                    <w:rPr>
                      <w:rFonts w:hint="eastAsia" w:hAnsi="宋体"/>
                    </w:rPr>
                  </w:pPr>
                  <w:r>
                    <w:rPr>
                      <w:rFonts w:hint="eastAsia" w:hAnsi="宋体"/>
                    </w:rPr>
                    <w:t>由当地环卫部门统一收集</w:t>
                  </w:r>
                </w:p>
              </w:tc>
              <w:tc>
                <w:tcPr>
                  <w:tcW w:w="725" w:type="pct"/>
                  <w:tcBorders>
                    <w:top w:val="single" w:color="auto" w:sz="4" w:space="0"/>
                    <w:left w:val="single" w:color="auto" w:sz="4" w:space="0"/>
                    <w:bottom w:val="single" w:color="auto" w:sz="4" w:space="0"/>
                    <w:right w:val="single" w:color="auto" w:sz="4" w:space="0"/>
                  </w:tcBorders>
                  <w:vAlign w:val="center"/>
                </w:tcPr>
                <w:p w14:paraId="3943B60A">
                  <w:pPr>
                    <w:pStyle w:val="116"/>
                    <w:rPr>
                      <w:rFonts w:hint="eastAsia" w:hAnsi="宋体"/>
                    </w:rPr>
                  </w:pPr>
                  <w:r>
                    <w:rPr>
                      <w:rFonts w:hint="eastAsia" w:hAnsi="宋体"/>
                    </w:rPr>
                    <w:t>实现资源减量化、循环化、无害化</w:t>
                  </w:r>
                </w:p>
              </w:tc>
              <w:tc>
                <w:tcPr>
                  <w:tcW w:w="524" w:type="pct"/>
                  <w:tcBorders>
                    <w:top w:val="single" w:color="auto" w:sz="4" w:space="0"/>
                    <w:left w:val="single" w:color="auto" w:sz="4" w:space="0"/>
                    <w:bottom w:val="single" w:color="auto" w:sz="4" w:space="0"/>
                    <w:right w:val="single" w:color="auto" w:sz="4" w:space="0"/>
                  </w:tcBorders>
                  <w:vAlign w:val="center"/>
                </w:tcPr>
                <w:p w14:paraId="75AB7C44">
                  <w:pPr>
                    <w:pStyle w:val="116"/>
                    <w:rPr>
                      <w:rFonts w:hint="eastAsia" w:hAnsi="宋体"/>
                    </w:rPr>
                  </w:pPr>
                  <w:r>
                    <w:rPr>
                      <w:rFonts w:hint="eastAsia" w:hAnsi="宋体"/>
                    </w:rPr>
                    <w:t>无害化处置，不外排</w:t>
                  </w:r>
                </w:p>
              </w:tc>
              <w:tc>
                <w:tcPr>
                  <w:tcW w:w="371" w:type="pct"/>
                  <w:tcBorders>
                    <w:top w:val="single" w:color="auto" w:sz="4" w:space="0"/>
                    <w:left w:val="single" w:color="auto" w:sz="4" w:space="0"/>
                    <w:bottom w:val="single" w:color="auto" w:sz="4" w:space="0"/>
                    <w:right w:val="single" w:color="auto" w:sz="4" w:space="0"/>
                  </w:tcBorders>
                  <w:vAlign w:val="center"/>
                </w:tcPr>
                <w:p w14:paraId="4ECB265A">
                  <w:pPr>
                    <w:pStyle w:val="116"/>
                    <w:rPr>
                      <w:rFonts w:hint="eastAsia" w:hAnsi="宋体"/>
                    </w:rPr>
                  </w:pPr>
                  <w:r>
                    <w:rPr>
                      <w:rFonts w:hint="eastAsia" w:hAnsi="宋体"/>
                    </w:rPr>
                    <w:t>可行</w:t>
                  </w:r>
                </w:p>
              </w:tc>
            </w:tr>
          </w:tbl>
          <w:p w14:paraId="0FB1E5AF">
            <w:pPr>
              <w:pStyle w:val="113"/>
              <w:rPr>
                <w:rFonts w:hint="eastAsia"/>
                <w:bCs/>
              </w:rPr>
            </w:pPr>
          </w:p>
          <w:p w14:paraId="36C532E2">
            <w:pPr>
              <w:pStyle w:val="113"/>
              <w:rPr>
                <w:rFonts w:hint="eastAsia"/>
                <w:bCs/>
              </w:rPr>
            </w:pPr>
            <w:r>
              <w:rPr>
                <w:bCs/>
              </w:rPr>
              <w:t>7</w:t>
            </w:r>
            <w:r>
              <w:rPr>
                <w:rFonts w:hint="eastAsia"/>
                <w:bCs/>
              </w:rPr>
              <w:t>、</w:t>
            </w:r>
            <w:r>
              <w:rPr>
                <w:rFonts w:hint="eastAsia"/>
              </w:rPr>
              <w:t>风险防范措施</w:t>
            </w:r>
          </w:p>
          <w:p w14:paraId="463DC671">
            <w:pPr>
              <w:pStyle w:val="113"/>
              <w:rPr>
                <w:rFonts w:hint="eastAsia"/>
              </w:rPr>
            </w:pPr>
            <w:r>
              <w:rPr>
                <w:rFonts w:hint="eastAsia"/>
              </w:rPr>
              <w:t>（1）</w:t>
            </w:r>
            <w:r>
              <w:t>管理措施</w:t>
            </w:r>
          </w:p>
          <w:p w14:paraId="4AF2BBAF">
            <w:pPr>
              <w:pStyle w:val="113"/>
              <w:rPr>
                <w:rFonts w:hint="eastAsia"/>
              </w:rPr>
            </w:pPr>
            <w:r>
              <w:t>建设单位以及施工钻井队结合行业作业规范，设置有专职安全环保管理人员，把安全、环境管理纳入生产管理的各个环节，为防止事故的发生能起到非常积极的作用。</w:t>
            </w:r>
          </w:p>
          <w:p w14:paraId="5D171239">
            <w:pPr>
              <w:pStyle w:val="113"/>
              <w:rPr>
                <w:rFonts w:hint="eastAsia"/>
              </w:rPr>
            </w:pPr>
            <w:r>
              <w:t>建设单位依托项目管理部门负责指导本项目的环境保护和安全工作，建立事故应急领导小组，设置抢险组、消防组、救护组、警戒组和环境保护组，负责整个工程的环境风险管理，建立与地方政府的环境风险应急联动机制。本项目按照</w:t>
            </w:r>
            <w:r>
              <w:rPr>
                <w:rFonts w:hint="eastAsia"/>
              </w:rPr>
              <w:t>二</w:t>
            </w:r>
            <w:r>
              <w:t>级井控要求落实好环境风险防范、应急措施以及管理措施。</w:t>
            </w:r>
          </w:p>
          <w:p w14:paraId="5922F2E4">
            <w:pPr>
              <w:pStyle w:val="113"/>
              <w:rPr>
                <w:rFonts w:hint="eastAsia"/>
              </w:rPr>
            </w:pPr>
            <w:r>
              <w:rPr>
                <w:rFonts w:hint="eastAsia"/>
              </w:rPr>
              <w:t>（2）</w:t>
            </w:r>
            <w:r>
              <w:t>井喷失控风险防范措施</w:t>
            </w:r>
          </w:p>
          <w:p w14:paraId="2CCCFB08">
            <w:pPr>
              <w:pStyle w:val="113"/>
              <w:rPr>
                <w:rFonts w:hint="eastAsia"/>
              </w:rPr>
            </w:pPr>
            <w:r>
              <w:rPr>
                <w:rFonts w:hint="eastAsia"/>
              </w:rPr>
              <w:t>①</w:t>
            </w:r>
            <w:r>
              <w:t>钻井工程中确保钻井液密度及其他性能符合设计要求，并按设计要求储备压井液、加重剂、堵漏材料和其他处理剂，储备加重钻井液定期循环处理，防止沉淀；准备一根防喷单根或防喷立柱（上端接旋塞），防喷单根（防喷立柱）在提下钻铤前，应置于坡道或便于快速取用的位置；各岗位必须按分工规定，对井控装置进行维护、保养、检查，保证井控装置及工具灵活好用，始终处于待命状态；落实溢流监测岗位、关井操作岗和钻井队干部24h值班制度；严格执行钻开油气层前的申报、审批制度以及程序。</w:t>
            </w:r>
          </w:p>
          <w:p w14:paraId="4EC73274">
            <w:pPr>
              <w:pStyle w:val="113"/>
              <w:rPr>
                <w:rFonts w:hint="eastAsia"/>
              </w:rPr>
            </w:pPr>
            <w:r>
              <w:rPr>
                <w:rFonts w:hint="eastAsia"/>
              </w:rPr>
              <w:t>②</w:t>
            </w:r>
            <w:r>
              <w:t>钻进油层后：落实专人坐岗观察井口和循环池液面变化，发现溢流立即关井，疑似液流关井检查；加强溢流预兆显示的观察，及时发现溢流。坐岗人员发现溢流、井漏及油气显示等异常情况，应立即报告司钻；钻开油、气层后，每次起下钻（活动时间间隔超过5d）对闸板防喷器及手动锁紧装置开关活动一次，定期对井控装置进行试压；起钻杆时每3～5柱向环空灌满钻井液，起钻铤要连续灌浆，做好记录、校对，若灌入钻井液量大于或小于灌入量，均应停止起钻作业，进行观察。如有溢流，应及时关井。如有井漏，应及时采取相应措施。起完钻要及时下钻，检修设备时应保持井内有一定数量的钻具，并安排专人观察出口罐钻井液返出情况。严禁在空井情况下检修设备；钻开油气层后，所有车辆应停放在距井口30m以外，必须进入距井口30m以内的车辆，应安装阻火器，车头朝外停放。</w:t>
            </w:r>
          </w:p>
          <w:p w14:paraId="4AE77018">
            <w:pPr>
              <w:pStyle w:val="113"/>
              <w:rPr>
                <w:rFonts w:hint="eastAsia"/>
              </w:rPr>
            </w:pPr>
            <w:r>
              <w:rPr>
                <w:rFonts w:hint="eastAsia"/>
              </w:rPr>
              <w:t>③井喷事件发生时，通过放喷管线将井喷液体排放至池内，待事故结束后，对放喷池内物体进行清理，污染的土壤由有相应处理资质单位转运、处理。</w:t>
            </w:r>
          </w:p>
          <w:p w14:paraId="2BC42E66">
            <w:pPr>
              <w:pStyle w:val="113"/>
              <w:rPr>
                <w:rFonts w:hint="eastAsia"/>
              </w:rPr>
            </w:pPr>
            <w:r>
              <w:rPr>
                <w:rFonts w:hint="eastAsia"/>
              </w:rPr>
              <w:t>④</w:t>
            </w:r>
            <w:r>
              <w:t>溢流处理和压井措施：最大允许关井套压不得超过井口装置额定工作压力、套管抗内压强度的80%和薄弱地层破裂压力所允许关井套压三者中的最小值。在允许关井套压内严禁放喷。天然气溢流不允许长时间关井不作处理。在等候加重材料或加重过程中，视情况间隔一段时间向井内灌注加重钻井液，同时用节流管汇控制回压，保持井底压力要略大于地层压力，排放井口附近含气钻井液。若等候时间长，应及时实施司钻法第一时间排除溢流，防止井口压力过高。空井溢流关井后，根据溢流的严重程度，可采用强行下钻分段压井法、置换法、压回法等方法进行处置。</w:t>
            </w:r>
          </w:p>
          <w:p w14:paraId="2034C531">
            <w:pPr>
              <w:pStyle w:val="113"/>
              <w:rPr>
                <w:rFonts w:hint="eastAsia"/>
              </w:rPr>
            </w:pPr>
            <w:r>
              <w:rPr>
                <w:rFonts w:hint="eastAsia"/>
              </w:rPr>
              <w:t>⑤</w:t>
            </w:r>
            <w:r>
              <w:t>测井、固井、完井等作业时，要严格执行安全操作规程和井控措施，避免发生井下复杂情况和井喷失控事故。</w:t>
            </w:r>
          </w:p>
          <w:p w14:paraId="237D9CE1">
            <w:pPr>
              <w:pStyle w:val="113"/>
              <w:rPr>
                <w:rFonts w:hint="eastAsia"/>
              </w:rPr>
            </w:pPr>
            <w:r>
              <w:t>（</w:t>
            </w:r>
            <w:r>
              <w:rPr>
                <w:rFonts w:hint="eastAsia"/>
              </w:rPr>
              <w:t>3）</w:t>
            </w:r>
            <w:r>
              <w:t>硫化氢防范措施</w:t>
            </w:r>
          </w:p>
          <w:p w14:paraId="24F8206F">
            <w:pPr>
              <w:pStyle w:val="113"/>
              <w:rPr>
                <w:rFonts w:hint="eastAsia"/>
              </w:rPr>
            </w:pPr>
            <w:r>
              <w:rPr>
                <w:rFonts w:hint="eastAsia"/>
              </w:rPr>
              <w:t>①</w:t>
            </w:r>
            <w:r>
              <w:t>在钻井、试油作业过程中配备便携式硫化氢监测仪，做好硫化氢监测预警工作，并制定防硫化氢应急预案。</w:t>
            </w:r>
          </w:p>
          <w:p w14:paraId="5E00FABE">
            <w:pPr>
              <w:pStyle w:val="113"/>
              <w:rPr>
                <w:rFonts w:hint="eastAsia"/>
              </w:rPr>
            </w:pPr>
            <w:r>
              <w:rPr>
                <w:rFonts w:hint="eastAsia"/>
              </w:rPr>
              <w:t>②钻井期</w:t>
            </w:r>
            <w:r>
              <w:t>在作业现场显著位置设置</w:t>
            </w:r>
            <w:r>
              <w:rPr>
                <w:rFonts w:hint="eastAsia"/>
              </w:rPr>
              <w:t>5</w:t>
            </w:r>
            <w:r>
              <w:t>处风向标</w:t>
            </w:r>
            <w:r>
              <w:rPr>
                <w:rFonts w:hint="eastAsia"/>
              </w:rPr>
              <w:t>；试油期设置2处风向标</w:t>
            </w:r>
            <w:r>
              <w:t>，并在不同方向上划定2个紧急集合点，并规划撤离路线，发生紧急情况时向上风向撤离。</w:t>
            </w:r>
          </w:p>
          <w:p w14:paraId="66A0429B">
            <w:pPr>
              <w:pStyle w:val="113"/>
              <w:rPr>
                <w:rFonts w:hint="eastAsia"/>
              </w:rPr>
            </w:pPr>
            <w:r>
              <w:rPr>
                <w:rFonts w:hint="eastAsia"/>
              </w:rPr>
              <w:t>③</w:t>
            </w:r>
            <w:r>
              <w:t>当监测到硫化氢浓度大于75mg/m</w:t>
            </w:r>
            <w:r>
              <w:rPr>
                <w:vertAlign w:val="superscript"/>
              </w:rPr>
              <w:t>3</w:t>
            </w:r>
            <w:r>
              <w:t>（50ppm）时，按照含硫油气井作业规程执行。</w:t>
            </w:r>
          </w:p>
          <w:p w14:paraId="2D28309E">
            <w:pPr>
              <w:pStyle w:val="113"/>
              <w:rPr>
                <w:rFonts w:hint="eastAsia"/>
              </w:rPr>
            </w:pPr>
            <w:bookmarkStart w:id="76" w:name="_Hlk127610744"/>
            <w:r>
              <w:t>（</w:t>
            </w:r>
            <w:r>
              <w:rPr>
                <w:rFonts w:hint="eastAsia"/>
              </w:rPr>
              <w:t>4）</w:t>
            </w:r>
            <w:r>
              <w:t>柴油罐环境风险防范措施</w:t>
            </w:r>
            <w:r>
              <w:rPr>
                <w:rFonts w:hint="eastAsia"/>
              </w:rPr>
              <w:t>和应急措施</w:t>
            </w:r>
          </w:p>
          <w:p w14:paraId="79DDDDFC">
            <w:pPr>
              <w:pStyle w:val="113"/>
              <w:rPr>
                <w:rFonts w:hint="eastAsia"/>
              </w:rPr>
            </w:pPr>
            <w:r>
              <w:t>柴油罐区周边设置警示标识，严禁烟火和不相关人员靠近。日常加强油罐的管理及安全检查，防止发生泄漏等安全事故。为尽量避免</w:t>
            </w:r>
            <w:r>
              <w:rPr>
                <w:rFonts w:hint="eastAsia"/>
              </w:rPr>
              <w:t>罐体</w:t>
            </w:r>
            <w:r>
              <w:t>破裂事故的发生，减轻泄漏事故对环境的影响，应该采取以下安全环保措施：</w:t>
            </w:r>
          </w:p>
          <w:p w14:paraId="4F99FC6A">
            <w:pPr>
              <w:pStyle w:val="113"/>
              <w:rPr>
                <w:rFonts w:hint="eastAsia"/>
              </w:rPr>
            </w:pPr>
            <w:r>
              <w:rPr>
                <w:rFonts w:hint="eastAsia"/>
              </w:rPr>
              <w:t>①选用质量、防腐措施合格的储罐。安装过程中焊接要经过100%的探伤，安装时应选择刚性不燃的坚固基础作为罐体基础。储罐在投用前，必须严格按照《压力容器安全技术监察规程》进行强度和气密性试验。</w:t>
            </w:r>
          </w:p>
          <w:p w14:paraId="61754FB0">
            <w:pPr>
              <w:pStyle w:val="113"/>
              <w:rPr>
                <w:rFonts w:hint="eastAsia"/>
              </w:rPr>
            </w:pPr>
            <w:r>
              <w:rPr>
                <w:rFonts w:hint="eastAsia"/>
              </w:rPr>
              <w:t>②设置一定容积的围堰，确保在发生罐体泄漏时采出液不会发生溢散；在储罐区严格用火管理；采用有效的避雷装置和接地装置等防止雷电的措施。</w:t>
            </w:r>
          </w:p>
          <w:p w14:paraId="6C7F0354">
            <w:pPr>
              <w:pStyle w:val="113"/>
              <w:rPr>
                <w:rFonts w:hint="eastAsia"/>
              </w:rPr>
            </w:pPr>
            <w:r>
              <w:rPr>
                <w:rFonts w:hint="eastAsia"/>
              </w:rPr>
              <w:t>③围堰下方铺设有3mm防渗布（渗透系数≤10</w:t>
            </w:r>
            <w:r>
              <w:rPr>
                <w:vertAlign w:val="superscript"/>
              </w:rPr>
              <w:t>-10</w:t>
            </w:r>
            <w:r>
              <w:rPr>
                <w:rFonts w:hint="eastAsia"/>
              </w:rPr>
              <w:t>cm/s）来进行防渗处理；</w:t>
            </w:r>
          </w:p>
          <w:p w14:paraId="5FAF9909">
            <w:pPr>
              <w:pStyle w:val="113"/>
              <w:rPr>
                <w:rFonts w:hint="eastAsia"/>
              </w:rPr>
            </w:pPr>
            <w:r>
              <w:rPr>
                <w:rFonts w:hint="eastAsia"/>
              </w:rPr>
              <w:t>④</w:t>
            </w:r>
            <w:r>
              <w:t>加强防腐措施</w:t>
            </w:r>
            <w:r>
              <w:rPr>
                <w:rFonts w:hint="eastAsia"/>
              </w:rPr>
              <w:t>。</w:t>
            </w:r>
            <w:r>
              <w:t>金属腐蚀的本质在于金属原子在腐蚀介质的作用下，失去电子变成离子而转移到腐蚀介质中，导致金属发生破坏。</w:t>
            </w:r>
            <w:r>
              <w:rPr>
                <w:rFonts w:hint="eastAsia"/>
              </w:rPr>
              <w:t>本项目采用</w:t>
            </w:r>
            <w:r>
              <w:t>良好的绝缘涂层隔断金属表面与腐蚀介质的接触，阻止电子从金属表面流动腐蚀介质中，使金属免遭腐蚀</w:t>
            </w:r>
            <w:bookmarkEnd w:id="76"/>
            <w:r>
              <w:rPr>
                <w:rFonts w:hint="eastAsia"/>
              </w:rPr>
              <w:t>；</w:t>
            </w:r>
          </w:p>
          <w:p w14:paraId="6E8EE148">
            <w:pPr>
              <w:pStyle w:val="113"/>
              <w:rPr>
                <w:rFonts w:hint="eastAsia"/>
              </w:rPr>
            </w:pPr>
            <w:r>
              <w:rPr>
                <w:rFonts w:hint="eastAsia"/>
              </w:rPr>
              <w:t>⑤加强储罐和管线接口的检查工作，防止腐蚀穿孔。定期进行壁厚检测，腐蚀余量低于规定的允许值时，要及时进行检修和更换；</w:t>
            </w:r>
          </w:p>
          <w:p w14:paraId="7A658063">
            <w:pPr>
              <w:pStyle w:val="113"/>
              <w:rPr>
                <w:rFonts w:hint="eastAsia"/>
              </w:rPr>
            </w:pPr>
            <w:r>
              <w:rPr>
                <w:rFonts w:hint="eastAsia"/>
              </w:rPr>
              <w:t>⑥定期进行消防培训与实战演练，要求岗位工作人员具有较强的消防安全意识，加强巡检，确保无异常情况出现。</w:t>
            </w:r>
          </w:p>
          <w:p w14:paraId="22FB5246">
            <w:pPr>
              <w:pStyle w:val="113"/>
              <w:rPr>
                <w:rFonts w:hint="eastAsia"/>
              </w:rPr>
            </w:pPr>
            <w:r>
              <w:rPr>
                <w:rFonts w:hint="eastAsia"/>
              </w:rPr>
              <w:t>（5）</w:t>
            </w:r>
            <w:r>
              <w:t>放喷风险防范措施</w:t>
            </w:r>
          </w:p>
          <w:p w14:paraId="1E900818">
            <w:pPr>
              <w:pStyle w:val="113"/>
              <w:rPr>
                <w:rFonts w:hint="eastAsia"/>
              </w:rPr>
            </w:pPr>
            <w:r>
              <w:t>在井场左右两侧各</w:t>
            </w:r>
            <w:r>
              <w:rPr>
                <w:rFonts w:hint="eastAsia"/>
              </w:rPr>
              <w:t>新建</w:t>
            </w:r>
            <w:r>
              <w:t>1</w:t>
            </w:r>
            <w:r>
              <w:rPr>
                <w:rFonts w:hint="eastAsia"/>
              </w:rPr>
              <w:t>个放喷池，</w:t>
            </w:r>
            <w:r>
              <w:t>伴生气</w:t>
            </w:r>
            <w:r>
              <w:rPr>
                <w:rFonts w:hint="eastAsia"/>
              </w:rPr>
              <w:t>经</w:t>
            </w:r>
            <w:r>
              <w:t>过液气分离后通过放喷池点火排放。本项目要加强对</w:t>
            </w:r>
            <w:r>
              <w:rPr>
                <w:rFonts w:hint="eastAsia"/>
              </w:rPr>
              <w:t>防喷池点火装置</w:t>
            </w:r>
            <w:r>
              <w:t>的维护、保养、检查，一旦发现问题，及时整改，放喷过程中若发现点火装置发生故障等非正常工况，应立即关闭井口，停止放喷作业。</w:t>
            </w:r>
            <w:r>
              <w:rPr>
                <w:rFonts w:hint="eastAsia"/>
              </w:rPr>
              <w:t>建议安装可燃气体的预警仪降低伴生气放喷的环境风险。</w:t>
            </w:r>
          </w:p>
          <w:p w14:paraId="16935132">
            <w:pPr>
              <w:pStyle w:val="113"/>
              <w:rPr>
                <w:rFonts w:hint="eastAsia"/>
              </w:rPr>
            </w:pPr>
            <w:r>
              <w:rPr>
                <w:rFonts w:hint="eastAsia"/>
              </w:rPr>
              <w:t>（</w:t>
            </w:r>
            <w:r>
              <w:t>6</w:t>
            </w:r>
            <w:r>
              <w:rPr>
                <w:rFonts w:hint="eastAsia"/>
              </w:rPr>
              <w:t>）运输过程环境风险</w:t>
            </w:r>
            <w:r>
              <w:t>防范措施</w:t>
            </w:r>
          </w:p>
          <w:p w14:paraId="2C9EA1CA">
            <w:pPr>
              <w:pStyle w:val="113"/>
              <w:rPr>
                <w:rFonts w:hint="eastAsia"/>
              </w:rPr>
            </w:pPr>
            <w:r>
              <w:rPr>
                <w:rFonts w:hint="eastAsia"/>
              </w:rPr>
              <w:t>①各类罐车装卸作业过程中，必须严格遵守操作规程，轻装、 轻卸、严禁摔碰、撞击、重压、倒置，防止钻井废水、柴油等污染物撒漏；使用的工具不得损伤罐体，不能粘有与所装货物相抵触的污染物。操作过程中，有关人员不能擅自离岗。</w:t>
            </w:r>
          </w:p>
          <w:p w14:paraId="5CB185D1">
            <w:pPr>
              <w:pStyle w:val="113"/>
              <w:rPr>
                <w:rFonts w:hint="eastAsia"/>
              </w:rPr>
            </w:pPr>
            <w:r>
              <w:rPr>
                <w:rFonts w:hint="eastAsia"/>
              </w:rPr>
              <w:t>②机动车辆排气管安装有效的隔热和熄灭火星装置， 电路系统应有切断总电源和隔离电火花装置，配备相应的消防器材和工具，防止柴油罐发生火灾爆炸事故。</w:t>
            </w:r>
          </w:p>
          <w:p w14:paraId="21678F0D">
            <w:pPr>
              <w:pStyle w:val="113"/>
              <w:rPr>
                <w:rFonts w:hint="eastAsia"/>
              </w:rPr>
            </w:pPr>
            <w:r>
              <w:rPr>
                <w:rFonts w:hint="eastAsia"/>
              </w:rPr>
              <w:t>③运输途中，司机时刻要谨慎行驶，注意适当限速，保持安全车距。</w:t>
            </w:r>
          </w:p>
          <w:p w14:paraId="1CE79D52">
            <w:pPr>
              <w:pStyle w:val="113"/>
              <w:rPr>
                <w:rFonts w:ascii="Arial" w:hAnsi="Arial" w:cs="Arial"/>
                <w:shd w:val="clear" w:color="auto" w:fill="FFFFFF"/>
              </w:rPr>
            </w:pPr>
            <w:r>
              <w:rPr>
                <w:rFonts w:hint="eastAsia"/>
              </w:rPr>
              <w:t>④</w:t>
            </w:r>
            <w:r>
              <w:rPr>
                <w:rFonts w:cs="Arial"/>
                <w:shd w:val="clear" w:color="auto" w:fill="FFFFFF"/>
              </w:rPr>
              <w:t>试油期产生的废水</w:t>
            </w:r>
            <w:r>
              <w:rPr>
                <w:rFonts w:hint="eastAsia" w:cs="Arial"/>
                <w:shd w:val="clear" w:color="auto" w:fill="FFFFFF"/>
              </w:rPr>
              <w:t>使用专用废液储罐进行收集</w:t>
            </w:r>
            <w:r>
              <w:rPr>
                <w:rFonts w:cs="Arial"/>
                <w:shd w:val="clear" w:color="auto" w:fill="FFFFFF"/>
              </w:rPr>
              <w:t>，</w:t>
            </w:r>
            <w:r>
              <w:rPr>
                <w:rFonts w:ascii="Arial" w:hAnsi="Arial" w:cs="Arial"/>
                <w:shd w:val="clear" w:color="auto" w:fill="FFFFFF"/>
              </w:rPr>
              <w:t>‌</w:t>
            </w:r>
            <w:r>
              <w:rPr>
                <w:rFonts w:cs="Arial"/>
                <w:shd w:val="clear" w:color="auto" w:fill="FFFFFF"/>
              </w:rPr>
              <w:t>然后由罐车拉运至</w:t>
            </w:r>
            <w:r>
              <w:rPr>
                <w:rFonts w:hint="eastAsia" w:cs="Arial"/>
                <w:shd w:val="clear" w:color="auto" w:fill="FFFFFF"/>
              </w:rPr>
              <w:t>站场</w:t>
            </w:r>
            <w:r>
              <w:rPr>
                <w:rFonts w:cs="Arial"/>
                <w:shd w:val="clear" w:color="auto" w:fill="FFFFFF"/>
              </w:rPr>
              <w:t>进行处理。确保废水的集中处理，</w:t>
            </w:r>
            <w:r>
              <w:rPr>
                <w:rFonts w:ascii="Arial" w:hAnsi="Arial" w:cs="Arial"/>
                <w:shd w:val="clear" w:color="auto" w:fill="FFFFFF"/>
              </w:rPr>
              <w:t>‌</w:t>
            </w:r>
            <w:r>
              <w:rPr>
                <w:rFonts w:cs="Arial"/>
                <w:shd w:val="clear" w:color="auto" w:fill="FFFFFF"/>
              </w:rPr>
              <w:t>避免了废水的直接排放，</w:t>
            </w:r>
            <w:r>
              <w:rPr>
                <w:rFonts w:ascii="Arial" w:hAnsi="Arial" w:cs="Arial"/>
                <w:shd w:val="clear" w:color="auto" w:fill="FFFFFF"/>
              </w:rPr>
              <w:t>‌</w:t>
            </w:r>
            <w:r>
              <w:rPr>
                <w:rFonts w:cs="Arial"/>
                <w:shd w:val="clear" w:color="auto" w:fill="FFFFFF"/>
              </w:rPr>
              <w:t>从而减少了环境污染</w:t>
            </w:r>
            <w:r>
              <w:rPr>
                <w:rFonts w:hint="eastAsia" w:cs="Arial"/>
                <w:shd w:val="clear" w:color="auto" w:fill="FFFFFF"/>
              </w:rPr>
              <w:t>。</w:t>
            </w:r>
          </w:p>
          <w:p w14:paraId="7C8B2415">
            <w:pPr>
              <w:pStyle w:val="113"/>
              <w:rPr>
                <w:rFonts w:hint="eastAsia"/>
              </w:rPr>
            </w:pPr>
            <w:r>
              <w:rPr>
                <w:rFonts w:hint="eastAsia"/>
              </w:rPr>
              <w:t>⑤做好泥浆不落地装置区的防渗和维护工作，坚决避免跑、冒、滴、漏现象的发生，防止废水泄漏。</w:t>
            </w:r>
          </w:p>
          <w:p w14:paraId="00F43CE8">
            <w:pPr>
              <w:pStyle w:val="113"/>
              <w:rPr>
                <w:rFonts w:hint="eastAsia"/>
              </w:rPr>
            </w:pPr>
            <w:r>
              <w:rPr>
                <w:rFonts w:hint="eastAsia"/>
              </w:rPr>
              <w:t>⑥在运输过程中，一旦发生意外，在采取应急处理的同时，迅速报告公安机关和环保等有关部门，疏散群众，防止事态进一步扩大，并积极协助前来救助的公安、交通和消防人员抢救伤者和物资，使损失降低到最小范围。</w:t>
            </w:r>
          </w:p>
          <w:p w14:paraId="34D14CC0">
            <w:pPr>
              <w:pStyle w:val="113"/>
              <w:rPr>
                <w:rFonts w:hint="eastAsia"/>
              </w:rPr>
            </w:pPr>
            <w:r>
              <w:rPr>
                <w:rFonts w:hint="eastAsia"/>
              </w:rPr>
              <w:t>⑦车辆驾驶员，在出车前必须检查防护用品和检查是否携带齐全有效，在运输途中发现泄漏时应主动采取处理措施，防止事态进一步扩大，在切断泄漏源后，应将情况及时向当地公安机关和有关部门报告，若处理不了，应立即报告当地公安机关和有关部门，请求支援。</w:t>
            </w:r>
          </w:p>
          <w:p w14:paraId="5C7A2BA1">
            <w:pPr>
              <w:pStyle w:val="113"/>
              <w:rPr>
                <w:rFonts w:hint="eastAsia"/>
              </w:rPr>
            </w:pPr>
            <w:r>
              <w:rPr>
                <w:rFonts w:hint="eastAsia"/>
              </w:rPr>
              <w:t>⑧运输时运输车辆选用全封闭式罐车</w:t>
            </w:r>
            <w:r>
              <w:rPr>
                <w:rFonts w:hint="eastAsia" w:ascii="MS Gothic" w:hAnsi="MS Gothic" w:eastAsia="MS Gothic" w:cs="MS Gothic"/>
              </w:rPr>
              <w:t>​​</w:t>
            </w:r>
            <w:r>
              <w:rPr>
                <w:rFonts w:hint="eastAsia" w:ascii="等线" w:hAnsi="等线" w:eastAsia="等线" w:cs="MS Gothic"/>
              </w:rPr>
              <w:t>，</w:t>
            </w:r>
            <w:r>
              <w:rPr>
                <w:rFonts w:hint="eastAsia"/>
              </w:rPr>
              <w:t>选择防腐蚀、防泄漏的罐式集装箱或半挂车，确保泥浆无泄漏。车辆安装GPS定位和实时监控系统，记录行驶轨迹、速度及温湿度等数据。运输过程中，泥浆罐体需固定牢固，防止急刹车导致罐内压力变化或位移。</w:t>
            </w:r>
          </w:p>
          <w:p w14:paraId="55E8A893">
            <w:pPr>
              <w:pStyle w:val="113"/>
              <w:rPr>
                <w:rFonts w:hint="eastAsia"/>
              </w:rPr>
            </w:pPr>
            <w:r>
              <w:rPr>
                <w:rFonts w:hint="eastAsia"/>
              </w:rPr>
              <w:t>⑨应配备相应品种和数量的消防器材及泄漏应急处理设备。公路运输时要按规定路线行驶，勿在居民区和人口稠密区停留。</w:t>
            </w:r>
            <w:r>
              <w:rPr>
                <w:rFonts w:hint="eastAsia"/>
                <w:kern w:val="0"/>
              </w:rPr>
              <w:t>运输废水的车辆应</w:t>
            </w:r>
            <w:r>
              <w:rPr>
                <w:rFonts w:hint="eastAsia"/>
                <w:shd w:val="clear" w:color="auto" w:fill="FFFFFF"/>
              </w:rPr>
              <w:t>按照规定安装卫星定位装置，并按照规定时间、路线行驶</w:t>
            </w:r>
            <w:r>
              <w:rPr>
                <w:rFonts w:hint="eastAsia"/>
              </w:rPr>
              <w:t>。</w:t>
            </w:r>
          </w:p>
          <w:p w14:paraId="5997F2E8">
            <w:pPr>
              <w:pStyle w:val="113"/>
              <w:rPr>
                <w:rFonts w:hint="eastAsia"/>
              </w:rPr>
            </w:pPr>
            <w:r>
              <w:rPr>
                <w:rFonts w:hint="eastAsia"/>
              </w:rPr>
              <w:t>⑩若发生泄漏，立即停车并设置警示标志，启动应急预案，用吸附材料控制污染范围，联系环保部门协助处理。</w:t>
            </w:r>
          </w:p>
          <w:p w14:paraId="354E9083">
            <w:pPr>
              <w:pStyle w:val="113"/>
              <w:rPr>
                <w:rFonts w:hint="eastAsia"/>
              </w:rPr>
            </w:pPr>
            <w:r>
              <w:rPr>
                <w:rFonts w:hint="eastAsia"/>
              </w:rPr>
              <w:t>6）</w:t>
            </w:r>
            <w:r>
              <w:t>加强</w:t>
            </w:r>
            <w:r>
              <w:rPr>
                <w:rFonts w:hint="eastAsia"/>
              </w:rPr>
              <w:t>环境风险管理</w:t>
            </w:r>
            <w:r>
              <w:t>监督，</w:t>
            </w:r>
            <w:r>
              <w:rPr>
                <w:rFonts w:hint="eastAsia"/>
              </w:rPr>
              <w:t>完善技术措施和管理制度</w:t>
            </w:r>
          </w:p>
          <w:p w14:paraId="220AD074">
            <w:pPr>
              <w:pStyle w:val="113"/>
              <w:rPr>
                <w:rFonts w:hint="eastAsia"/>
              </w:rPr>
            </w:pPr>
            <w:r>
              <w:rPr>
                <w:rFonts w:hint="eastAsia"/>
              </w:rPr>
              <w:t>根据中石化新疆新春石油开发有限责任公司在环境风险管理上建立的健康、安全与环境管理体系，减少项目施工对周围环境的影响，落实各项环保和安全措施。不断完善的技术措施和管理制度，用于消除人为的操作风险。</w:t>
            </w:r>
          </w:p>
          <w:p w14:paraId="13EBA3F9">
            <w:pPr>
              <w:pStyle w:val="113"/>
              <w:rPr>
                <w:rFonts w:hint="eastAsia"/>
              </w:rPr>
            </w:pPr>
            <w:r>
              <w:rPr>
                <w:rFonts w:hint="eastAsia"/>
              </w:rPr>
              <w:t>7）</w:t>
            </w:r>
            <w:r>
              <w:t>环境风险应急预案</w:t>
            </w:r>
          </w:p>
          <w:p w14:paraId="51FE32EA">
            <w:pPr>
              <w:pStyle w:val="113"/>
              <w:rPr>
                <w:rFonts w:hint="eastAsia"/>
              </w:rPr>
            </w:pPr>
            <w:r>
              <w:rPr>
                <w:rFonts w:hint="eastAsia"/>
              </w:rPr>
              <w:t>（1）</w:t>
            </w:r>
            <w:r>
              <w:t>应急预案编制</w:t>
            </w:r>
          </w:p>
          <w:p w14:paraId="1FF42256">
            <w:pPr>
              <w:pStyle w:val="113"/>
              <w:rPr>
                <w:rFonts w:hint="eastAsia"/>
              </w:rPr>
            </w:pPr>
            <w:r>
              <w:t>根据钻井工程特点和经验，从环境保护角度，</w:t>
            </w:r>
            <w:r>
              <w:rPr>
                <w:rFonts w:hint="eastAsia"/>
              </w:rPr>
              <w:t>有完备的井控措施和</w:t>
            </w:r>
            <w:r>
              <w:t>应急预案。应急预案应包括针对井喷失控的应急监测、抢险、救援、疏散及消除、减缓、控制技术方法和设施等相关内容。</w:t>
            </w:r>
          </w:p>
          <w:p w14:paraId="73D60339">
            <w:pPr>
              <w:pStyle w:val="113"/>
              <w:rPr>
                <w:rFonts w:hint="eastAsia"/>
              </w:rPr>
            </w:pPr>
            <w:r>
              <w:rPr>
                <w:rFonts w:hint="eastAsia"/>
              </w:rPr>
              <w:t>（2）</w:t>
            </w:r>
            <w:r>
              <w:t>应急演练和物资储备</w:t>
            </w:r>
          </w:p>
          <w:p w14:paraId="74469492">
            <w:pPr>
              <w:pStyle w:val="113"/>
              <w:rPr>
                <w:rFonts w:hint="eastAsia"/>
              </w:rPr>
            </w:pPr>
            <w:r>
              <w:t>应急演练应定期开展，通过演练掌握应急人员在应急抢险中对预案的熟悉程度和能力，同时加强抢险应急设备的维护保养，检查是否备足所需应急材料。</w:t>
            </w:r>
          </w:p>
          <w:p w14:paraId="52BE9069">
            <w:pPr>
              <w:pStyle w:val="113"/>
              <w:rPr>
                <w:rFonts w:hint="eastAsia"/>
              </w:rPr>
            </w:pPr>
            <w:r>
              <w:rPr>
                <w:rFonts w:hint="eastAsia"/>
              </w:rPr>
              <w:t>8）结论</w:t>
            </w:r>
          </w:p>
          <w:p w14:paraId="73B6F138">
            <w:pPr>
              <w:pStyle w:val="113"/>
              <w:rPr>
                <w:rFonts w:hint="eastAsia"/>
              </w:rPr>
            </w:pPr>
            <w:r>
              <w:rPr>
                <w:bCs/>
              </w:rPr>
              <w:t>本项目发生井喷事件的概率极小，</w:t>
            </w:r>
            <w:r>
              <w:t>本</w:t>
            </w:r>
            <w:r>
              <w:rPr>
                <w:rFonts w:hint="eastAsia"/>
              </w:rPr>
              <w:t>项目</w:t>
            </w:r>
            <w:r>
              <w:t>制定了较为周全的风险事故防范措施和事故应急预案，当发生风险事故时立即启动事故应急预案，确保事故不扩大，不会对周边环境造成较大危害。在采取严格安全防护和风险防范措施后，环境</w:t>
            </w:r>
            <w:r>
              <w:rPr>
                <w:rFonts w:hint="eastAsia"/>
              </w:rPr>
              <w:t>风险可控。</w:t>
            </w:r>
          </w:p>
          <w:p w14:paraId="4C50F2D2">
            <w:pPr>
              <w:pStyle w:val="113"/>
              <w:rPr>
                <w:rFonts w:hint="eastAsia"/>
                <w:bCs/>
              </w:rPr>
            </w:pPr>
            <w:r>
              <w:rPr>
                <w:bCs/>
              </w:rPr>
              <w:t>8</w:t>
            </w:r>
            <w:r>
              <w:rPr>
                <w:rFonts w:hint="eastAsia"/>
                <w:bCs/>
              </w:rPr>
              <w:t>、环境管理</w:t>
            </w:r>
          </w:p>
          <w:p w14:paraId="58803755">
            <w:pPr>
              <w:pStyle w:val="113"/>
              <w:rPr>
                <w:rFonts w:hint="eastAsia"/>
              </w:rPr>
            </w:pPr>
            <w:r>
              <w:rPr>
                <w:rFonts w:hint="eastAsia"/>
              </w:rPr>
              <w:t>本项目实施过程中，将根据中石化新疆新春石油开发有限责任公司在环境管理上建立的健康、安全与环境管理体系（</w:t>
            </w:r>
            <w:r>
              <w:t>HSE</w:t>
            </w:r>
            <w:r>
              <w:rPr>
                <w:rFonts w:hint="eastAsia"/>
              </w:rPr>
              <w:t>管理体系），减少项目开发对周围环境的影响，落实各项环保和安全措施。为确保本项目环保措施的落实，最大限度地减轻施工作业对环境的影响，本报告提出的环境管理主要内容见</w:t>
            </w:r>
            <w:r>
              <w:fldChar w:fldCharType="begin"/>
            </w:r>
            <w:r>
              <w:instrText xml:space="preserve"> REF _Ref176939117 \h  \* MERGEFORMAT </w:instrText>
            </w:r>
            <w:r>
              <w:fldChar w:fldCharType="separate"/>
            </w:r>
            <w:r>
              <w:rPr>
                <w:rFonts w:hint="eastAsia"/>
              </w:rPr>
              <w:t>表48</w:t>
            </w:r>
            <w:r>
              <w:fldChar w:fldCharType="end"/>
            </w:r>
            <w:r>
              <w:rPr>
                <w:rFonts w:hint="eastAsia"/>
              </w:rPr>
              <w:t>。</w:t>
            </w:r>
          </w:p>
          <w:p w14:paraId="07C72345">
            <w:pPr>
              <w:pStyle w:val="12"/>
              <w:spacing w:before="120"/>
              <w:rPr>
                <w:rFonts w:hint="eastAsia" w:hAnsi="宋体"/>
              </w:rPr>
            </w:pPr>
            <w:bookmarkStart w:id="77" w:name="_Ref176939117"/>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48</w:t>
            </w:r>
            <w:r>
              <w:rPr>
                <w:rFonts w:hAnsi="宋体"/>
              </w:rPr>
              <w:fldChar w:fldCharType="end"/>
            </w:r>
            <w:bookmarkEnd w:id="77"/>
            <w:r>
              <w:rPr>
                <w:rFonts w:hAnsi="宋体"/>
              </w:rPr>
              <w:t xml:space="preserve">  </w:t>
            </w:r>
            <w:r>
              <w:rPr>
                <w:rFonts w:hint="eastAsia" w:hAnsi="宋体"/>
              </w:rPr>
              <w:t>施工期环境管理一览表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949"/>
              <w:gridCol w:w="6197"/>
            </w:tblGrid>
            <w:tr w14:paraId="449D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pct"/>
                  <w:tcBorders>
                    <w:top w:val="single" w:color="auto" w:sz="4" w:space="0"/>
                    <w:left w:val="single" w:color="auto" w:sz="4" w:space="0"/>
                    <w:bottom w:val="single" w:color="auto" w:sz="4" w:space="0"/>
                    <w:right w:val="single" w:color="auto" w:sz="4" w:space="0"/>
                  </w:tcBorders>
                  <w:vAlign w:val="center"/>
                </w:tcPr>
                <w:p w14:paraId="7DA0D505">
                  <w:pPr>
                    <w:pStyle w:val="87"/>
                  </w:pPr>
                  <w:r>
                    <w:rPr>
                      <w:rFonts w:hint="eastAsia"/>
                    </w:rPr>
                    <w:t>序号</w:t>
                  </w:r>
                </w:p>
              </w:tc>
              <w:tc>
                <w:tcPr>
                  <w:tcW w:w="628" w:type="pct"/>
                  <w:tcBorders>
                    <w:top w:val="single" w:color="auto" w:sz="4" w:space="0"/>
                    <w:left w:val="single" w:color="auto" w:sz="4" w:space="0"/>
                    <w:bottom w:val="single" w:color="auto" w:sz="4" w:space="0"/>
                    <w:right w:val="single" w:color="auto" w:sz="4" w:space="0"/>
                  </w:tcBorders>
                  <w:vAlign w:val="center"/>
                </w:tcPr>
                <w:p w14:paraId="1E19218C">
                  <w:pPr>
                    <w:pStyle w:val="87"/>
                  </w:pPr>
                  <w:r>
                    <w:rPr>
                      <w:rFonts w:hint="eastAsia"/>
                    </w:rPr>
                    <w:t>影响因素</w:t>
                  </w:r>
                </w:p>
              </w:tc>
              <w:tc>
                <w:tcPr>
                  <w:tcW w:w="4102" w:type="pct"/>
                  <w:tcBorders>
                    <w:top w:val="single" w:color="auto" w:sz="4" w:space="0"/>
                    <w:left w:val="single" w:color="auto" w:sz="4" w:space="0"/>
                    <w:bottom w:val="single" w:color="auto" w:sz="4" w:space="0"/>
                    <w:right w:val="single" w:color="auto" w:sz="4" w:space="0"/>
                  </w:tcBorders>
                  <w:vAlign w:val="center"/>
                </w:tcPr>
                <w:p w14:paraId="4528ADBC">
                  <w:pPr>
                    <w:pStyle w:val="87"/>
                  </w:pPr>
                  <w:r>
                    <w:rPr>
                      <w:rFonts w:hint="eastAsia"/>
                    </w:rPr>
                    <w:t>环境管理</w:t>
                  </w:r>
                </w:p>
              </w:tc>
            </w:tr>
            <w:tr w14:paraId="7DB1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pct"/>
                  <w:tcBorders>
                    <w:top w:val="single" w:color="auto" w:sz="4" w:space="0"/>
                    <w:left w:val="single" w:color="auto" w:sz="4" w:space="0"/>
                    <w:bottom w:val="single" w:color="auto" w:sz="4" w:space="0"/>
                    <w:right w:val="single" w:color="auto" w:sz="4" w:space="0"/>
                  </w:tcBorders>
                  <w:vAlign w:val="center"/>
                </w:tcPr>
                <w:p w14:paraId="7538CDE5">
                  <w:pPr>
                    <w:pStyle w:val="87"/>
                  </w:pPr>
                  <w:r>
                    <w:rPr>
                      <w:rFonts w:hint="eastAsia"/>
                    </w:rPr>
                    <w:t>1</w:t>
                  </w:r>
                </w:p>
              </w:tc>
              <w:tc>
                <w:tcPr>
                  <w:tcW w:w="628" w:type="pct"/>
                  <w:tcBorders>
                    <w:top w:val="single" w:color="auto" w:sz="4" w:space="0"/>
                    <w:left w:val="single" w:color="auto" w:sz="4" w:space="0"/>
                    <w:bottom w:val="single" w:color="auto" w:sz="4" w:space="0"/>
                    <w:right w:val="single" w:color="auto" w:sz="4" w:space="0"/>
                  </w:tcBorders>
                  <w:vAlign w:val="center"/>
                </w:tcPr>
                <w:p w14:paraId="1F3FCAC5">
                  <w:pPr>
                    <w:pStyle w:val="87"/>
                  </w:pPr>
                  <w:r>
                    <w:rPr>
                      <w:rFonts w:hint="eastAsia"/>
                    </w:rPr>
                    <w:t>大气环境</w:t>
                  </w:r>
                </w:p>
              </w:tc>
              <w:tc>
                <w:tcPr>
                  <w:tcW w:w="4102" w:type="pct"/>
                  <w:tcBorders>
                    <w:top w:val="single" w:color="auto" w:sz="4" w:space="0"/>
                    <w:left w:val="single" w:color="auto" w:sz="4" w:space="0"/>
                    <w:bottom w:val="single" w:color="auto" w:sz="4" w:space="0"/>
                    <w:right w:val="single" w:color="auto" w:sz="4" w:space="0"/>
                  </w:tcBorders>
                  <w:vAlign w:val="center"/>
                </w:tcPr>
                <w:p w14:paraId="6D52B5B7">
                  <w:pPr>
                    <w:pStyle w:val="87"/>
                    <w:jc w:val="both"/>
                  </w:pPr>
                  <w:r>
                    <w:rPr>
                      <w:rFonts w:hint="eastAsia"/>
                    </w:rPr>
                    <w:t>①原材料运输、堆放要求遮盖；及时清理场地上弃渣料，采取加盖防尘网、洒水抑尘；</w:t>
                  </w:r>
                </w:p>
                <w:p w14:paraId="191218A1">
                  <w:pPr>
                    <w:pStyle w:val="87"/>
                    <w:jc w:val="both"/>
                  </w:pPr>
                  <w:r>
                    <w:rPr>
                      <w:rFonts w:hint="eastAsia"/>
                    </w:rPr>
                    <w:t>②加强施工管理，尽可能缩短施工周期</w:t>
                  </w:r>
                </w:p>
                <w:p w14:paraId="6647A8BC">
                  <w:pPr>
                    <w:pStyle w:val="87"/>
                    <w:jc w:val="both"/>
                  </w:pPr>
                  <w:r>
                    <w:rPr>
                      <w:rFonts w:hint="eastAsia"/>
                    </w:rPr>
                    <w:t>③选择技术先进、尾气排放达标的动力机械设备，主要是优良发动机；</w:t>
                  </w:r>
                </w:p>
                <w:p w14:paraId="662122BD">
                  <w:pPr>
                    <w:pStyle w:val="87"/>
                    <w:jc w:val="both"/>
                  </w:pPr>
                  <w:r>
                    <w:rPr>
                      <w:rFonts w:hint="eastAsia"/>
                    </w:rPr>
                    <w:t>④选择符合国家要求的燃油指标；</w:t>
                  </w:r>
                </w:p>
                <w:p w14:paraId="203EA2D3">
                  <w:pPr>
                    <w:pStyle w:val="87"/>
                    <w:jc w:val="both"/>
                  </w:pPr>
                  <w:r>
                    <w:rPr>
                      <w:rFonts w:hint="eastAsia"/>
                    </w:rPr>
                    <w:t>⑤伴生气经过液气分离后通过放喷池点火排放；</w:t>
                  </w:r>
                </w:p>
                <w:p w14:paraId="1DF93D4A">
                  <w:pPr>
                    <w:pStyle w:val="87"/>
                    <w:jc w:val="both"/>
                  </w:pPr>
                  <w:r>
                    <w:rPr>
                      <w:rFonts w:hint="eastAsia"/>
                    </w:rPr>
                    <w:t>⑥生物质锅炉废气经低氮燃烧+SNCR炉内脱硝+袋式除尘+脱硫塔脱硫工艺处理后由1根15m高内径0.27m排气筒排放，达到《锅炉大气污染物排放标准》（GB 13271-2014）表2中燃气锅炉大气污染物排放限值要求。</w:t>
                  </w:r>
                </w:p>
              </w:tc>
            </w:tr>
            <w:tr w14:paraId="18E6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pct"/>
                  <w:tcBorders>
                    <w:top w:val="single" w:color="auto" w:sz="4" w:space="0"/>
                    <w:left w:val="single" w:color="auto" w:sz="4" w:space="0"/>
                    <w:bottom w:val="single" w:color="auto" w:sz="4" w:space="0"/>
                    <w:right w:val="single" w:color="auto" w:sz="4" w:space="0"/>
                  </w:tcBorders>
                  <w:vAlign w:val="center"/>
                </w:tcPr>
                <w:p w14:paraId="0AA848C0">
                  <w:pPr>
                    <w:pStyle w:val="87"/>
                  </w:pPr>
                  <w:r>
                    <w:rPr>
                      <w:rFonts w:hint="eastAsia"/>
                    </w:rPr>
                    <w:t>2</w:t>
                  </w:r>
                </w:p>
              </w:tc>
              <w:tc>
                <w:tcPr>
                  <w:tcW w:w="628" w:type="pct"/>
                  <w:tcBorders>
                    <w:top w:val="single" w:color="auto" w:sz="4" w:space="0"/>
                    <w:left w:val="single" w:color="auto" w:sz="4" w:space="0"/>
                    <w:bottom w:val="single" w:color="auto" w:sz="4" w:space="0"/>
                    <w:right w:val="single" w:color="auto" w:sz="4" w:space="0"/>
                  </w:tcBorders>
                  <w:vAlign w:val="center"/>
                </w:tcPr>
                <w:p w14:paraId="74FB9ED3">
                  <w:pPr>
                    <w:pStyle w:val="87"/>
                  </w:pPr>
                  <w:r>
                    <w:rPr>
                      <w:rFonts w:hint="eastAsia"/>
                    </w:rPr>
                    <w:t>声环境</w:t>
                  </w:r>
                </w:p>
              </w:tc>
              <w:tc>
                <w:tcPr>
                  <w:tcW w:w="4102" w:type="pct"/>
                  <w:tcBorders>
                    <w:top w:val="single" w:color="auto" w:sz="4" w:space="0"/>
                    <w:left w:val="single" w:color="auto" w:sz="4" w:space="0"/>
                    <w:bottom w:val="single" w:color="auto" w:sz="4" w:space="0"/>
                    <w:right w:val="single" w:color="auto" w:sz="4" w:space="0"/>
                  </w:tcBorders>
                  <w:vAlign w:val="center"/>
                </w:tcPr>
                <w:p w14:paraId="740903E1">
                  <w:pPr>
                    <w:pStyle w:val="87"/>
                    <w:jc w:val="both"/>
                  </w:pPr>
                  <w:r>
                    <w:rPr>
                      <w:rFonts w:hint="eastAsia"/>
                    </w:rPr>
                    <w:t>①制定施工计划时，尽可能避免大量高噪声设备同时施工，高噪声设备施工时间尽量安排在昼间；②加强施工管理和设备维护，发现设备存在的问题及时维修，保证设备正常运转；③加强对运输车辆的管理及疏导，尽量压缩施工区汽车数量和行车密度，控制汽车鸣笛。</w:t>
                  </w:r>
                </w:p>
              </w:tc>
            </w:tr>
            <w:tr w14:paraId="0D6F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pct"/>
                  <w:tcBorders>
                    <w:top w:val="single" w:color="auto" w:sz="4" w:space="0"/>
                    <w:left w:val="single" w:color="auto" w:sz="4" w:space="0"/>
                    <w:bottom w:val="single" w:color="auto" w:sz="4" w:space="0"/>
                    <w:right w:val="single" w:color="auto" w:sz="4" w:space="0"/>
                  </w:tcBorders>
                  <w:vAlign w:val="center"/>
                </w:tcPr>
                <w:p w14:paraId="66566B0F">
                  <w:pPr>
                    <w:pStyle w:val="87"/>
                  </w:pPr>
                  <w:r>
                    <w:rPr>
                      <w:rFonts w:hint="eastAsia"/>
                    </w:rPr>
                    <w:t>3</w:t>
                  </w:r>
                </w:p>
              </w:tc>
              <w:tc>
                <w:tcPr>
                  <w:tcW w:w="628" w:type="pct"/>
                  <w:tcBorders>
                    <w:top w:val="single" w:color="auto" w:sz="4" w:space="0"/>
                    <w:left w:val="single" w:color="auto" w:sz="4" w:space="0"/>
                    <w:bottom w:val="single" w:color="auto" w:sz="4" w:space="0"/>
                    <w:right w:val="single" w:color="auto" w:sz="4" w:space="0"/>
                  </w:tcBorders>
                  <w:vAlign w:val="center"/>
                </w:tcPr>
                <w:p w14:paraId="1C560CE5">
                  <w:pPr>
                    <w:pStyle w:val="87"/>
                  </w:pPr>
                  <w:r>
                    <w:rPr>
                      <w:rFonts w:hint="eastAsia"/>
                    </w:rPr>
                    <w:t>水环境</w:t>
                  </w:r>
                </w:p>
              </w:tc>
              <w:tc>
                <w:tcPr>
                  <w:tcW w:w="4102" w:type="pct"/>
                  <w:tcBorders>
                    <w:top w:val="single" w:color="auto" w:sz="4" w:space="0"/>
                    <w:left w:val="single" w:color="auto" w:sz="4" w:space="0"/>
                    <w:bottom w:val="single" w:color="auto" w:sz="4" w:space="0"/>
                    <w:right w:val="single" w:color="auto" w:sz="4" w:space="0"/>
                  </w:tcBorders>
                  <w:vAlign w:val="center"/>
                </w:tcPr>
                <w:p w14:paraId="2C397CFE">
                  <w:pPr>
                    <w:pStyle w:val="87"/>
                    <w:jc w:val="both"/>
                  </w:pPr>
                  <w:r>
                    <w:rPr>
                      <w:rFonts w:hint="eastAsia"/>
                    </w:rPr>
                    <w:t>①井下作业废液、压裂返排液拉运至春风一号联合站采出水处理系统处理，经处理达到《碎屑岩油藏注水水质指标技术要求及分析方法》（SY/T 5329-2022）对应储层空气渗透率下的水质主要控制指标后回注含油层用于产能开发，不外排；</w:t>
                  </w:r>
                </w:p>
                <w:p w14:paraId="347CE0E9">
                  <w:pPr>
                    <w:pStyle w:val="87"/>
                    <w:jc w:val="both"/>
                  </w:pPr>
                  <w:r>
                    <w:rPr>
                      <w:rFonts w:hint="eastAsia"/>
                    </w:rPr>
                    <w:t>②生活污水全部排至环保厕所，定期拉运至中石化新疆新春石油开发有限责任公司管理一区生活基地合理化处置，废水经基地生活污水一体化处理装置处理，达到《污水综合排放标准》（GB 8978-1996）二级标准后用于绿化。不会对环境造成明显影响。</w:t>
                  </w:r>
                </w:p>
                <w:p w14:paraId="35CD0CCF">
                  <w:pPr>
                    <w:pStyle w:val="87"/>
                    <w:jc w:val="both"/>
                  </w:pPr>
                  <w:r>
                    <w:rPr>
                      <w:rFonts w:hint="eastAsia"/>
                    </w:rPr>
                    <w:t>③井下作业废液、压裂返排液、生活污水严禁随意倾倒，在拉运过程中应建立全流程废水管理台账，详细记录各类废水产生量、运输车辆信息、处置单位接收凭证及转移联单编号，确保数据可追溯；</w:t>
                  </w:r>
                </w:p>
                <w:p w14:paraId="16712397">
                  <w:pPr>
                    <w:pStyle w:val="87"/>
                    <w:jc w:val="both"/>
                  </w:pPr>
                  <w:r>
                    <w:rPr>
                      <w:rFonts w:hint="eastAsia"/>
                    </w:rPr>
                    <w:t>④软水系统排水、锅炉排污水经收集后直接作为脱硫塔补水使用，不外排。</w:t>
                  </w:r>
                </w:p>
              </w:tc>
            </w:tr>
            <w:tr w14:paraId="7152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pct"/>
                  <w:tcBorders>
                    <w:top w:val="single" w:color="auto" w:sz="4" w:space="0"/>
                    <w:left w:val="single" w:color="auto" w:sz="4" w:space="0"/>
                    <w:bottom w:val="single" w:color="auto" w:sz="4" w:space="0"/>
                    <w:right w:val="single" w:color="auto" w:sz="4" w:space="0"/>
                  </w:tcBorders>
                  <w:vAlign w:val="center"/>
                </w:tcPr>
                <w:p w14:paraId="77B0D1F2">
                  <w:pPr>
                    <w:pStyle w:val="87"/>
                  </w:pPr>
                  <w:r>
                    <w:rPr>
                      <w:rFonts w:hint="eastAsia"/>
                    </w:rPr>
                    <w:t>4</w:t>
                  </w:r>
                </w:p>
              </w:tc>
              <w:tc>
                <w:tcPr>
                  <w:tcW w:w="628" w:type="pct"/>
                  <w:tcBorders>
                    <w:top w:val="single" w:color="auto" w:sz="4" w:space="0"/>
                    <w:left w:val="single" w:color="auto" w:sz="4" w:space="0"/>
                    <w:bottom w:val="single" w:color="auto" w:sz="4" w:space="0"/>
                    <w:right w:val="single" w:color="auto" w:sz="4" w:space="0"/>
                  </w:tcBorders>
                  <w:vAlign w:val="center"/>
                </w:tcPr>
                <w:p w14:paraId="55732354">
                  <w:pPr>
                    <w:pStyle w:val="87"/>
                  </w:pPr>
                  <w:r>
                    <w:rPr>
                      <w:rFonts w:hint="eastAsia"/>
                    </w:rPr>
                    <w:t>固体废物</w:t>
                  </w:r>
                </w:p>
              </w:tc>
              <w:tc>
                <w:tcPr>
                  <w:tcW w:w="4102" w:type="pct"/>
                  <w:tcBorders>
                    <w:top w:val="single" w:color="auto" w:sz="4" w:space="0"/>
                    <w:left w:val="single" w:color="auto" w:sz="4" w:space="0"/>
                    <w:bottom w:val="single" w:color="auto" w:sz="4" w:space="0"/>
                    <w:right w:val="single" w:color="auto" w:sz="4" w:space="0"/>
                  </w:tcBorders>
                  <w:vAlign w:val="center"/>
                </w:tcPr>
                <w:p w14:paraId="3D1F3571">
                  <w:pPr>
                    <w:pStyle w:val="87"/>
                    <w:jc w:val="both"/>
                  </w:pPr>
                  <w:r>
                    <w:rPr>
                      <w:rFonts w:hint="eastAsia"/>
                    </w:rPr>
                    <w:t>生活垃圾集中在生活垃圾收集箱内，定期拉运至附近生活垃圾暂存点，交由环卫部门统一处理。钻井固废全部排至“泥浆不落地”设备，钻井固废属于一般固体废物，交由专业单位无害化处置；处理后的钻井固废经检测在满足《油气田钻井固体废物综合利用污染控制要求》（DB65/T 3997-2017）规范标准要求的条件下，可用于修路、铺垫井场。使用过程中如产生不可利用的废沾油防渗材料，委托有危废处理资质的单位处理；废润滑油、废润滑油桶、废弃的含油抹布、劳保用品暂存危废间，委托有危废处理资质的单位处理；废弃包装物中属于危险废物的交由有资质的危废处置单位进行处理，属于一般固废的由供货厂家回收利用。锅炉炉渣、袋式除尘器截获的粉尘、脱硫石膏经收集后暂存于井场一般固废暂存间内，定期运输外售给有相关需求的厂家。</w:t>
                  </w:r>
                </w:p>
              </w:tc>
            </w:tr>
            <w:tr w14:paraId="4856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pct"/>
                  <w:tcBorders>
                    <w:top w:val="single" w:color="auto" w:sz="4" w:space="0"/>
                    <w:left w:val="single" w:color="auto" w:sz="4" w:space="0"/>
                    <w:bottom w:val="single" w:color="auto" w:sz="4" w:space="0"/>
                    <w:right w:val="single" w:color="auto" w:sz="4" w:space="0"/>
                  </w:tcBorders>
                  <w:vAlign w:val="center"/>
                </w:tcPr>
                <w:p w14:paraId="72F365C4">
                  <w:pPr>
                    <w:pStyle w:val="87"/>
                  </w:pPr>
                  <w:r>
                    <w:rPr>
                      <w:rFonts w:hint="eastAsia"/>
                    </w:rPr>
                    <w:t>5</w:t>
                  </w:r>
                </w:p>
              </w:tc>
              <w:tc>
                <w:tcPr>
                  <w:tcW w:w="628" w:type="pct"/>
                  <w:tcBorders>
                    <w:top w:val="single" w:color="auto" w:sz="4" w:space="0"/>
                    <w:left w:val="single" w:color="auto" w:sz="4" w:space="0"/>
                    <w:bottom w:val="single" w:color="auto" w:sz="4" w:space="0"/>
                    <w:right w:val="single" w:color="auto" w:sz="4" w:space="0"/>
                  </w:tcBorders>
                  <w:vAlign w:val="center"/>
                </w:tcPr>
                <w:p w14:paraId="7E93FE92">
                  <w:pPr>
                    <w:pStyle w:val="87"/>
                  </w:pPr>
                  <w:r>
                    <w:rPr>
                      <w:rFonts w:hint="eastAsia"/>
                    </w:rPr>
                    <w:t>生态环境</w:t>
                  </w:r>
                </w:p>
              </w:tc>
              <w:tc>
                <w:tcPr>
                  <w:tcW w:w="4102" w:type="pct"/>
                  <w:tcBorders>
                    <w:top w:val="single" w:color="auto" w:sz="4" w:space="0"/>
                    <w:left w:val="single" w:color="auto" w:sz="4" w:space="0"/>
                    <w:bottom w:val="single" w:color="auto" w:sz="4" w:space="0"/>
                    <w:right w:val="single" w:color="auto" w:sz="4" w:space="0"/>
                  </w:tcBorders>
                  <w:vAlign w:val="center"/>
                </w:tcPr>
                <w:p w14:paraId="0E9A1650">
                  <w:pPr>
                    <w:pStyle w:val="87"/>
                    <w:jc w:val="both"/>
                  </w:pPr>
                  <w:bookmarkStart w:id="78" w:name="_Hlk41985386"/>
                  <w:r>
                    <w:rPr>
                      <w:rFonts w:hint="eastAsia"/>
                    </w:rPr>
                    <w:t>①控制临时占地面积用地面积按实际征地面积划定，</w:t>
                  </w:r>
                  <w:bookmarkEnd w:id="78"/>
                  <w:r>
                    <w:rPr>
                      <w:rFonts w:hint="eastAsia"/>
                    </w:rPr>
                    <w:t>不得超过规定面积；②施工车辆严格按规定路线行驶，严禁随意开道，碾压植被、扰动土壤；③严禁破坏植被、捕杀野生动物；④施工结束后应对施工场地进行平整，恢复地貌。</w:t>
                  </w:r>
                </w:p>
              </w:tc>
            </w:tr>
            <w:tr w14:paraId="62EF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pct"/>
                  <w:tcBorders>
                    <w:top w:val="single" w:color="auto" w:sz="4" w:space="0"/>
                    <w:left w:val="single" w:color="auto" w:sz="4" w:space="0"/>
                    <w:bottom w:val="single" w:color="auto" w:sz="4" w:space="0"/>
                    <w:right w:val="single" w:color="auto" w:sz="4" w:space="0"/>
                  </w:tcBorders>
                  <w:vAlign w:val="center"/>
                </w:tcPr>
                <w:p w14:paraId="3EF18722">
                  <w:pPr>
                    <w:pStyle w:val="87"/>
                  </w:pPr>
                  <w:r>
                    <w:rPr>
                      <w:rFonts w:hint="eastAsia"/>
                    </w:rPr>
                    <w:t>6</w:t>
                  </w:r>
                </w:p>
              </w:tc>
              <w:tc>
                <w:tcPr>
                  <w:tcW w:w="628" w:type="pct"/>
                  <w:tcBorders>
                    <w:top w:val="single" w:color="auto" w:sz="4" w:space="0"/>
                    <w:left w:val="single" w:color="auto" w:sz="4" w:space="0"/>
                    <w:bottom w:val="single" w:color="auto" w:sz="4" w:space="0"/>
                    <w:right w:val="single" w:color="auto" w:sz="4" w:space="0"/>
                  </w:tcBorders>
                  <w:vAlign w:val="center"/>
                </w:tcPr>
                <w:p w14:paraId="52DA0BE0">
                  <w:pPr>
                    <w:pStyle w:val="87"/>
                  </w:pPr>
                  <w:r>
                    <w:rPr>
                      <w:rFonts w:hint="eastAsia"/>
                    </w:rPr>
                    <w:t>环境管理</w:t>
                  </w:r>
                </w:p>
              </w:tc>
              <w:tc>
                <w:tcPr>
                  <w:tcW w:w="4102" w:type="pct"/>
                  <w:tcBorders>
                    <w:top w:val="single" w:color="auto" w:sz="4" w:space="0"/>
                    <w:left w:val="single" w:color="auto" w:sz="4" w:space="0"/>
                    <w:bottom w:val="single" w:color="auto" w:sz="4" w:space="0"/>
                    <w:right w:val="single" w:color="auto" w:sz="4" w:space="0"/>
                  </w:tcBorders>
                  <w:vAlign w:val="center"/>
                </w:tcPr>
                <w:p w14:paraId="12067921">
                  <w:pPr>
                    <w:pStyle w:val="87"/>
                    <w:jc w:val="both"/>
                  </w:pPr>
                  <w:r>
                    <w:rPr>
                      <w:rFonts w:hint="eastAsia"/>
                    </w:rPr>
                    <w:t>①施工单位应建立环境保护档案，保存施工前后项目区的影像资料，使施工全过程各类污染物产生、去向和各个污染措施及实施情况均记录在案。建设单位要求施工单位在钻井工程开工前进行环保自查，建设单位安全环保部门对施工单位钻井期间进行环保日常检查并做好记录；完工交井前，建设单位主管部门现场验收，合格后方可记录为完工，做到工完料净场地清，并做好记录。</w:t>
                  </w:r>
                </w:p>
                <w:p w14:paraId="1D6197EB">
                  <w:pPr>
                    <w:pStyle w:val="87"/>
                    <w:jc w:val="both"/>
                  </w:pPr>
                  <w:r>
                    <w:rPr>
                      <w:rFonts w:hint="eastAsia"/>
                    </w:rPr>
                    <w:t>②根据《关于进一步加强和规范油气田开发项目环境保护管理工作的通知》（新环发[2018]133号）要求：“油气田开发建设项目的建设运营单位（即项目业主单位）为油气田勘探开发活动环保责任单位，对在其作业区域内生开运营活动负有监督和管理的责任。业主单位责任人为该油气田开发区域内环保第一责任人，要切实履行好监督管理的责任。”</w:t>
                  </w:r>
                </w:p>
                <w:p w14:paraId="440DDD4D">
                  <w:pPr>
                    <w:pStyle w:val="87"/>
                    <w:jc w:val="both"/>
                  </w:pPr>
                  <w:r>
                    <w:rPr>
                      <w:rFonts w:hint="eastAsia"/>
                    </w:rPr>
                    <w:t>③按照“油气田开采项目须按分类管理和分级审批要求编制环堤影响报告书并报有审批权限的生态环堤部门审批，不得‘以探代采’”要求，本项目依法开展环境影响评价工作；若转为生产井，则须重新进行环境影响评价，对其环境影响进行分析预测，并提出相应的保护措施。</w:t>
                  </w:r>
                </w:p>
              </w:tc>
            </w:tr>
          </w:tbl>
          <w:p w14:paraId="1DB49108">
            <w:pPr>
              <w:pStyle w:val="103"/>
              <w:ind w:firstLine="0" w:firstLineChars="0"/>
              <w:rPr>
                <w:rFonts w:hint="eastAsia"/>
              </w:rPr>
            </w:pPr>
          </w:p>
          <w:p w14:paraId="332CB04E">
            <w:pPr>
              <w:pStyle w:val="113"/>
              <w:rPr>
                <w:rFonts w:hint="eastAsia"/>
                <w:bCs/>
              </w:rPr>
            </w:pPr>
            <w:r>
              <w:rPr>
                <w:bCs/>
              </w:rPr>
              <w:t>9</w:t>
            </w:r>
            <w:r>
              <w:rPr>
                <w:rFonts w:hint="eastAsia"/>
                <w:bCs/>
              </w:rPr>
              <w:t>、环境监理</w:t>
            </w:r>
          </w:p>
          <w:p w14:paraId="5474765A">
            <w:pPr>
              <w:pStyle w:val="103"/>
              <w:ind w:firstLine="420"/>
              <w:rPr>
                <w:rFonts w:hint="eastAsia" w:cs="宋体"/>
                <w:kern w:val="2"/>
                <w:sz w:val="21"/>
                <w:szCs w:val="20"/>
              </w:rPr>
            </w:pPr>
            <w:r>
              <w:rPr>
                <w:rFonts w:hint="eastAsia" w:cs="宋体"/>
                <w:kern w:val="2"/>
                <w:sz w:val="21"/>
                <w:szCs w:val="20"/>
              </w:rPr>
              <w:t>为减轻国家重点工程对环境的影响，将环境管理制度从事后管理转变为全过程管理，建议本项目充分借鉴同类相关项目工程环境监理经验，实行工程环境监理。由建设单位聘请相关环境监理机构对环保法律、法规、制度、标准、规范的情况依法进行监督检查，特别是加强施工现场的环境监理检查工作，目的是协助建设单位落实施工期间的各项环境保护要求和施工合同中的环保规定，确保本项目的建设符合有关环保法律法规的要求。因此建议建设单位聘用环保专业人员，对各作业段进行环境监理工作。</w:t>
            </w:r>
          </w:p>
          <w:p w14:paraId="12ED489E">
            <w:pPr>
              <w:pStyle w:val="103"/>
              <w:ind w:firstLine="420"/>
              <w:rPr>
                <w:rFonts w:hint="eastAsia" w:cs="宋体"/>
                <w:kern w:val="2"/>
                <w:sz w:val="21"/>
                <w:szCs w:val="20"/>
              </w:rPr>
            </w:pPr>
            <w:r>
              <w:rPr>
                <w:rFonts w:hint="eastAsia" w:cs="宋体"/>
                <w:kern w:val="2"/>
                <w:sz w:val="21"/>
                <w:szCs w:val="20"/>
              </w:rPr>
              <w:t>1）环境监理人员要求</w:t>
            </w:r>
          </w:p>
          <w:p w14:paraId="34079AC8">
            <w:pPr>
              <w:pStyle w:val="103"/>
              <w:ind w:firstLine="420"/>
              <w:rPr>
                <w:rFonts w:hint="eastAsia" w:cs="宋体"/>
                <w:kern w:val="2"/>
                <w:sz w:val="21"/>
                <w:szCs w:val="20"/>
              </w:rPr>
            </w:pPr>
            <w:r>
              <w:rPr>
                <w:rFonts w:hint="eastAsia" w:cs="宋体"/>
                <w:kern w:val="2"/>
                <w:sz w:val="21"/>
                <w:szCs w:val="20"/>
              </w:rPr>
              <w:t>（1）环境监理人员必须具备环保专业知识，精通国家环境法律、法规和政策，了解当地环保部门的要求和环境标准。</w:t>
            </w:r>
          </w:p>
          <w:p w14:paraId="22C9CC24">
            <w:pPr>
              <w:pStyle w:val="103"/>
              <w:ind w:firstLine="420"/>
              <w:rPr>
                <w:rFonts w:hint="eastAsia" w:cs="宋体"/>
                <w:kern w:val="2"/>
                <w:sz w:val="21"/>
                <w:szCs w:val="20"/>
              </w:rPr>
            </w:pPr>
            <w:r>
              <w:rPr>
                <w:rFonts w:hint="eastAsia" w:cs="宋体"/>
                <w:kern w:val="2"/>
                <w:sz w:val="21"/>
                <w:szCs w:val="20"/>
              </w:rPr>
              <w:t>（2）必须接受HSE专门培训，有较长的从事环保工作经历。</w:t>
            </w:r>
          </w:p>
          <w:p w14:paraId="32A9409E">
            <w:pPr>
              <w:pStyle w:val="103"/>
              <w:ind w:firstLine="420"/>
              <w:rPr>
                <w:rFonts w:hint="eastAsia" w:cs="宋体"/>
                <w:kern w:val="2"/>
                <w:sz w:val="21"/>
                <w:szCs w:val="20"/>
              </w:rPr>
            </w:pPr>
            <w:r>
              <w:rPr>
                <w:rFonts w:hint="eastAsia" w:cs="宋体"/>
                <w:kern w:val="2"/>
                <w:sz w:val="21"/>
                <w:szCs w:val="20"/>
              </w:rPr>
              <w:t>（3）具有一定的现场施工经验。</w:t>
            </w:r>
          </w:p>
          <w:p w14:paraId="2220C870">
            <w:pPr>
              <w:pStyle w:val="103"/>
              <w:ind w:firstLine="420"/>
              <w:rPr>
                <w:rFonts w:hint="eastAsia" w:cs="宋体"/>
                <w:kern w:val="2"/>
                <w:sz w:val="21"/>
                <w:szCs w:val="20"/>
              </w:rPr>
            </w:pPr>
            <w:r>
              <w:rPr>
                <w:rFonts w:hint="eastAsia" w:cs="宋体"/>
                <w:kern w:val="2"/>
                <w:sz w:val="21"/>
                <w:szCs w:val="20"/>
              </w:rPr>
              <w:t>（4）可由具备以上要求的施工监理代管。</w:t>
            </w:r>
          </w:p>
          <w:p w14:paraId="5EB63EC3">
            <w:pPr>
              <w:pStyle w:val="103"/>
              <w:ind w:firstLine="420"/>
              <w:rPr>
                <w:rFonts w:hint="eastAsia" w:cs="宋体"/>
                <w:kern w:val="2"/>
                <w:sz w:val="21"/>
                <w:szCs w:val="20"/>
              </w:rPr>
            </w:pPr>
            <w:r>
              <w:rPr>
                <w:rFonts w:hint="eastAsia" w:cs="宋体"/>
                <w:kern w:val="2"/>
                <w:sz w:val="21"/>
                <w:szCs w:val="20"/>
              </w:rPr>
              <w:t>2）环境监理人员主要职责</w:t>
            </w:r>
          </w:p>
          <w:p w14:paraId="1092A306">
            <w:pPr>
              <w:pStyle w:val="103"/>
              <w:ind w:firstLine="420"/>
              <w:rPr>
                <w:rFonts w:hint="eastAsia" w:cs="宋体"/>
                <w:kern w:val="2"/>
                <w:sz w:val="21"/>
                <w:szCs w:val="20"/>
              </w:rPr>
            </w:pPr>
            <w:r>
              <w:rPr>
                <w:rFonts w:hint="eastAsia" w:cs="宋体"/>
                <w:kern w:val="2"/>
                <w:sz w:val="21"/>
                <w:szCs w:val="20"/>
              </w:rPr>
              <w:t>（1）监督施工现场对“环境管理方案”的落实。</w:t>
            </w:r>
          </w:p>
          <w:p w14:paraId="6484CB09">
            <w:pPr>
              <w:pStyle w:val="103"/>
              <w:ind w:firstLine="420"/>
              <w:rPr>
                <w:rFonts w:hint="eastAsia" w:cs="宋体"/>
                <w:kern w:val="2"/>
                <w:sz w:val="21"/>
                <w:szCs w:val="20"/>
              </w:rPr>
            </w:pPr>
            <w:r>
              <w:rPr>
                <w:rFonts w:hint="eastAsia" w:cs="宋体"/>
                <w:kern w:val="2"/>
                <w:sz w:val="21"/>
                <w:szCs w:val="20"/>
              </w:rPr>
              <w:t>（2）及时向HSE部门负责人汇报环境管理现状，并根据发现的问题提出合理化建议。</w:t>
            </w:r>
          </w:p>
          <w:p w14:paraId="556DF867">
            <w:pPr>
              <w:pStyle w:val="103"/>
              <w:ind w:firstLine="420"/>
              <w:rPr>
                <w:rFonts w:hint="eastAsia" w:cs="宋体"/>
                <w:kern w:val="2"/>
                <w:sz w:val="21"/>
                <w:szCs w:val="20"/>
              </w:rPr>
            </w:pPr>
            <w:r>
              <w:rPr>
                <w:rFonts w:hint="eastAsia" w:cs="宋体"/>
                <w:kern w:val="2"/>
                <w:sz w:val="21"/>
                <w:szCs w:val="20"/>
              </w:rPr>
              <w:t>（3）协助HSE部门负责人宣传贯彻国家和当地政府有关环境方面的法律和法规。</w:t>
            </w:r>
          </w:p>
          <w:p w14:paraId="76DF62FA">
            <w:pPr>
              <w:pStyle w:val="103"/>
              <w:ind w:firstLine="420"/>
              <w:rPr>
                <w:rFonts w:hint="eastAsia" w:cs="宋体"/>
                <w:kern w:val="2"/>
                <w:sz w:val="21"/>
                <w:szCs w:val="20"/>
              </w:rPr>
            </w:pPr>
            <w:r>
              <w:rPr>
                <w:rFonts w:hint="eastAsia" w:cs="宋体"/>
                <w:kern w:val="2"/>
                <w:sz w:val="21"/>
                <w:szCs w:val="20"/>
              </w:rPr>
              <w:t>（4）对HSE工作的真实性、合法性、效益性进行审查，评价其责任，并提出改进意见。</w:t>
            </w:r>
          </w:p>
          <w:p w14:paraId="72E50FAC">
            <w:pPr>
              <w:pStyle w:val="103"/>
              <w:ind w:firstLine="420"/>
              <w:rPr>
                <w:rFonts w:hint="eastAsia" w:cs="宋体"/>
                <w:kern w:val="2"/>
                <w:sz w:val="21"/>
                <w:szCs w:val="20"/>
              </w:rPr>
            </w:pPr>
            <w:r>
              <w:rPr>
                <w:rFonts w:hint="eastAsia" w:cs="宋体"/>
                <w:kern w:val="2"/>
                <w:sz w:val="21"/>
                <w:szCs w:val="20"/>
              </w:rPr>
              <w:t>3）环境监理范围</w:t>
            </w:r>
          </w:p>
          <w:p w14:paraId="58972741">
            <w:pPr>
              <w:pStyle w:val="103"/>
              <w:ind w:firstLine="420"/>
              <w:rPr>
                <w:rFonts w:hint="eastAsia" w:cs="宋体"/>
                <w:kern w:val="2"/>
                <w:sz w:val="21"/>
                <w:szCs w:val="20"/>
              </w:rPr>
            </w:pPr>
            <w:r>
              <w:rPr>
                <w:rFonts w:hint="eastAsia" w:cs="宋体"/>
                <w:kern w:val="2"/>
                <w:sz w:val="21"/>
                <w:szCs w:val="20"/>
              </w:rPr>
              <w:t>本项目不占用自然保护区、风景名胜区、水源保护区及文物保护区等特殊保护目标，环境监理范围为工程扰动范围。</w:t>
            </w:r>
          </w:p>
          <w:p w14:paraId="39C9C680">
            <w:pPr>
              <w:pStyle w:val="103"/>
              <w:ind w:firstLine="420"/>
              <w:rPr>
                <w:rFonts w:hint="eastAsia" w:cs="宋体"/>
                <w:kern w:val="2"/>
                <w:sz w:val="21"/>
                <w:szCs w:val="20"/>
              </w:rPr>
            </w:pPr>
            <w:r>
              <w:rPr>
                <w:rFonts w:hint="eastAsia" w:cs="宋体"/>
                <w:kern w:val="2"/>
                <w:sz w:val="21"/>
                <w:szCs w:val="20"/>
              </w:rPr>
              <w:t>4）环境监理内容</w:t>
            </w:r>
          </w:p>
          <w:p w14:paraId="0CD0E6D5">
            <w:pPr>
              <w:pStyle w:val="113"/>
              <w:rPr>
                <w:rFonts w:hint="eastAsia"/>
              </w:rPr>
            </w:pPr>
            <w:r>
              <w:rPr>
                <w:rFonts w:hint="eastAsia"/>
              </w:rPr>
              <w:t>施工期环境监理主要内容针对施工期钻井废水、试油期井下作业废液的环境保护处理措施，钻井柴油机燃料燃烧烟气、伴生气燃放废气、汽车尾气、施工扬沙的大气环境影响控制措施，钻井柴油机、钻机、机泵及运输车辆的声环境控制措施，废弃泥浆及岩屑、废防渗材料等固体废物主要处理措施，进行环境监理，必要时采取旁站的形式完成监理工作。另外，还应对施工期的生态保护措施及恢复方案进行监理。</w:t>
            </w:r>
          </w:p>
          <w:p w14:paraId="4534340C">
            <w:pPr>
              <w:pStyle w:val="113"/>
              <w:rPr>
                <w:rFonts w:hint="eastAsia"/>
                <w:bCs/>
                <w:szCs w:val="21"/>
              </w:rPr>
            </w:pPr>
            <w:r>
              <w:rPr>
                <w:rFonts w:hint="eastAsia"/>
                <w:bCs/>
              </w:rPr>
              <w:t>10、环境监测</w:t>
            </w:r>
          </w:p>
          <w:p w14:paraId="7EBD92D0">
            <w:pPr>
              <w:pStyle w:val="3"/>
              <w:ind w:firstLine="420"/>
              <w:rPr>
                <w:rFonts w:hint="eastAsia"/>
                <w:sz w:val="21"/>
              </w:rPr>
            </w:pPr>
            <w:r>
              <w:rPr>
                <w:rFonts w:hint="eastAsia"/>
                <w:sz w:val="21"/>
              </w:rPr>
              <w:t>1）常规监测计划</w:t>
            </w:r>
          </w:p>
          <w:p w14:paraId="49B62954">
            <w:pPr>
              <w:pStyle w:val="103"/>
              <w:ind w:firstLine="420"/>
              <w:rPr>
                <w:rFonts w:hint="eastAsia"/>
              </w:rPr>
            </w:pPr>
            <w:r>
              <w:rPr>
                <w:rFonts w:hint="eastAsia"/>
                <w:kern w:val="2"/>
                <w:sz w:val="21"/>
                <w:szCs w:val="21"/>
              </w:rPr>
              <w:t>本次施工期监测对象主要是作业场所及其附近植被和土壤，对作业场所监测可视具体情况、当地生态环境保护部门要求等情况而定。施工期环境监测计划见</w:t>
            </w:r>
            <w:r>
              <w:rPr>
                <w:sz w:val="21"/>
                <w:szCs w:val="21"/>
              </w:rPr>
              <w:fldChar w:fldCharType="begin"/>
            </w:r>
            <w:r>
              <w:rPr>
                <w:kern w:val="2"/>
                <w:sz w:val="21"/>
                <w:szCs w:val="21"/>
              </w:rPr>
              <w:instrText xml:space="preserve"> </w:instrText>
            </w:r>
            <w:r>
              <w:rPr>
                <w:rFonts w:hint="eastAsia"/>
                <w:kern w:val="2"/>
                <w:sz w:val="21"/>
                <w:szCs w:val="21"/>
              </w:rPr>
              <w:instrText xml:space="preserve">REF _Ref176939759 \h</w:instrText>
            </w:r>
            <w:r>
              <w:rPr>
                <w:kern w:val="2"/>
                <w:sz w:val="21"/>
                <w:szCs w:val="21"/>
              </w:rPr>
              <w:instrText xml:space="preserve"> </w:instrText>
            </w:r>
            <w:r>
              <w:rPr>
                <w:sz w:val="21"/>
                <w:szCs w:val="21"/>
              </w:rPr>
              <w:instrText xml:space="preserve"> \* MERGEFORMAT </w:instrText>
            </w:r>
            <w:r>
              <w:rPr>
                <w:sz w:val="21"/>
                <w:szCs w:val="21"/>
              </w:rPr>
              <w:fldChar w:fldCharType="separate"/>
            </w:r>
            <w:r>
              <w:rPr>
                <w:rFonts w:hint="eastAsia"/>
                <w:sz w:val="21"/>
                <w:szCs w:val="21"/>
              </w:rPr>
              <w:t>表49</w:t>
            </w:r>
            <w:r>
              <w:rPr>
                <w:sz w:val="21"/>
                <w:szCs w:val="21"/>
              </w:rPr>
              <w:fldChar w:fldCharType="end"/>
            </w:r>
            <w:r>
              <w:rPr>
                <w:rFonts w:hint="eastAsia"/>
                <w:kern w:val="2"/>
                <w:sz w:val="21"/>
                <w:szCs w:val="21"/>
              </w:rPr>
              <w:t>。</w:t>
            </w:r>
          </w:p>
          <w:p w14:paraId="6C5C476A">
            <w:pPr>
              <w:pStyle w:val="12"/>
              <w:spacing w:before="120"/>
              <w:rPr>
                <w:bCs/>
              </w:rPr>
            </w:pPr>
            <w:bookmarkStart w:id="79" w:name="_Ref38547835"/>
            <w:bookmarkEnd w:id="79"/>
            <w:bookmarkStart w:id="80" w:name="_Ref176939759"/>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49</w:t>
            </w:r>
            <w:r>
              <w:rPr>
                <w:rFonts w:hAnsi="宋体"/>
              </w:rPr>
              <w:fldChar w:fldCharType="end"/>
            </w:r>
            <w:bookmarkEnd w:id="80"/>
            <w:r>
              <w:rPr>
                <w:rFonts w:hAnsi="宋体"/>
              </w:rPr>
              <w:t xml:space="preserve">  </w:t>
            </w:r>
            <w:r>
              <w:rPr>
                <w:rFonts w:hint="eastAsia" w:hAnsi="宋体"/>
                <w:bCs/>
              </w:rPr>
              <w:t>环境监测计划</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979"/>
              <w:gridCol w:w="1514"/>
              <w:gridCol w:w="1775"/>
              <w:gridCol w:w="1154"/>
              <w:gridCol w:w="1532"/>
            </w:tblGrid>
            <w:tr w14:paraId="798F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Align w:val="center"/>
                </w:tcPr>
                <w:p w14:paraId="2B2CADC9">
                  <w:pPr>
                    <w:pStyle w:val="87"/>
                    <w:rPr>
                      <w:rFonts w:hint="eastAsia" w:hAnsi="宋体"/>
                    </w:rPr>
                  </w:pPr>
                  <w:r>
                    <w:rPr>
                      <w:rFonts w:hint="eastAsia" w:hAnsi="宋体"/>
                    </w:rPr>
                    <w:t>序号</w:t>
                  </w:r>
                </w:p>
              </w:tc>
              <w:tc>
                <w:tcPr>
                  <w:tcW w:w="648" w:type="pct"/>
                  <w:vAlign w:val="center"/>
                </w:tcPr>
                <w:p w14:paraId="6C13D0A8">
                  <w:pPr>
                    <w:pStyle w:val="87"/>
                    <w:rPr>
                      <w:rFonts w:hint="eastAsia" w:hAnsi="宋体"/>
                    </w:rPr>
                  </w:pPr>
                  <w:r>
                    <w:rPr>
                      <w:rFonts w:hint="eastAsia" w:hAnsi="宋体"/>
                    </w:rPr>
                    <w:t>环境要素</w:t>
                  </w:r>
                </w:p>
              </w:tc>
              <w:tc>
                <w:tcPr>
                  <w:tcW w:w="1002" w:type="pct"/>
                  <w:vAlign w:val="center"/>
                </w:tcPr>
                <w:p w14:paraId="4F38B8AA">
                  <w:pPr>
                    <w:pStyle w:val="87"/>
                    <w:rPr>
                      <w:rFonts w:hint="eastAsia" w:hAnsi="宋体"/>
                    </w:rPr>
                  </w:pPr>
                  <w:r>
                    <w:rPr>
                      <w:rFonts w:hint="eastAsia" w:hAnsi="宋体"/>
                    </w:rPr>
                    <w:t>监测地点</w:t>
                  </w:r>
                </w:p>
              </w:tc>
              <w:tc>
                <w:tcPr>
                  <w:tcW w:w="1175" w:type="pct"/>
                  <w:vAlign w:val="center"/>
                </w:tcPr>
                <w:p w14:paraId="4E112082">
                  <w:pPr>
                    <w:pStyle w:val="87"/>
                    <w:rPr>
                      <w:rFonts w:hint="eastAsia" w:hAnsi="宋体"/>
                    </w:rPr>
                  </w:pPr>
                  <w:r>
                    <w:rPr>
                      <w:rFonts w:hint="eastAsia" w:hAnsi="宋体"/>
                    </w:rPr>
                    <w:t>监测项目</w:t>
                  </w:r>
                </w:p>
              </w:tc>
              <w:tc>
                <w:tcPr>
                  <w:tcW w:w="764" w:type="pct"/>
                  <w:vAlign w:val="center"/>
                </w:tcPr>
                <w:p w14:paraId="0218F166">
                  <w:pPr>
                    <w:pStyle w:val="87"/>
                    <w:rPr>
                      <w:rFonts w:hint="eastAsia" w:hAnsi="宋体"/>
                    </w:rPr>
                  </w:pPr>
                  <w:r>
                    <w:rPr>
                      <w:rFonts w:hint="eastAsia" w:hAnsi="宋体"/>
                    </w:rPr>
                    <w:t>监测频次</w:t>
                  </w:r>
                </w:p>
              </w:tc>
              <w:tc>
                <w:tcPr>
                  <w:tcW w:w="1014" w:type="pct"/>
                  <w:vAlign w:val="center"/>
                </w:tcPr>
                <w:p w14:paraId="11F18530">
                  <w:pPr>
                    <w:pStyle w:val="87"/>
                    <w:rPr>
                      <w:rFonts w:hint="eastAsia" w:hAnsi="宋体"/>
                    </w:rPr>
                  </w:pPr>
                  <w:r>
                    <w:rPr>
                      <w:rFonts w:hint="eastAsia" w:hAnsi="宋体"/>
                    </w:rPr>
                    <w:t>监测时间</w:t>
                  </w:r>
                </w:p>
              </w:tc>
            </w:tr>
            <w:tr w14:paraId="70E7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07870A01">
                  <w:pPr>
                    <w:pStyle w:val="87"/>
                    <w:rPr>
                      <w:rFonts w:hint="eastAsia" w:hAnsi="宋体"/>
                    </w:rPr>
                  </w:pPr>
                  <w:r>
                    <w:rPr>
                      <w:rFonts w:hint="eastAsia" w:hAnsi="宋体"/>
                    </w:rPr>
                    <w:t>1</w:t>
                  </w:r>
                </w:p>
              </w:tc>
              <w:tc>
                <w:tcPr>
                  <w:tcW w:w="648" w:type="pct"/>
                  <w:vAlign w:val="center"/>
                </w:tcPr>
                <w:p w14:paraId="629777F1">
                  <w:pPr>
                    <w:pStyle w:val="87"/>
                    <w:rPr>
                      <w:rFonts w:hint="eastAsia" w:hAnsi="宋体"/>
                    </w:rPr>
                  </w:pPr>
                  <w:r>
                    <w:rPr>
                      <w:rFonts w:hint="eastAsia" w:hAnsi="宋体"/>
                    </w:rPr>
                    <w:t>土壤环境</w:t>
                  </w:r>
                </w:p>
              </w:tc>
              <w:tc>
                <w:tcPr>
                  <w:tcW w:w="1002" w:type="pct"/>
                  <w:vAlign w:val="center"/>
                </w:tcPr>
                <w:p w14:paraId="67E13F80">
                  <w:pPr>
                    <w:pStyle w:val="87"/>
                    <w:rPr>
                      <w:rFonts w:hint="eastAsia" w:hAnsi="宋体"/>
                    </w:rPr>
                  </w:pPr>
                  <w:r>
                    <w:rPr>
                      <w:rFonts w:hint="eastAsia" w:hAnsi="宋体"/>
                    </w:rPr>
                    <w:t>井场及井场外</w:t>
                  </w:r>
                </w:p>
              </w:tc>
              <w:tc>
                <w:tcPr>
                  <w:tcW w:w="1175" w:type="pct"/>
                  <w:vAlign w:val="center"/>
                </w:tcPr>
                <w:p w14:paraId="474E015E">
                  <w:pPr>
                    <w:pStyle w:val="87"/>
                    <w:rPr>
                      <w:rFonts w:hint="eastAsia" w:hAnsi="宋体"/>
                    </w:rPr>
                  </w:pPr>
                  <w:r>
                    <w:rPr>
                      <w:rFonts w:hint="eastAsia" w:hAnsi="宋体"/>
                    </w:rPr>
                    <w:t>石油烃（C</w:t>
                  </w:r>
                  <w:r>
                    <w:rPr>
                      <w:rFonts w:hint="eastAsia" w:hAnsi="宋体"/>
                      <w:vertAlign w:val="subscript"/>
                    </w:rPr>
                    <w:t>10</w:t>
                  </w:r>
                  <w:r>
                    <w:rPr>
                      <w:rFonts w:hint="eastAsia" w:hAnsi="宋体"/>
                    </w:rPr>
                    <w:t>-C</w:t>
                  </w:r>
                  <w:r>
                    <w:rPr>
                      <w:rFonts w:hint="eastAsia" w:hAnsi="宋体"/>
                      <w:vertAlign w:val="subscript"/>
                    </w:rPr>
                    <w:t>40</w:t>
                  </w:r>
                  <w:r>
                    <w:rPr>
                      <w:rFonts w:hint="eastAsia" w:hAnsi="宋体"/>
                    </w:rPr>
                    <w:t>）</w:t>
                  </w:r>
                </w:p>
              </w:tc>
              <w:tc>
                <w:tcPr>
                  <w:tcW w:w="764" w:type="pct"/>
                  <w:vAlign w:val="center"/>
                </w:tcPr>
                <w:p w14:paraId="16975442">
                  <w:pPr>
                    <w:pStyle w:val="87"/>
                    <w:rPr>
                      <w:rFonts w:hint="eastAsia" w:hAnsi="宋体"/>
                    </w:rPr>
                  </w:pPr>
                  <w:r>
                    <w:rPr>
                      <w:rFonts w:hint="eastAsia" w:hAnsi="宋体"/>
                    </w:rPr>
                    <w:t>1次/钻井周期</w:t>
                  </w:r>
                </w:p>
              </w:tc>
              <w:tc>
                <w:tcPr>
                  <w:tcW w:w="1014" w:type="pct"/>
                  <w:vAlign w:val="center"/>
                </w:tcPr>
                <w:p w14:paraId="46882B0A">
                  <w:pPr>
                    <w:pStyle w:val="87"/>
                    <w:rPr>
                      <w:rFonts w:hint="eastAsia" w:hAnsi="宋体"/>
                    </w:rPr>
                  </w:pPr>
                  <w:r>
                    <w:rPr>
                      <w:rFonts w:hint="eastAsia" w:hAnsi="宋体"/>
                    </w:rPr>
                    <w:t>完井后</w:t>
                  </w:r>
                </w:p>
              </w:tc>
            </w:tr>
            <w:tr w14:paraId="4C08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0BB8C837">
                  <w:pPr>
                    <w:pStyle w:val="87"/>
                    <w:rPr>
                      <w:rFonts w:hint="eastAsia" w:hAnsi="宋体"/>
                    </w:rPr>
                  </w:pPr>
                  <w:r>
                    <w:rPr>
                      <w:rFonts w:hint="eastAsia" w:hAnsi="宋体"/>
                    </w:rPr>
                    <w:t>2</w:t>
                  </w:r>
                </w:p>
              </w:tc>
              <w:tc>
                <w:tcPr>
                  <w:tcW w:w="648" w:type="pct"/>
                  <w:vMerge w:val="restart"/>
                  <w:vAlign w:val="center"/>
                </w:tcPr>
                <w:p w14:paraId="4AE58F1E">
                  <w:pPr>
                    <w:pStyle w:val="87"/>
                    <w:rPr>
                      <w:rFonts w:hint="eastAsia" w:hAnsi="宋体"/>
                    </w:rPr>
                  </w:pPr>
                  <w:r>
                    <w:rPr>
                      <w:rFonts w:hint="eastAsia" w:hAnsi="宋体"/>
                    </w:rPr>
                    <w:t>污染物监测</w:t>
                  </w:r>
                </w:p>
              </w:tc>
              <w:tc>
                <w:tcPr>
                  <w:tcW w:w="1002" w:type="pct"/>
                  <w:vAlign w:val="center"/>
                </w:tcPr>
                <w:p w14:paraId="63B04105">
                  <w:pPr>
                    <w:pStyle w:val="87"/>
                    <w:rPr>
                      <w:rFonts w:hint="eastAsia" w:hAnsi="宋体"/>
                    </w:rPr>
                  </w:pPr>
                  <w:r>
                    <w:rPr>
                      <w:rFonts w:hint="eastAsia" w:hAnsi="宋体"/>
                    </w:rPr>
                    <w:t>钻井固废</w:t>
                  </w:r>
                </w:p>
              </w:tc>
              <w:tc>
                <w:tcPr>
                  <w:tcW w:w="1175" w:type="pct"/>
                  <w:vAlign w:val="center"/>
                </w:tcPr>
                <w:p w14:paraId="7BBB55D3">
                  <w:pPr>
                    <w:pStyle w:val="87"/>
                    <w:rPr>
                      <w:rFonts w:hint="eastAsia" w:hAnsi="宋体"/>
                    </w:rPr>
                  </w:pPr>
                  <w:r>
                    <w:rPr>
                      <w:rFonts w:hint="eastAsia" w:hAnsi="宋体"/>
                    </w:rPr>
                    <w:t>pH、六价铬、铜、锌、镍、铅、镉、砷、苯并（a）芘、含油率、含水率</w:t>
                  </w:r>
                </w:p>
              </w:tc>
              <w:tc>
                <w:tcPr>
                  <w:tcW w:w="764" w:type="pct"/>
                  <w:vAlign w:val="center"/>
                </w:tcPr>
                <w:p w14:paraId="5CD866E7">
                  <w:pPr>
                    <w:pStyle w:val="87"/>
                    <w:rPr>
                      <w:rFonts w:hint="eastAsia" w:hAnsi="宋体"/>
                    </w:rPr>
                  </w:pPr>
                  <w:r>
                    <w:rPr>
                      <w:rFonts w:hint="eastAsia" w:hAnsi="宋体"/>
                    </w:rPr>
                    <w:t>1次/钻井周期</w:t>
                  </w:r>
                </w:p>
              </w:tc>
              <w:tc>
                <w:tcPr>
                  <w:tcW w:w="1014" w:type="pct"/>
                  <w:vAlign w:val="center"/>
                </w:tcPr>
                <w:p w14:paraId="74F09171">
                  <w:pPr>
                    <w:pStyle w:val="87"/>
                    <w:rPr>
                      <w:rFonts w:hint="eastAsia" w:hAnsi="宋体"/>
                    </w:rPr>
                  </w:pPr>
                  <w:r>
                    <w:rPr>
                      <w:rFonts w:hint="eastAsia" w:hAnsi="宋体"/>
                    </w:rPr>
                    <w:t>钻井固废处理后</w:t>
                  </w:r>
                </w:p>
              </w:tc>
            </w:tr>
            <w:tr w14:paraId="4B73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14:paraId="7B16093C">
                  <w:pPr>
                    <w:pStyle w:val="87"/>
                    <w:rPr>
                      <w:rFonts w:hint="eastAsia" w:hAnsi="宋体"/>
                    </w:rPr>
                  </w:pPr>
                </w:p>
              </w:tc>
              <w:tc>
                <w:tcPr>
                  <w:tcW w:w="648" w:type="pct"/>
                  <w:vMerge w:val="continue"/>
                  <w:vAlign w:val="center"/>
                </w:tcPr>
                <w:p w14:paraId="176D3404">
                  <w:pPr>
                    <w:pStyle w:val="87"/>
                    <w:rPr>
                      <w:rFonts w:hint="eastAsia" w:hAnsi="宋体"/>
                    </w:rPr>
                  </w:pPr>
                </w:p>
              </w:tc>
              <w:tc>
                <w:tcPr>
                  <w:tcW w:w="1002" w:type="pct"/>
                  <w:vAlign w:val="center"/>
                </w:tcPr>
                <w:p w14:paraId="5371429C">
                  <w:pPr>
                    <w:pStyle w:val="87"/>
                    <w:rPr>
                      <w:rFonts w:hint="eastAsia" w:hAnsi="宋体"/>
                    </w:rPr>
                  </w:pPr>
                  <w:r>
                    <w:rPr>
                      <w:rFonts w:hint="eastAsia" w:hAnsi="宋体"/>
                    </w:rPr>
                    <w:t>锅炉废气</w:t>
                  </w:r>
                </w:p>
              </w:tc>
              <w:tc>
                <w:tcPr>
                  <w:tcW w:w="1175" w:type="pct"/>
                  <w:vAlign w:val="center"/>
                </w:tcPr>
                <w:p w14:paraId="3B154D9D">
                  <w:pPr>
                    <w:pStyle w:val="87"/>
                    <w:rPr>
                      <w:rFonts w:hint="eastAsia" w:hAnsi="宋体"/>
                    </w:rPr>
                  </w:pPr>
                  <w:r>
                    <w:rPr>
                      <w:rFonts w:hint="eastAsia" w:hAnsi="宋体"/>
                    </w:rPr>
                    <w:t>SO</w:t>
                  </w:r>
                  <w:r>
                    <w:rPr>
                      <w:rFonts w:hint="eastAsia" w:hAnsi="宋体"/>
                      <w:vertAlign w:val="subscript"/>
                    </w:rPr>
                    <w:t>2</w:t>
                  </w:r>
                  <w:r>
                    <w:rPr>
                      <w:rFonts w:hint="eastAsia" w:hAnsi="宋体"/>
                    </w:rPr>
                    <w:t>、NO</w:t>
                  </w:r>
                  <w:r>
                    <w:rPr>
                      <w:rFonts w:hint="eastAsia" w:hAnsi="宋体"/>
                      <w:vertAlign w:val="subscript"/>
                    </w:rPr>
                    <w:t>X</w:t>
                  </w:r>
                  <w:r>
                    <w:rPr>
                      <w:rFonts w:hint="eastAsia" w:hAnsi="宋体"/>
                    </w:rPr>
                    <w:t>、颗粒物、林格曼黑度</w:t>
                  </w:r>
                </w:p>
              </w:tc>
              <w:tc>
                <w:tcPr>
                  <w:tcW w:w="764" w:type="pct"/>
                  <w:vAlign w:val="center"/>
                </w:tcPr>
                <w:p w14:paraId="3B4F4BF0">
                  <w:pPr>
                    <w:pStyle w:val="87"/>
                    <w:rPr>
                      <w:rFonts w:hint="eastAsia" w:hAnsi="宋体"/>
                    </w:rPr>
                  </w:pPr>
                  <w:r>
                    <w:rPr>
                      <w:rFonts w:hint="eastAsia" w:hAnsi="宋体"/>
                    </w:rPr>
                    <w:t>1次/钻井周期</w:t>
                  </w:r>
                </w:p>
              </w:tc>
              <w:tc>
                <w:tcPr>
                  <w:tcW w:w="1014" w:type="pct"/>
                  <w:vAlign w:val="center"/>
                </w:tcPr>
                <w:p w14:paraId="6C211019">
                  <w:pPr>
                    <w:pStyle w:val="87"/>
                    <w:rPr>
                      <w:rFonts w:hint="eastAsia" w:hAnsi="宋体"/>
                    </w:rPr>
                  </w:pPr>
                  <w:r>
                    <w:rPr>
                      <w:rFonts w:hint="eastAsia" w:hAnsi="宋体"/>
                    </w:rPr>
                    <w:t>冬季施工锅炉使用期间</w:t>
                  </w:r>
                </w:p>
              </w:tc>
            </w:tr>
            <w:tr w14:paraId="2BE6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0214534B">
                  <w:pPr>
                    <w:pStyle w:val="87"/>
                    <w:rPr>
                      <w:rFonts w:hint="eastAsia" w:hAnsi="宋体"/>
                    </w:rPr>
                  </w:pPr>
                  <w:r>
                    <w:rPr>
                      <w:rFonts w:hint="eastAsia" w:hAnsi="宋体"/>
                    </w:rPr>
                    <w:t>3</w:t>
                  </w:r>
                </w:p>
              </w:tc>
              <w:tc>
                <w:tcPr>
                  <w:tcW w:w="648" w:type="pct"/>
                  <w:vAlign w:val="center"/>
                </w:tcPr>
                <w:p w14:paraId="60CC07C3">
                  <w:pPr>
                    <w:pStyle w:val="87"/>
                    <w:rPr>
                      <w:rFonts w:hint="eastAsia" w:hAnsi="宋体"/>
                    </w:rPr>
                  </w:pPr>
                  <w:r>
                    <w:rPr>
                      <w:rFonts w:hint="eastAsia" w:hAnsi="宋体"/>
                    </w:rPr>
                    <w:t>生态环境</w:t>
                  </w:r>
                </w:p>
              </w:tc>
              <w:tc>
                <w:tcPr>
                  <w:tcW w:w="1002" w:type="pct"/>
                  <w:vAlign w:val="center"/>
                </w:tcPr>
                <w:p w14:paraId="0E52A16E">
                  <w:pPr>
                    <w:pStyle w:val="87"/>
                    <w:rPr>
                      <w:rFonts w:hint="eastAsia" w:hAnsi="宋体"/>
                    </w:rPr>
                  </w:pPr>
                  <w:r>
                    <w:rPr>
                      <w:rFonts w:hint="eastAsia" w:hAnsi="宋体"/>
                    </w:rPr>
                    <w:t>项目区</w:t>
                  </w:r>
                </w:p>
              </w:tc>
              <w:tc>
                <w:tcPr>
                  <w:tcW w:w="1175" w:type="pct"/>
                  <w:vAlign w:val="center"/>
                </w:tcPr>
                <w:p w14:paraId="1307BE6C">
                  <w:pPr>
                    <w:pStyle w:val="87"/>
                    <w:rPr>
                      <w:rFonts w:hint="eastAsia" w:hAnsi="宋体"/>
                    </w:rPr>
                  </w:pPr>
                  <w:r>
                    <w:rPr>
                      <w:rFonts w:hint="eastAsia" w:hAnsi="宋体"/>
                    </w:rPr>
                    <w:t>植物群落、重要物种及分布、生境质量等</w:t>
                  </w:r>
                </w:p>
              </w:tc>
              <w:tc>
                <w:tcPr>
                  <w:tcW w:w="764" w:type="pct"/>
                  <w:vAlign w:val="center"/>
                </w:tcPr>
                <w:p w14:paraId="2B20F753">
                  <w:pPr>
                    <w:pStyle w:val="87"/>
                    <w:rPr>
                      <w:rFonts w:hint="eastAsia" w:hAnsi="宋体"/>
                    </w:rPr>
                  </w:pPr>
                  <w:r>
                    <w:rPr>
                      <w:rFonts w:hint="eastAsia" w:hAnsi="宋体"/>
                    </w:rPr>
                    <w:t>1次/年</w:t>
                  </w:r>
                </w:p>
              </w:tc>
              <w:tc>
                <w:tcPr>
                  <w:tcW w:w="1014" w:type="pct"/>
                  <w:vAlign w:val="center"/>
                </w:tcPr>
                <w:p w14:paraId="2ABCE692">
                  <w:pPr>
                    <w:pStyle w:val="87"/>
                    <w:rPr>
                      <w:rFonts w:hint="eastAsia" w:hAnsi="宋体"/>
                    </w:rPr>
                  </w:pPr>
                  <w:r>
                    <w:rPr>
                      <w:rFonts w:hint="eastAsia" w:hAnsi="宋体"/>
                    </w:rPr>
                    <w:t>施工期间</w:t>
                  </w:r>
                </w:p>
              </w:tc>
            </w:tr>
          </w:tbl>
          <w:p w14:paraId="3CC30EB2">
            <w:pPr>
              <w:pStyle w:val="113"/>
              <w:rPr>
                <w:rFonts w:hint="eastAsia"/>
                <w:szCs w:val="21"/>
              </w:rPr>
            </w:pPr>
          </w:p>
          <w:p w14:paraId="2217923D">
            <w:pPr>
              <w:pStyle w:val="3"/>
              <w:ind w:firstLine="420"/>
              <w:rPr>
                <w:rFonts w:hint="eastAsia"/>
                <w:sz w:val="21"/>
              </w:rPr>
            </w:pPr>
            <w:r>
              <w:rPr>
                <w:rFonts w:hint="eastAsia"/>
                <w:sz w:val="21"/>
              </w:rPr>
              <w:t>2）应急监测计划</w:t>
            </w:r>
          </w:p>
          <w:p w14:paraId="7D520440">
            <w:pPr>
              <w:pStyle w:val="3"/>
              <w:ind w:firstLine="420"/>
              <w:rPr>
                <w:rFonts w:hint="eastAsia"/>
                <w:sz w:val="21"/>
              </w:rPr>
            </w:pPr>
            <w:r>
              <w:rPr>
                <w:rFonts w:hint="eastAsia"/>
                <w:sz w:val="21"/>
              </w:rPr>
              <w:t>（1）适用范围</w:t>
            </w:r>
          </w:p>
          <w:p w14:paraId="4E7A0023">
            <w:pPr>
              <w:pStyle w:val="3"/>
              <w:ind w:firstLine="420"/>
              <w:rPr>
                <w:rFonts w:hint="eastAsia"/>
                <w:sz w:val="21"/>
              </w:rPr>
            </w:pPr>
            <w:r>
              <w:rPr>
                <w:rFonts w:hint="eastAsia"/>
                <w:sz w:val="21"/>
              </w:rPr>
              <w:t>本监测计划适用项目范围内发生的环保事故和应急情况的监测。</w:t>
            </w:r>
          </w:p>
          <w:p w14:paraId="39642657">
            <w:pPr>
              <w:pStyle w:val="3"/>
              <w:ind w:firstLine="420"/>
              <w:rPr>
                <w:rFonts w:hint="eastAsia"/>
                <w:sz w:val="21"/>
              </w:rPr>
            </w:pPr>
            <w:r>
              <w:rPr>
                <w:rFonts w:hint="eastAsia"/>
                <w:sz w:val="21"/>
              </w:rPr>
              <w:t>（2）应急监测措施</w:t>
            </w:r>
          </w:p>
          <w:p w14:paraId="521FB976">
            <w:pPr>
              <w:pStyle w:val="3"/>
              <w:ind w:firstLine="420"/>
              <w:rPr>
                <w:rFonts w:hint="eastAsia"/>
                <w:sz w:val="21"/>
              </w:rPr>
            </w:pPr>
            <w:r>
              <w:rPr>
                <w:rFonts w:hint="eastAsia"/>
                <w:sz w:val="21"/>
              </w:rPr>
              <w:t>应急指挥中心办公室、环境监测部门接到环保事故信息后，根据接报的情况判断可能的污染物质，进行应急准备，并立即组织有关人员，分别进行现场的监测采样和实验室的准备工作。</w:t>
            </w:r>
          </w:p>
          <w:p w14:paraId="261AC640">
            <w:pPr>
              <w:pStyle w:val="3"/>
              <w:ind w:firstLine="420"/>
              <w:rPr>
                <w:rFonts w:hint="eastAsia"/>
                <w:sz w:val="21"/>
                <w:szCs w:val="21"/>
              </w:rPr>
            </w:pPr>
            <w:r>
              <w:rPr>
                <w:rFonts w:hint="eastAsia"/>
                <w:sz w:val="21"/>
              </w:rPr>
              <w:t>（3）特征污染物清单</w:t>
            </w:r>
          </w:p>
          <w:p w14:paraId="6C344BAE">
            <w:pPr>
              <w:pStyle w:val="3"/>
              <w:ind w:firstLine="420"/>
              <w:rPr>
                <w:rFonts w:hint="eastAsia"/>
                <w:sz w:val="21"/>
                <w:szCs w:val="21"/>
              </w:rPr>
            </w:pPr>
            <w:r>
              <w:rPr>
                <w:rFonts w:hint="eastAsia"/>
                <w:sz w:val="21"/>
                <w:szCs w:val="21"/>
              </w:rPr>
              <w:t>本次根据评价因子筛选原则，提出的项目特征污染物清单见</w:t>
            </w:r>
            <w:r>
              <w:rPr>
                <w:rFonts w:hint="eastAsia"/>
                <w:sz w:val="21"/>
                <w:szCs w:val="21"/>
              </w:rPr>
              <w:fldChar w:fldCharType="begin"/>
            </w:r>
            <w:r>
              <w:rPr>
                <w:rFonts w:hint="eastAsia"/>
                <w:sz w:val="21"/>
                <w:szCs w:val="21"/>
              </w:rPr>
              <w:instrText xml:space="preserve"> REF _Ref17243  \* MERGEFORMAT </w:instrText>
            </w:r>
            <w:r>
              <w:rPr>
                <w:rFonts w:hint="eastAsia"/>
                <w:sz w:val="21"/>
                <w:szCs w:val="21"/>
              </w:rPr>
              <w:fldChar w:fldCharType="separate"/>
            </w:r>
            <w:r>
              <w:rPr>
                <w:rFonts w:hint="eastAsia"/>
                <w:sz w:val="21"/>
                <w:szCs w:val="21"/>
              </w:rPr>
              <w:t>表</w:t>
            </w:r>
            <w:r>
              <w:rPr>
                <w:sz w:val="21"/>
                <w:szCs w:val="21"/>
              </w:rPr>
              <w:t>50</w:t>
            </w:r>
            <w:r>
              <w:rPr>
                <w:rFonts w:hint="eastAsia"/>
                <w:sz w:val="21"/>
                <w:szCs w:val="21"/>
              </w:rPr>
              <w:fldChar w:fldCharType="end"/>
            </w:r>
            <w:r>
              <w:rPr>
                <w:rFonts w:hint="eastAsia"/>
                <w:sz w:val="21"/>
                <w:szCs w:val="21"/>
              </w:rPr>
              <w:t>。</w:t>
            </w:r>
          </w:p>
          <w:p w14:paraId="2D484886">
            <w:pPr>
              <w:pStyle w:val="87"/>
              <w:spacing w:line="332" w:lineRule="auto"/>
            </w:pPr>
            <w:bookmarkStart w:id="81" w:name="_Ref17243"/>
            <w:r>
              <w:rPr>
                <w:rFonts w:hint="eastAsia"/>
              </w:rPr>
              <w:t>表</w:t>
            </w:r>
            <w:r>
              <w:rPr>
                <w:rFonts w:hint="eastAsia"/>
              </w:rPr>
              <w:fldChar w:fldCharType="begin"/>
            </w:r>
            <w:r>
              <w:rPr>
                <w:rFonts w:hint="eastAsia"/>
              </w:rPr>
              <w:instrText xml:space="preserve"> SEQ 表 \*ARABIC </w:instrText>
            </w:r>
            <w:r>
              <w:rPr>
                <w:rFonts w:hint="eastAsia"/>
              </w:rPr>
              <w:fldChar w:fldCharType="separate"/>
            </w:r>
            <w:r>
              <w:t>50</w:t>
            </w:r>
            <w:r>
              <w:rPr>
                <w:rFonts w:hint="eastAsia"/>
              </w:rPr>
              <w:fldChar w:fldCharType="end"/>
            </w:r>
            <w:bookmarkEnd w:id="81"/>
            <w:r>
              <w:rPr>
                <w:rFonts w:hint="eastAsia"/>
              </w:rPr>
              <w:t xml:space="preserve">  项目特征污染物清单</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22"/>
              <w:gridCol w:w="545"/>
              <w:gridCol w:w="1696"/>
              <w:gridCol w:w="494"/>
              <w:gridCol w:w="1931"/>
              <w:gridCol w:w="1013"/>
            </w:tblGrid>
            <w:tr w14:paraId="2258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9F686A0">
                  <w:pPr>
                    <w:pStyle w:val="87"/>
                    <w:rPr>
                      <w:rFonts w:hint="eastAsia" w:hAnsi="宋体"/>
                    </w:rPr>
                  </w:pPr>
                  <w:r>
                    <w:rPr>
                      <w:rFonts w:hint="eastAsia" w:hAnsi="宋体"/>
                    </w:rPr>
                    <w:t>特征污染物</w:t>
                  </w:r>
                </w:p>
              </w:tc>
              <w:tc>
                <w:tcPr>
                  <w:tcW w:w="1236"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19790F3">
                  <w:pPr>
                    <w:pStyle w:val="87"/>
                    <w:rPr>
                      <w:rFonts w:hint="eastAsia" w:hAnsi="宋体"/>
                    </w:rPr>
                  </w:pPr>
                  <w:r>
                    <w:rPr>
                      <w:rFonts w:hint="eastAsia" w:hAnsi="宋体"/>
                    </w:rPr>
                    <w:t>质量标准来源及限值</w:t>
                  </w:r>
                </w:p>
              </w:tc>
              <w:tc>
                <w:tcPr>
                  <w:tcW w:w="1450"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EA0988A">
                  <w:pPr>
                    <w:pStyle w:val="87"/>
                    <w:rPr>
                      <w:rFonts w:hint="eastAsia" w:hAnsi="宋体"/>
                    </w:rPr>
                  </w:pPr>
                  <w:r>
                    <w:rPr>
                      <w:rFonts w:hint="eastAsia" w:hAnsi="宋体"/>
                    </w:rPr>
                    <w:t>排放标准来源及限值</w:t>
                  </w:r>
                </w:p>
              </w:tc>
              <w:tc>
                <w:tcPr>
                  <w:tcW w:w="1278" w:type="pct"/>
                  <w:tcBorders>
                    <w:top w:val="single" w:color="auto" w:sz="4" w:space="0"/>
                    <w:left w:val="single" w:color="auto" w:sz="4" w:space="0"/>
                    <w:bottom w:val="single" w:color="auto" w:sz="4" w:space="0"/>
                    <w:right w:val="single" w:color="auto" w:sz="4" w:space="0"/>
                  </w:tcBorders>
                  <w:vAlign w:val="center"/>
                </w:tcPr>
                <w:p w14:paraId="1208ACF1">
                  <w:pPr>
                    <w:pStyle w:val="87"/>
                    <w:rPr>
                      <w:rFonts w:hint="eastAsia" w:hAnsi="宋体"/>
                    </w:rPr>
                  </w:pPr>
                  <w:r>
                    <w:rPr>
                      <w:rFonts w:hint="eastAsia" w:hAnsi="宋体"/>
                    </w:rPr>
                    <w:t>监测技术方法及来源</w:t>
                  </w:r>
                </w:p>
              </w:tc>
              <w:tc>
                <w:tcPr>
                  <w:tcW w:w="6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1DF65FA">
                  <w:pPr>
                    <w:pStyle w:val="87"/>
                    <w:rPr>
                      <w:rFonts w:hint="eastAsia" w:hAnsi="宋体"/>
                    </w:rPr>
                  </w:pPr>
                  <w:r>
                    <w:rPr>
                      <w:rFonts w:hint="eastAsia" w:hAnsi="宋体"/>
                    </w:rPr>
                    <w:t>备注</w:t>
                  </w:r>
                </w:p>
              </w:tc>
            </w:tr>
            <w:tr w14:paraId="716E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6D6F00A">
                  <w:pPr>
                    <w:pStyle w:val="87"/>
                    <w:rPr>
                      <w:rFonts w:hint="eastAsia" w:hAnsi="宋体"/>
                    </w:rPr>
                  </w:pPr>
                  <w:r>
                    <w:rPr>
                      <w:rFonts w:hint="eastAsia" w:hAnsi="宋体"/>
                    </w:rPr>
                    <w:t>非甲烷总烃</w:t>
                  </w:r>
                </w:p>
              </w:tc>
              <w:tc>
                <w:tcPr>
                  <w:tcW w:w="8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EC36822">
                  <w:pPr>
                    <w:pStyle w:val="87"/>
                    <w:rPr>
                      <w:rFonts w:hint="eastAsia" w:hAnsi="宋体"/>
                    </w:rPr>
                  </w:pPr>
                  <w:r>
                    <w:rPr>
                      <w:rFonts w:hint="eastAsia" w:hAnsi="宋体"/>
                    </w:rPr>
                    <w:t>参考《大气污染物综合排放标准详解》（国家环境保护局科技标准司制定）P244</w:t>
                  </w:r>
                </w:p>
              </w:tc>
              <w:tc>
                <w:tcPr>
                  <w:tcW w:w="3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97E922E">
                  <w:pPr>
                    <w:pStyle w:val="87"/>
                    <w:rPr>
                      <w:rFonts w:hint="eastAsia" w:hAnsi="宋体"/>
                    </w:rPr>
                  </w:pPr>
                  <w:r>
                    <w:rPr>
                      <w:rFonts w:hint="eastAsia" w:hAnsi="宋体"/>
                    </w:rPr>
                    <w:t>2.0 mg/m</w:t>
                  </w:r>
                  <w:r>
                    <w:rPr>
                      <w:rFonts w:hint="eastAsia" w:hAnsi="宋体"/>
                      <w:vertAlign w:val="superscript"/>
                    </w:rPr>
                    <w:t>3</w:t>
                  </w:r>
                </w:p>
              </w:tc>
              <w:tc>
                <w:tcPr>
                  <w:tcW w:w="11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7BAC089">
                  <w:pPr>
                    <w:pStyle w:val="87"/>
                    <w:rPr>
                      <w:rFonts w:hint="eastAsia" w:hAnsi="宋体"/>
                    </w:rPr>
                  </w:pPr>
                  <w:r>
                    <w:rPr>
                      <w:rFonts w:hint="eastAsia" w:hAnsi="宋体"/>
                    </w:rPr>
                    <w:t>《陆上石油天然气开采工业大气污染物排放标准》（GB 39728-2020）</w:t>
                  </w:r>
                </w:p>
              </w:tc>
              <w:tc>
                <w:tcPr>
                  <w:tcW w:w="3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27908BB">
                  <w:pPr>
                    <w:pStyle w:val="87"/>
                    <w:rPr>
                      <w:rFonts w:hint="eastAsia" w:hAnsi="宋体"/>
                    </w:rPr>
                  </w:pPr>
                  <w:r>
                    <w:rPr>
                      <w:rFonts w:hAnsi="宋体"/>
                    </w:rPr>
                    <w:t>4</w:t>
                  </w:r>
                  <w:r>
                    <w:rPr>
                      <w:rFonts w:hint="eastAsia" w:hAnsi="宋体"/>
                    </w:rPr>
                    <w:t>.0 mg/m</w:t>
                  </w:r>
                  <w:r>
                    <w:rPr>
                      <w:rFonts w:hint="eastAsia" w:hAnsi="宋体"/>
                      <w:vertAlign w:val="superscript"/>
                    </w:rPr>
                    <w:t>3</w:t>
                  </w:r>
                </w:p>
              </w:tc>
              <w:tc>
                <w:tcPr>
                  <w:tcW w:w="1278" w:type="pct"/>
                  <w:tcBorders>
                    <w:top w:val="single" w:color="auto" w:sz="4" w:space="0"/>
                    <w:left w:val="single" w:color="auto" w:sz="4" w:space="0"/>
                    <w:bottom w:val="single" w:color="auto" w:sz="4" w:space="0"/>
                    <w:right w:val="single" w:color="auto" w:sz="4" w:space="0"/>
                  </w:tcBorders>
                  <w:vAlign w:val="center"/>
                </w:tcPr>
                <w:p w14:paraId="2850DA48">
                  <w:pPr>
                    <w:pStyle w:val="87"/>
                    <w:rPr>
                      <w:rFonts w:hint="eastAsia" w:hAnsi="宋体"/>
                    </w:rPr>
                  </w:pPr>
                  <w:r>
                    <w:rPr>
                      <w:rFonts w:hint="eastAsia" w:hAnsi="宋体"/>
                    </w:rPr>
                    <w:t>气相色谱法《环境空气 总烃、甲烷和非甲烷总烃的测定 直接进样-气相色谱法》（HJ 604-2017）</w:t>
                  </w:r>
                </w:p>
              </w:tc>
              <w:tc>
                <w:tcPr>
                  <w:tcW w:w="6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0D2C8CF">
                  <w:pPr>
                    <w:pStyle w:val="87"/>
                    <w:rPr>
                      <w:rFonts w:hint="eastAsia" w:hAnsi="宋体"/>
                    </w:rPr>
                  </w:pPr>
                  <w:r>
                    <w:rPr>
                      <w:rFonts w:hint="eastAsia" w:hAnsi="宋体"/>
                    </w:rPr>
                    <w:t>施工、事故状态下</w:t>
                  </w:r>
                </w:p>
              </w:tc>
            </w:tr>
            <w:tr w14:paraId="5399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7340855">
                  <w:pPr>
                    <w:pStyle w:val="87"/>
                    <w:rPr>
                      <w:rFonts w:hint="eastAsia" w:hAnsi="宋体"/>
                    </w:rPr>
                  </w:pPr>
                  <w:r>
                    <w:rPr>
                      <w:rFonts w:hint="eastAsia" w:hAnsi="宋体" w:cs="宋体"/>
                    </w:rPr>
                    <w:t>硫化氢</w:t>
                  </w:r>
                </w:p>
              </w:tc>
              <w:tc>
                <w:tcPr>
                  <w:tcW w:w="8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2307DF8">
                  <w:pPr>
                    <w:pStyle w:val="87"/>
                    <w:rPr>
                      <w:rFonts w:hint="eastAsia" w:hAnsi="宋体"/>
                    </w:rPr>
                  </w:pPr>
                  <w:r>
                    <w:rPr>
                      <w:rFonts w:hint="eastAsia" w:hAnsi="宋体" w:cs="宋体"/>
                    </w:rPr>
                    <w:t>《环境影响评价技术导则 大气环境》（HJ 2.2-2018）附录D</w:t>
                  </w:r>
                </w:p>
              </w:tc>
              <w:tc>
                <w:tcPr>
                  <w:tcW w:w="3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95D6BCE">
                  <w:pPr>
                    <w:pStyle w:val="87"/>
                    <w:rPr>
                      <w:rFonts w:hint="eastAsia" w:hAnsi="宋体"/>
                    </w:rPr>
                  </w:pPr>
                  <w:r>
                    <w:rPr>
                      <w:rFonts w:hint="eastAsia" w:hAnsi="宋体" w:cs="宋体"/>
                    </w:rPr>
                    <w:t>10μg/m</w:t>
                  </w:r>
                  <w:r>
                    <w:rPr>
                      <w:rFonts w:hint="eastAsia" w:hAnsi="宋体" w:cs="宋体"/>
                      <w:vertAlign w:val="superscript"/>
                    </w:rPr>
                    <w:t>3</w:t>
                  </w:r>
                </w:p>
              </w:tc>
              <w:tc>
                <w:tcPr>
                  <w:tcW w:w="11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FFDC070">
                  <w:pPr>
                    <w:pStyle w:val="87"/>
                    <w:rPr>
                      <w:rFonts w:hint="eastAsia" w:hAnsi="宋体"/>
                    </w:rPr>
                  </w:pPr>
                  <w:r>
                    <w:rPr>
                      <w:rFonts w:hint="eastAsia" w:hAnsi="宋体" w:cs="宋体"/>
                    </w:rPr>
                    <w:t>《恶臭污染物排放标准》（GB 14554-1993）厂界标准值要求</w:t>
                  </w:r>
                </w:p>
              </w:tc>
              <w:tc>
                <w:tcPr>
                  <w:tcW w:w="3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4CC533E">
                  <w:pPr>
                    <w:pStyle w:val="87"/>
                    <w:rPr>
                      <w:rFonts w:hint="eastAsia" w:hAnsi="宋体"/>
                    </w:rPr>
                  </w:pPr>
                  <w:r>
                    <w:rPr>
                      <w:rFonts w:hint="eastAsia" w:hAnsi="宋体" w:cs="宋体"/>
                    </w:rPr>
                    <w:t>0.06 mg/m</w:t>
                  </w:r>
                  <w:r>
                    <w:rPr>
                      <w:rFonts w:hint="eastAsia" w:hAnsi="宋体" w:cs="宋体"/>
                      <w:vertAlign w:val="superscript"/>
                    </w:rPr>
                    <w:t>3</w:t>
                  </w:r>
                </w:p>
              </w:tc>
              <w:tc>
                <w:tcPr>
                  <w:tcW w:w="1278" w:type="pct"/>
                  <w:tcBorders>
                    <w:top w:val="single" w:color="auto" w:sz="4" w:space="0"/>
                    <w:left w:val="single" w:color="auto" w:sz="4" w:space="0"/>
                    <w:bottom w:val="single" w:color="auto" w:sz="4" w:space="0"/>
                    <w:right w:val="single" w:color="auto" w:sz="4" w:space="0"/>
                  </w:tcBorders>
                  <w:vAlign w:val="center"/>
                </w:tcPr>
                <w:p w14:paraId="7DA24118">
                  <w:pPr>
                    <w:pStyle w:val="87"/>
                    <w:rPr>
                      <w:rFonts w:hint="eastAsia" w:hAnsi="宋体"/>
                    </w:rPr>
                  </w:pPr>
                  <w:r>
                    <w:rPr>
                      <w:rFonts w:hint="eastAsia" w:hAnsi="宋体"/>
                    </w:rPr>
                    <w:t>《空气和废气监测分析方法》国家环境保护总局2003（第四版增补版）第三篇 第一章  十一（二）（B）亚甲基蓝分光光度法</w:t>
                  </w:r>
                </w:p>
              </w:tc>
              <w:tc>
                <w:tcPr>
                  <w:tcW w:w="6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4A8322C">
                  <w:pPr>
                    <w:pStyle w:val="87"/>
                    <w:rPr>
                      <w:rFonts w:hint="eastAsia" w:hAnsi="宋体"/>
                    </w:rPr>
                  </w:pPr>
                  <w:r>
                    <w:rPr>
                      <w:rFonts w:hint="eastAsia" w:hAnsi="宋体" w:cs="宋体"/>
                    </w:rPr>
                    <w:t>施工、事故状态下</w:t>
                  </w:r>
                </w:p>
              </w:tc>
            </w:tr>
            <w:tr w14:paraId="4D24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B0C5082">
                  <w:pPr>
                    <w:pStyle w:val="87"/>
                    <w:rPr>
                      <w:rFonts w:hint="eastAsia" w:hAnsi="宋体"/>
                    </w:rPr>
                  </w:pPr>
                  <w:r>
                    <w:rPr>
                      <w:rFonts w:hint="eastAsia" w:hAnsi="宋体"/>
                    </w:rPr>
                    <w:t>石油烃（C</w:t>
                  </w:r>
                  <w:r>
                    <w:rPr>
                      <w:rFonts w:hint="eastAsia" w:hAnsi="宋体"/>
                      <w:vertAlign w:val="subscript"/>
                    </w:rPr>
                    <w:t>10</w:t>
                  </w:r>
                  <w:r>
                    <w:rPr>
                      <w:rFonts w:hint="eastAsia" w:hAnsi="宋体"/>
                    </w:rPr>
                    <w:t>-C</w:t>
                  </w:r>
                  <w:r>
                    <w:rPr>
                      <w:rFonts w:hint="eastAsia" w:hAnsi="宋体"/>
                      <w:vertAlign w:val="subscript"/>
                    </w:rPr>
                    <w:t>40</w:t>
                  </w:r>
                  <w:r>
                    <w:rPr>
                      <w:rFonts w:hint="eastAsia" w:hAnsi="宋体"/>
                    </w:rPr>
                    <w:t>）</w:t>
                  </w:r>
                </w:p>
              </w:tc>
              <w:tc>
                <w:tcPr>
                  <w:tcW w:w="8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27968F7">
                  <w:pPr>
                    <w:pStyle w:val="87"/>
                    <w:rPr>
                      <w:rFonts w:hint="eastAsia" w:hAnsi="宋体"/>
                    </w:rPr>
                  </w:pPr>
                  <w:r>
                    <w:rPr>
                      <w:rFonts w:hint="eastAsia" w:hAnsi="宋体"/>
                    </w:rPr>
                    <w:t>《土壤环境质量 建设用地土壤污染风险管控标准（试行）》（GB 36600-2018）</w:t>
                  </w:r>
                </w:p>
              </w:tc>
              <w:tc>
                <w:tcPr>
                  <w:tcW w:w="3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6BC881F">
                  <w:pPr>
                    <w:pStyle w:val="87"/>
                    <w:rPr>
                      <w:rFonts w:hint="eastAsia" w:hAnsi="宋体"/>
                    </w:rPr>
                  </w:pPr>
                  <w:r>
                    <w:rPr>
                      <w:rFonts w:hint="eastAsia" w:hAnsi="宋体"/>
                    </w:rPr>
                    <w:t>4500 mg/kg</w:t>
                  </w:r>
                </w:p>
              </w:tc>
              <w:tc>
                <w:tcPr>
                  <w:tcW w:w="11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9BEF689">
                  <w:pPr>
                    <w:pStyle w:val="87"/>
                    <w:rPr>
                      <w:rFonts w:hint="eastAsia" w:hAnsi="宋体"/>
                    </w:rPr>
                  </w:pPr>
                  <w:r>
                    <w:rPr>
                      <w:rFonts w:hint="eastAsia" w:hAnsi="宋体"/>
                    </w:rPr>
                    <w:t>/</w:t>
                  </w:r>
                </w:p>
              </w:tc>
              <w:tc>
                <w:tcPr>
                  <w:tcW w:w="3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E04C78C">
                  <w:pPr>
                    <w:pStyle w:val="87"/>
                    <w:rPr>
                      <w:rFonts w:hint="eastAsia" w:hAnsi="宋体"/>
                    </w:rPr>
                  </w:pPr>
                  <w:r>
                    <w:rPr>
                      <w:rFonts w:hint="eastAsia" w:hAnsi="宋体"/>
                    </w:rPr>
                    <w:t>/</w:t>
                  </w:r>
                </w:p>
              </w:tc>
              <w:tc>
                <w:tcPr>
                  <w:tcW w:w="1278" w:type="pct"/>
                  <w:tcBorders>
                    <w:top w:val="single" w:color="auto" w:sz="4" w:space="0"/>
                    <w:left w:val="single" w:color="auto" w:sz="4" w:space="0"/>
                    <w:bottom w:val="single" w:color="auto" w:sz="4" w:space="0"/>
                    <w:right w:val="single" w:color="auto" w:sz="4" w:space="0"/>
                  </w:tcBorders>
                  <w:vAlign w:val="center"/>
                </w:tcPr>
                <w:p w14:paraId="486847A3">
                  <w:pPr>
                    <w:pStyle w:val="87"/>
                    <w:rPr>
                      <w:rFonts w:hint="eastAsia" w:hAnsi="宋体"/>
                    </w:rPr>
                  </w:pPr>
                  <w:r>
                    <w:rPr>
                      <w:rFonts w:hint="eastAsia" w:hAnsi="宋体"/>
                    </w:rPr>
                    <w:t>气相色谱法《土壤和沉积物 石油烃（C</w:t>
                  </w:r>
                  <w:r>
                    <w:rPr>
                      <w:rFonts w:hint="eastAsia" w:hAnsi="宋体"/>
                      <w:vertAlign w:val="subscript"/>
                    </w:rPr>
                    <w:t>10</w:t>
                  </w:r>
                  <w:r>
                    <w:rPr>
                      <w:rFonts w:hint="eastAsia" w:hAnsi="宋体"/>
                    </w:rPr>
                    <w:t>-C</w:t>
                  </w:r>
                  <w:r>
                    <w:rPr>
                      <w:rFonts w:hint="eastAsia" w:hAnsi="宋体"/>
                      <w:vertAlign w:val="subscript"/>
                    </w:rPr>
                    <w:t>40</w:t>
                  </w:r>
                  <w:r>
                    <w:rPr>
                      <w:rFonts w:hint="eastAsia" w:hAnsi="宋体"/>
                    </w:rPr>
                    <w:t>）的测定 气相色谱法》（HJ 1021-2019）</w:t>
                  </w:r>
                </w:p>
              </w:tc>
              <w:tc>
                <w:tcPr>
                  <w:tcW w:w="6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39102C4">
                  <w:pPr>
                    <w:pStyle w:val="87"/>
                    <w:rPr>
                      <w:rFonts w:hint="eastAsia" w:hAnsi="宋体"/>
                    </w:rPr>
                  </w:pPr>
                  <w:r>
                    <w:rPr>
                      <w:rFonts w:hint="eastAsia" w:hAnsi="宋体"/>
                    </w:rPr>
                    <w:t>事故状态下</w:t>
                  </w:r>
                </w:p>
              </w:tc>
            </w:tr>
            <w:tr w14:paraId="4A9F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B65AE2B">
                  <w:pPr>
                    <w:pStyle w:val="87"/>
                    <w:rPr>
                      <w:rFonts w:hint="eastAsia" w:hAnsi="宋体"/>
                    </w:rPr>
                  </w:pPr>
                  <w:r>
                    <w:rPr>
                      <w:rFonts w:hint="eastAsia" w:hAnsi="宋体"/>
                    </w:rPr>
                    <w:t>石油类</w:t>
                  </w:r>
                </w:p>
              </w:tc>
              <w:tc>
                <w:tcPr>
                  <w:tcW w:w="87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6D79C83">
                  <w:pPr>
                    <w:pStyle w:val="87"/>
                    <w:rPr>
                      <w:rFonts w:hint="eastAsia" w:hAnsi="宋体"/>
                    </w:rPr>
                  </w:pPr>
                  <w:r>
                    <w:rPr>
                      <w:rFonts w:hint="eastAsia" w:hAnsi="宋体"/>
                    </w:rPr>
                    <w:t>参照执行《地表水环境质量标准》（GB 3838-2002）</w:t>
                  </w:r>
                </w:p>
              </w:tc>
              <w:tc>
                <w:tcPr>
                  <w:tcW w:w="3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89C0EDB">
                  <w:pPr>
                    <w:pStyle w:val="87"/>
                    <w:rPr>
                      <w:rFonts w:hint="eastAsia" w:hAnsi="宋体"/>
                    </w:rPr>
                  </w:pPr>
                  <w:r>
                    <w:rPr>
                      <w:rFonts w:hint="eastAsia" w:hAnsi="宋体"/>
                    </w:rPr>
                    <w:t>0.05 mg/L</w:t>
                  </w:r>
                </w:p>
              </w:tc>
              <w:tc>
                <w:tcPr>
                  <w:tcW w:w="112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5F2A30D">
                  <w:pPr>
                    <w:pStyle w:val="87"/>
                    <w:rPr>
                      <w:rFonts w:hint="eastAsia" w:hAnsi="宋体"/>
                    </w:rPr>
                  </w:pPr>
                  <w:r>
                    <w:rPr>
                      <w:rFonts w:hint="eastAsia" w:hAnsi="宋体"/>
                    </w:rPr>
                    <w:t>/</w:t>
                  </w:r>
                </w:p>
              </w:tc>
              <w:tc>
                <w:tcPr>
                  <w:tcW w:w="3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8660C1B">
                  <w:pPr>
                    <w:pStyle w:val="87"/>
                    <w:rPr>
                      <w:rFonts w:hint="eastAsia" w:hAnsi="宋体"/>
                    </w:rPr>
                  </w:pPr>
                  <w:r>
                    <w:rPr>
                      <w:rFonts w:hint="eastAsia" w:hAnsi="宋体"/>
                    </w:rPr>
                    <w:t>/</w:t>
                  </w:r>
                </w:p>
              </w:tc>
              <w:tc>
                <w:tcPr>
                  <w:tcW w:w="1278" w:type="pct"/>
                  <w:tcBorders>
                    <w:top w:val="single" w:color="auto" w:sz="4" w:space="0"/>
                    <w:left w:val="single" w:color="auto" w:sz="4" w:space="0"/>
                    <w:bottom w:val="single" w:color="auto" w:sz="4" w:space="0"/>
                    <w:right w:val="single" w:color="auto" w:sz="4" w:space="0"/>
                  </w:tcBorders>
                  <w:vAlign w:val="center"/>
                </w:tcPr>
                <w:p w14:paraId="3DEB2E3E">
                  <w:pPr>
                    <w:pStyle w:val="87"/>
                    <w:rPr>
                      <w:rFonts w:hint="eastAsia" w:hAnsi="宋体"/>
                    </w:rPr>
                  </w:pPr>
                  <w:r>
                    <w:rPr>
                      <w:rFonts w:hint="eastAsia" w:hAnsi="宋体"/>
                    </w:rPr>
                    <w:t>紫外分光光度法《水质 石油类的测定 紫外分光光度法（试行）》（HJ 970-2018）</w:t>
                  </w:r>
                </w:p>
              </w:tc>
              <w:tc>
                <w:tcPr>
                  <w:tcW w:w="6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259D07A">
                  <w:pPr>
                    <w:pStyle w:val="87"/>
                    <w:rPr>
                      <w:rFonts w:hint="eastAsia" w:hAnsi="宋体"/>
                    </w:rPr>
                  </w:pPr>
                  <w:r>
                    <w:rPr>
                      <w:rFonts w:hint="eastAsia" w:hAnsi="宋体"/>
                    </w:rPr>
                    <w:t>事故状态下</w:t>
                  </w:r>
                </w:p>
              </w:tc>
            </w:tr>
          </w:tbl>
          <w:p w14:paraId="6EF9A49B">
            <w:pPr>
              <w:pStyle w:val="113"/>
              <w:rPr>
                <w:rFonts w:hint="eastAsia"/>
                <w:szCs w:val="21"/>
              </w:rPr>
            </w:pPr>
          </w:p>
          <w:p w14:paraId="7A2CC032">
            <w:pPr>
              <w:adjustRightInd w:val="0"/>
              <w:snapToGrid w:val="0"/>
              <w:rPr>
                <w:rFonts w:hint="eastAsia" w:ascii="宋体" w:hAnsi="宋体" w:cs="宋体"/>
                <w:bCs/>
                <w:spacing w:val="10"/>
                <w:szCs w:val="21"/>
              </w:rPr>
            </w:pPr>
          </w:p>
        </w:tc>
      </w:tr>
      <w:tr w14:paraId="3C255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tcMar>
              <w:left w:w="28" w:type="dxa"/>
              <w:right w:w="28" w:type="dxa"/>
            </w:tcMar>
            <w:vAlign w:val="center"/>
          </w:tcPr>
          <w:p w14:paraId="33AD67B0">
            <w:pPr>
              <w:adjustRightInd w:val="0"/>
              <w:snapToGrid w:val="0"/>
              <w:jc w:val="center"/>
              <w:rPr>
                <w:rFonts w:hint="eastAsia" w:ascii="宋体" w:hAnsi="宋体" w:cs="宋体"/>
                <w:bCs/>
                <w:spacing w:val="10"/>
                <w:szCs w:val="21"/>
              </w:rPr>
            </w:pPr>
            <w:r>
              <w:rPr>
                <w:rFonts w:hint="eastAsia" w:ascii="宋体" w:hAnsi="宋体" w:cs="宋体"/>
                <w:bCs/>
                <w:spacing w:val="10"/>
                <w:szCs w:val="21"/>
              </w:rPr>
              <w:t>运营期生态环境保护措施</w:t>
            </w:r>
          </w:p>
        </w:tc>
        <w:tc>
          <w:tcPr>
            <w:tcW w:w="4604" w:type="pct"/>
            <w:vAlign w:val="center"/>
          </w:tcPr>
          <w:p w14:paraId="1E6FA54E">
            <w:pPr>
              <w:pStyle w:val="113"/>
              <w:rPr>
                <w:rFonts w:hint="eastAsia"/>
                <w:bCs/>
                <w:spacing w:val="10"/>
              </w:rPr>
            </w:pPr>
            <w:r>
              <w:rPr>
                <w:rFonts w:hint="eastAsia"/>
                <w:snapToGrid w:val="0"/>
              </w:rPr>
              <w:t>由于本项目部署</w:t>
            </w:r>
            <w:r>
              <w:rPr>
                <w:snapToGrid w:val="0"/>
              </w:rPr>
              <w:t>1</w:t>
            </w:r>
            <w:r>
              <w:rPr>
                <w:rFonts w:hint="eastAsia"/>
                <w:snapToGrid w:val="0"/>
              </w:rPr>
              <w:t>口勘探井，不涉及油气生产开采等工艺，本次探井若转为生产井，则须重新进行环境影响评价，对其环境影响进行分析预测，并提出相应的保护措施，因此本报告不对其运营期环境影响进行评价。</w:t>
            </w:r>
          </w:p>
        </w:tc>
      </w:tr>
      <w:tr w14:paraId="1DC13A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tcMar>
              <w:left w:w="28" w:type="dxa"/>
              <w:right w:w="28" w:type="dxa"/>
            </w:tcMar>
            <w:vAlign w:val="center"/>
          </w:tcPr>
          <w:p w14:paraId="427EE9F6">
            <w:pPr>
              <w:adjustRightInd w:val="0"/>
              <w:snapToGrid w:val="0"/>
              <w:jc w:val="center"/>
              <w:rPr>
                <w:rFonts w:hint="eastAsia" w:ascii="宋体" w:hAnsi="宋体" w:cs="宋体"/>
                <w:bCs/>
                <w:spacing w:val="10"/>
                <w:szCs w:val="21"/>
              </w:rPr>
            </w:pPr>
            <w:r>
              <w:rPr>
                <w:rFonts w:hint="eastAsia" w:ascii="宋体" w:hAnsi="宋体" w:cs="宋体"/>
                <w:bCs/>
                <w:spacing w:val="10"/>
                <w:szCs w:val="21"/>
              </w:rPr>
              <w:t>其他</w:t>
            </w:r>
          </w:p>
        </w:tc>
        <w:tc>
          <w:tcPr>
            <w:tcW w:w="4604" w:type="pct"/>
            <w:vAlign w:val="center"/>
          </w:tcPr>
          <w:p w14:paraId="19E2681F">
            <w:pPr>
              <w:pStyle w:val="113"/>
              <w:rPr>
                <w:rFonts w:hint="eastAsia"/>
                <w:snapToGrid w:val="0"/>
              </w:rPr>
            </w:pPr>
            <w:r>
              <w:rPr>
                <w:rFonts w:hint="eastAsia"/>
                <w:snapToGrid w:val="0"/>
              </w:rPr>
              <w:t>无</w:t>
            </w:r>
          </w:p>
        </w:tc>
      </w:tr>
      <w:tr w14:paraId="664D9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2" w:hRule="atLeast"/>
          <w:jc w:val="center"/>
        </w:trPr>
        <w:tc>
          <w:tcPr>
            <w:tcW w:w="396" w:type="pct"/>
            <w:vAlign w:val="center"/>
          </w:tcPr>
          <w:p w14:paraId="08CA5974">
            <w:pPr>
              <w:adjustRightInd w:val="0"/>
              <w:snapToGrid w:val="0"/>
              <w:jc w:val="center"/>
              <w:rPr>
                <w:rFonts w:hint="eastAsia" w:ascii="宋体" w:hAnsi="宋体" w:cs="宋体"/>
                <w:bCs/>
                <w:spacing w:val="10"/>
                <w:szCs w:val="21"/>
              </w:rPr>
            </w:pPr>
            <w:r>
              <w:rPr>
                <w:rFonts w:hint="eastAsia" w:ascii="宋体" w:hAnsi="宋体"/>
                <w:bCs/>
                <w:szCs w:val="21"/>
              </w:rPr>
              <w:t>环保投资</w:t>
            </w:r>
          </w:p>
        </w:tc>
        <w:tc>
          <w:tcPr>
            <w:tcW w:w="4604" w:type="pct"/>
          </w:tcPr>
          <w:p w14:paraId="55D67AA6">
            <w:pPr>
              <w:pStyle w:val="113"/>
              <w:rPr>
                <w:rFonts w:hint="eastAsia"/>
              </w:rPr>
            </w:pPr>
            <w:r>
              <w:rPr>
                <w:rFonts w:hint="eastAsia"/>
              </w:rPr>
              <w:t>本项目总投资为</w:t>
            </w:r>
            <w:r>
              <w:rPr>
                <w:rFonts w:hint="eastAsia"/>
                <w:szCs w:val="21"/>
              </w:rPr>
              <w:t>4720.0</w:t>
            </w:r>
            <w:r>
              <w:rPr>
                <w:rFonts w:hint="eastAsia"/>
              </w:rPr>
              <w:t>万元，其中</w:t>
            </w:r>
            <w:r>
              <w:t>环保投资1</w:t>
            </w:r>
            <w:r>
              <w:rPr>
                <w:rFonts w:hint="eastAsia"/>
              </w:rPr>
              <w:t>57</w:t>
            </w:r>
            <w:r>
              <w:t>万</w:t>
            </w:r>
            <w:r>
              <w:rPr>
                <w:rFonts w:hint="eastAsia"/>
              </w:rPr>
              <w:t>元</w:t>
            </w:r>
            <w:r>
              <w:t>，占总投资的</w:t>
            </w:r>
            <w:r>
              <w:rPr>
                <w:rFonts w:hint="eastAsia"/>
              </w:rPr>
              <w:t>3.32</w:t>
            </w:r>
            <w:r>
              <w:t>%</w:t>
            </w:r>
            <w:r>
              <w:rPr>
                <w:rFonts w:hint="eastAsia"/>
              </w:rPr>
              <w:t>，环保工程清单及投资见</w:t>
            </w:r>
            <w:r>
              <w:fldChar w:fldCharType="begin"/>
            </w:r>
            <w:r>
              <w:instrText xml:space="preserve"> REF _Ref138691759 \h  \* MERGEFORMAT </w:instrText>
            </w:r>
            <w:r>
              <w:fldChar w:fldCharType="separate"/>
            </w:r>
            <w:r>
              <w:rPr>
                <w:rFonts w:hint="eastAsia"/>
              </w:rPr>
              <w:t>表51</w:t>
            </w:r>
            <w:r>
              <w:fldChar w:fldCharType="end"/>
            </w:r>
            <w:r>
              <w:rPr>
                <w:rFonts w:hint="eastAsia"/>
              </w:rPr>
              <w:t>。</w:t>
            </w:r>
          </w:p>
          <w:p w14:paraId="202C2566">
            <w:pPr>
              <w:pStyle w:val="12"/>
              <w:spacing w:before="120"/>
              <w:rPr>
                <w:rFonts w:hint="eastAsia" w:hAnsi="宋体"/>
              </w:rPr>
            </w:pPr>
            <w:bookmarkStart w:id="82" w:name="_Ref138691759"/>
            <w:r>
              <w:rPr>
                <w:rFonts w:hint="eastAsia" w:hAnsi="宋体"/>
              </w:rPr>
              <w:t>表</w:t>
            </w:r>
            <w:r>
              <w:rPr>
                <w:rFonts w:hAnsi="宋体"/>
              </w:rPr>
              <w:fldChar w:fldCharType="begin"/>
            </w:r>
            <w:r>
              <w:rPr>
                <w:rFonts w:hAnsi="宋体"/>
              </w:rPr>
              <w:instrText xml:space="preserve"> </w:instrText>
            </w:r>
            <w:r>
              <w:rPr>
                <w:rFonts w:hint="eastAsia" w:hAnsi="宋体"/>
              </w:rPr>
              <w:instrText xml:space="preserve">SEQ 表 \* ARABIC</w:instrText>
            </w:r>
            <w:r>
              <w:rPr>
                <w:rFonts w:hAnsi="宋体"/>
              </w:rPr>
              <w:instrText xml:space="preserve"> </w:instrText>
            </w:r>
            <w:r>
              <w:rPr>
                <w:rFonts w:hAnsi="宋体"/>
              </w:rPr>
              <w:fldChar w:fldCharType="separate"/>
            </w:r>
            <w:r>
              <w:rPr>
                <w:rFonts w:hint="eastAsia" w:hAnsi="宋体"/>
              </w:rPr>
              <w:t>51</w:t>
            </w:r>
            <w:r>
              <w:rPr>
                <w:rFonts w:hAnsi="宋体"/>
              </w:rPr>
              <w:fldChar w:fldCharType="end"/>
            </w:r>
            <w:bookmarkEnd w:id="82"/>
            <w:r>
              <w:rPr>
                <w:rFonts w:hAnsi="宋体"/>
              </w:rPr>
              <w:t xml:space="preserve">  </w:t>
            </w:r>
            <w:r>
              <w:rPr>
                <w:rFonts w:hint="eastAsia" w:hAnsi="宋体"/>
                <w:bCs/>
                <w:szCs w:val="21"/>
              </w:rPr>
              <w:t>环保工程清单及投资估算</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737"/>
              <w:gridCol w:w="3203"/>
              <w:gridCol w:w="1521"/>
            </w:tblGrid>
            <w:tr w14:paraId="6608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3" w:type="pct"/>
                  <w:gridSpan w:val="2"/>
                  <w:vAlign w:val="center"/>
                </w:tcPr>
                <w:p w14:paraId="58A36D87">
                  <w:pPr>
                    <w:pStyle w:val="87"/>
                    <w:rPr>
                      <w:rFonts w:hint="eastAsia" w:hAnsi="宋体"/>
                    </w:rPr>
                  </w:pPr>
                  <w:r>
                    <w:rPr>
                      <w:rFonts w:hint="eastAsia" w:hAnsi="宋体"/>
                    </w:rPr>
                    <w:t>项目</w:t>
                  </w:r>
                </w:p>
              </w:tc>
              <w:tc>
                <w:tcPr>
                  <w:tcW w:w="2120" w:type="pct"/>
                  <w:vAlign w:val="center"/>
                </w:tcPr>
                <w:p w14:paraId="10ADCC15">
                  <w:pPr>
                    <w:pStyle w:val="87"/>
                    <w:rPr>
                      <w:rFonts w:hint="eastAsia" w:hAnsi="宋体"/>
                    </w:rPr>
                  </w:pPr>
                  <w:r>
                    <w:rPr>
                      <w:rFonts w:hAnsi="宋体"/>
                    </w:rPr>
                    <w:t>作用</w:t>
                  </w:r>
                </w:p>
              </w:tc>
              <w:tc>
                <w:tcPr>
                  <w:tcW w:w="1007" w:type="pct"/>
                  <w:vAlign w:val="center"/>
                </w:tcPr>
                <w:p w14:paraId="767AF4A7">
                  <w:pPr>
                    <w:pStyle w:val="87"/>
                    <w:rPr>
                      <w:rFonts w:hint="eastAsia" w:hAnsi="宋体"/>
                    </w:rPr>
                  </w:pPr>
                  <w:r>
                    <w:rPr>
                      <w:rFonts w:hAnsi="宋体"/>
                    </w:rPr>
                    <w:t>投资估算（万元）</w:t>
                  </w:r>
                </w:p>
              </w:tc>
            </w:tr>
            <w:tr w14:paraId="7A15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Align w:val="center"/>
                </w:tcPr>
                <w:p w14:paraId="73D272BA">
                  <w:pPr>
                    <w:pStyle w:val="87"/>
                    <w:rPr>
                      <w:rFonts w:hint="eastAsia" w:hAnsi="宋体"/>
                    </w:rPr>
                  </w:pPr>
                  <w:r>
                    <w:rPr>
                      <w:rFonts w:hint="eastAsia" w:hAnsi="宋体"/>
                    </w:rPr>
                    <w:t>废气处理设施</w:t>
                  </w:r>
                </w:p>
              </w:tc>
              <w:tc>
                <w:tcPr>
                  <w:tcW w:w="1150" w:type="pct"/>
                  <w:vAlign w:val="center"/>
                </w:tcPr>
                <w:p w14:paraId="6B883BE9">
                  <w:pPr>
                    <w:pStyle w:val="87"/>
                    <w:rPr>
                      <w:rFonts w:hint="eastAsia" w:hAnsi="宋体"/>
                    </w:rPr>
                  </w:pPr>
                  <w:r>
                    <w:rPr>
                      <w:rFonts w:hint="eastAsia" w:hAnsi="宋体"/>
                    </w:rPr>
                    <w:t>围挡、遮盖措施</w:t>
                  </w:r>
                </w:p>
              </w:tc>
              <w:tc>
                <w:tcPr>
                  <w:tcW w:w="2120" w:type="pct"/>
                  <w:vAlign w:val="center"/>
                </w:tcPr>
                <w:p w14:paraId="646F3AAD">
                  <w:pPr>
                    <w:pStyle w:val="87"/>
                    <w:rPr>
                      <w:rFonts w:hint="eastAsia" w:hAnsi="宋体"/>
                    </w:rPr>
                  </w:pPr>
                  <w:r>
                    <w:rPr>
                      <w:rFonts w:hint="eastAsia" w:hAnsi="宋体"/>
                      <w:snapToGrid w:val="0"/>
                    </w:rPr>
                    <w:t>采取洒水、围挡、遮盖措施</w:t>
                  </w:r>
                </w:p>
              </w:tc>
              <w:tc>
                <w:tcPr>
                  <w:tcW w:w="1522" w:type="dxa"/>
                  <w:vAlign w:val="center"/>
                </w:tcPr>
                <w:p w14:paraId="1A2AE162">
                  <w:pPr>
                    <w:widowControl/>
                    <w:jc w:val="center"/>
                    <w:textAlignment w:val="center"/>
                    <w:rPr>
                      <w:rFonts w:hint="eastAsia" w:hAnsi="宋体"/>
                    </w:rPr>
                  </w:pPr>
                  <w:r>
                    <w:rPr>
                      <w:rFonts w:hint="eastAsia" w:ascii="宋体" w:hAnsi="宋体" w:cs="宋体"/>
                      <w:kern w:val="0"/>
                      <w:szCs w:val="21"/>
                      <w:lang w:bidi="ar"/>
                    </w:rPr>
                    <w:t>2</w:t>
                  </w:r>
                </w:p>
              </w:tc>
            </w:tr>
            <w:tr w14:paraId="4A0D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restart"/>
                  <w:vAlign w:val="center"/>
                </w:tcPr>
                <w:p w14:paraId="16AA9A62">
                  <w:pPr>
                    <w:pStyle w:val="87"/>
                    <w:rPr>
                      <w:rFonts w:hint="eastAsia" w:hAnsi="宋体"/>
                    </w:rPr>
                  </w:pPr>
                  <w:r>
                    <w:rPr>
                      <w:rFonts w:hAnsi="宋体"/>
                    </w:rPr>
                    <w:t>废水处理</w:t>
                  </w:r>
                </w:p>
                <w:p w14:paraId="29F14EA3">
                  <w:pPr>
                    <w:pStyle w:val="87"/>
                    <w:rPr>
                      <w:rFonts w:hint="eastAsia" w:hAnsi="宋体"/>
                    </w:rPr>
                  </w:pPr>
                  <w:r>
                    <w:rPr>
                      <w:rFonts w:hAnsi="宋体"/>
                    </w:rPr>
                    <w:t>设施</w:t>
                  </w:r>
                </w:p>
              </w:tc>
              <w:tc>
                <w:tcPr>
                  <w:tcW w:w="1150" w:type="pct"/>
                  <w:vAlign w:val="center"/>
                </w:tcPr>
                <w:p w14:paraId="29627D10">
                  <w:pPr>
                    <w:pStyle w:val="87"/>
                    <w:rPr>
                      <w:rFonts w:hint="eastAsia" w:hAnsi="宋体"/>
                    </w:rPr>
                  </w:pPr>
                  <w:r>
                    <w:rPr>
                      <w:rFonts w:hAnsi="宋体"/>
                    </w:rPr>
                    <w:t>生活污水处理</w:t>
                  </w:r>
                </w:p>
              </w:tc>
              <w:tc>
                <w:tcPr>
                  <w:tcW w:w="2120" w:type="pct"/>
                  <w:vAlign w:val="center"/>
                </w:tcPr>
                <w:p w14:paraId="42648AFB">
                  <w:pPr>
                    <w:pStyle w:val="87"/>
                    <w:rPr>
                      <w:rFonts w:hint="eastAsia" w:hAnsi="宋体"/>
                    </w:rPr>
                  </w:pPr>
                  <w:r>
                    <w:rPr>
                      <w:rFonts w:hint="eastAsia" w:hAnsi="宋体"/>
                    </w:rPr>
                    <w:t>环保厕所及清运费用</w:t>
                  </w:r>
                </w:p>
              </w:tc>
              <w:tc>
                <w:tcPr>
                  <w:tcW w:w="1522" w:type="dxa"/>
                  <w:vAlign w:val="center"/>
                </w:tcPr>
                <w:p w14:paraId="2634938E">
                  <w:pPr>
                    <w:widowControl/>
                    <w:jc w:val="center"/>
                    <w:textAlignment w:val="center"/>
                    <w:rPr>
                      <w:rFonts w:hint="eastAsia" w:hAnsi="宋体"/>
                    </w:rPr>
                  </w:pPr>
                  <w:r>
                    <w:rPr>
                      <w:rFonts w:hint="eastAsia" w:ascii="宋体" w:hAnsi="宋体" w:cs="宋体"/>
                      <w:kern w:val="0"/>
                      <w:szCs w:val="21"/>
                      <w:lang w:bidi="ar"/>
                    </w:rPr>
                    <w:t>2</w:t>
                  </w:r>
                </w:p>
              </w:tc>
            </w:tr>
            <w:tr w14:paraId="5437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continue"/>
                  <w:vAlign w:val="center"/>
                </w:tcPr>
                <w:p w14:paraId="017FEE92">
                  <w:pPr>
                    <w:pStyle w:val="87"/>
                    <w:rPr>
                      <w:rFonts w:hint="eastAsia" w:hAnsi="宋体"/>
                    </w:rPr>
                  </w:pPr>
                </w:p>
              </w:tc>
              <w:tc>
                <w:tcPr>
                  <w:tcW w:w="1150" w:type="pct"/>
                  <w:vAlign w:val="center"/>
                </w:tcPr>
                <w:p w14:paraId="23F009EB">
                  <w:pPr>
                    <w:pStyle w:val="87"/>
                    <w:rPr>
                      <w:rFonts w:hint="eastAsia" w:hAnsi="宋体"/>
                    </w:rPr>
                  </w:pPr>
                  <w:r>
                    <w:rPr>
                      <w:rFonts w:hint="eastAsia" w:hAnsi="宋体"/>
                    </w:rPr>
                    <w:t>钻井期钻井废水</w:t>
                  </w:r>
                </w:p>
              </w:tc>
              <w:tc>
                <w:tcPr>
                  <w:tcW w:w="2120" w:type="pct"/>
                  <w:vAlign w:val="center"/>
                </w:tcPr>
                <w:p w14:paraId="4AB93CA9">
                  <w:pPr>
                    <w:pStyle w:val="87"/>
                    <w:rPr>
                      <w:rFonts w:hint="eastAsia" w:hAnsi="宋体"/>
                    </w:rPr>
                  </w:pPr>
                  <w:r>
                    <w:rPr>
                      <w:rFonts w:hint="eastAsia" w:hAnsi="宋体"/>
                    </w:rPr>
                    <w:t>拉运及处置费用</w:t>
                  </w:r>
                </w:p>
              </w:tc>
              <w:tc>
                <w:tcPr>
                  <w:tcW w:w="1522" w:type="dxa"/>
                  <w:vAlign w:val="center"/>
                </w:tcPr>
                <w:p w14:paraId="3F58FEE4">
                  <w:pPr>
                    <w:widowControl/>
                    <w:jc w:val="center"/>
                    <w:textAlignment w:val="center"/>
                    <w:rPr>
                      <w:rFonts w:hint="eastAsia" w:hAnsi="宋体"/>
                    </w:rPr>
                  </w:pPr>
                  <w:r>
                    <w:rPr>
                      <w:rFonts w:hint="eastAsia" w:ascii="宋体" w:hAnsi="宋体" w:cs="宋体"/>
                      <w:kern w:val="0"/>
                      <w:szCs w:val="21"/>
                      <w:lang w:bidi="ar"/>
                    </w:rPr>
                    <w:t>20</w:t>
                  </w:r>
                </w:p>
              </w:tc>
            </w:tr>
            <w:tr w14:paraId="6301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continue"/>
                  <w:vAlign w:val="center"/>
                </w:tcPr>
                <w:p w14:paraId="683B33A9">
                  <w:pPr>
                    <w:pStyle w:val="87"/>
                    <w:rPr>
                      <w:rFonts w:hint="eastAsia" w:hAnsi="宋体"/>
                    </w:rPr>
                  </w:pPr>
                </w:p>
              </w:tc>
              <w:tc>
                <w:tcPr>
                  <w:tcW w:w="1150" w:type="pct"/>
                  <w:vAlign w:val="center"/>
                </w:tcPr>
                <w:p w14:paraId="4239D607">
                  <w:pPr>
                    <w:pStyle w:val="87"/>
                    <w:rPr>
                      <w:rFonts w:hint="eastAsia" w:hAnsi="宋体"/>
                    </w:rPr>
                  </w:pPr>
                  <w:r>
                    <w:rPr>
                      <w:rFonts w:hint="eastAsia" w:hAnsi="宋体"/>
                    </w:rPr>
                    <w:t>井下作业废液、压裂返排液</w:t>
                  </w:r>
                </w:p>
              </w:tc>
              <w:tc>
                <w:tcPr>
                  <w:tcW w:w="2120" w:type="pct"/>
                  <w:vAlign w:val="center"/>
                </w:tcPr>
                <w:p w14:paraId="3FD49925">
                  <w:pPr>
                    <w:pStyle w:val="87"/>
                    <w:rPr>
                      <w:rFonts w:hint="eastAsia" w:hAnsi="宋体"/>
                    </w:rPr>
                  </w:pPr>
                  <w:r>
                    <w:rPr>
                      <w:rFonts w:hint="eastAsia" w:hAnsi="宋体"/>
                    </w:rPr>
                    <w:t>清运、拉运费用</w:t>
                  </w:r>
                </w:p>
              </w:tc>
              <w:tc>
                <w:tcPr>
                  <w:tcW w:w="1522" w:type="dxa"/>
                  <w:vAlign w:val="center"/>
                </w:tcPr>
                <w:p w14:paraId="5A03E8AC">
                  <w:pPr>
                    <w:widowControl/>
                    <w:jc w:val="center"/>
                    <w:textAlignment w:val="center"/>
                    <w:rPr>
                      <w:rFonts w:hint="eastAsia" w:hAnsi="宋体"/>
                    </w:rPr>
                  </w:pPr>
                  <w:r>
                    <w:rPr>
                      <w:rFonts w:hint="eastAsia" w:ascii="宋体" w:hAnsi="宋体" w:cs="宋体"/>
                      <w:kern w:val="0"/>
                      <w:szCs w:val="21"/>
                      <w:lang w:bidi="ar"/>
                    </w:rPr>
                    <w:t>20</w:t>
                  </w:r>
                </w:p>
              </w:tc>
            </w:tr>
            <w:tr w14:paraId="1CEC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restart"/>
                  <w:vAlign w:val="center"/>
                </w:tcPr>
                <w:p w14:paraId="5BD00319">
                  <w:pPr>
                    <w:pStyle w:val="87"/>
                    <w:rPr>
                      <w:rFonts w:hint="eastAsia" w:hAnsi="宋体"/>
                    </w:rPr>
                  </w:pPr>
                  <w:r>
                    <w:rPr>
                      <w:rFonts w:hAnsi="宋体"/>
                    </w:rPr>
                    <w:t>固体废物处理设施</w:t>
                  </w:r>
                </w:p>
              </w:tc>
              <w:tc>
                <w:tcPr>
                  <w:tcW w:w="1150" w:type="pct"/>
                  <w:vAlign w:val="center"/>
                </w:tcPr>
                <w:p w14:paraId="5613BF5B">
                  <w:pPr>
                    <w:pStyle w:val="87"/>
                    <w:rPr>
                      <w:rFonts w:hint="eastAsia" w:hAnsi="宋体"/>
                    </w:rPr>
                  </w:pPr>
                  <w:r>
                    <w:rPr>
                      <w:rFonts w:hint="eastAsia" w:hAnsi="宋体"/>
                    </w:rPr>
                    <w:t>钻井井口防喷器、应急放喷池</w:t>
                  </w:r>
                </w:p>
              </w:tc>
              <w:tc>
                <w:tcPr>
                  <w:tcW w:w="2120" w:type="pct"/>
                  <w:vAlign w:val="center"/>
                </w:tcPr>
                <w:p w14:paraId="4EA0E7C4">
                  <w:pPr>
                    <w:pStyle w:val="87"/>
                    <w:rPr>
                      <w:rFonts w:hint="eastAsia" w:hAnsi="宋体"/>
                    </w:rPr>
                  </w:pPr>
                  <w:r>
                    <w:rPr>
                      <w:rFonts w:hint="eastAsia" w:hAnsi="宋体"/>
                    </w:rPr>
                    <w:t>放喷原油、伴生气</w:t>
                  </w:r>
                </w:p>
              </w:tc>
              <w:tc>
                <w:tcPr>
                  <w:tcW w:w="1522" w:type="dxa"/>
                  <w:vAlign w:val="center"/>
                </w:tcPr>
                <w:p w14:paraId="0DE81EA7">
                  <w:pPr>
                    <w:widowControl/>
                    <w:jc w:val="center"/>
                    <w:textAlignment w:val="center"/>
                    <w:rPr>
                      <w:rFonts w:hint="eastAsia" w:hAnsi="宋体"/>
                    </w:rPr>
                  </w:pPr>
                  <w:r>
                    <w:rPr>
                      <w:rFonts w:hint="eastAsia" w:ascii="宋体" w:hAnsi="宋体" w:cs="宋体"/>
                      <w:kern w:val="0"/>
                      <w:szCs w:val="21"/>
                      <w:lang w:bidi="ar"/>
                    </w:rPr>
                    <w:t>2</w:t>
                  </w:r>
                </w:p>
              </w:tc>
            </w:tr>
            <w:tr w14:paraId="04A8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continue"/>
                  <w:vAlign w:val="center"/>
                </w:tcPr>
                <w:p w14:paraId="3B1C3062">
                  <w:pPr>
                    <w:pStyle w:val="87"/>
                    <w:rPr>
                      <w:rFonts w:hint="eastAsia" w:hAnsi="宋体"/>
                    </w:rPr>
                  </w:pPr>
                </w:p>
              </w:tc>
              <w:tc>
                <w:tcPr>
                  <w:tcW w:w="1150" w:type="pct"/>
                  <w:vAlign w:val="center"/>
                </w:tcPr>
                <w:p w14:paraId="4378F937">
                  <w:pPr>
                    <w:pStyle w:val="87"/>
                    <w:rPr>
                      <w:rFonts w:hint="eastAsia" w:hAnsi="宋体"/>
                    </w:rPr>
                  </w:pPr>
                  <w:r>
                    <w:rPr>
                      <w:rFonts w:hAnsi="宋体"/>
                    </w:rPr>
                    <w:t>生活垃圾收集</w:t>
                  </w:r>
                  <w:r>
                    <w:rPr>
                      <w:rFonts w:hint="eastAsia" w:hAnsi="宋体"/>
                    </w:rPr>
                    <w:t>清运</w:t>
                  </w:r>
                </w:p>
              </w:tc>
              <w:tc>
                <w:tcPr>
                  <w:tcW w:w="2120" w:type="pct"/>
                  <w:vAlign w:val="center"/>
                </w:tcPr>
                <w:p w14:paraId="12FD961D">
                  <w:pPr>
                    <w:pStyle w:val="87"/>
                    <w:rPr>
                      <w:rFonts w:hint="eastAsia" w:hAnsi="宋体"/>
                    </w:rPr>
                  </w:pPr>
                  <w:r>
                    <w:rPr>
                      <w:rFonts w:hAnsi="宋体"/>
                    </w:rPr>
                    <w:t>收集、清运</w:t>
                  </w:r>
                </w:p>
              </w:tc>
              <w:tc>
                <w:tcPr>
                  <w:tcW w:w="1522" w:type="dxa"/>
                  <w:vAlign w:val="center"/>
                </w:tcPr>
                <w:p w14:paraId="257495ED">
                  <w:pPr>
                    <w:widowControl/>
                    <w:jc w:val="center"/>
                    <w:textAlignment w:val="center"/>
                    <w:rPr>
                      <w:rFonts w:hint="eastAsia" w:hAnsi="宋体"/>
                    </w:rPr>
                  </w:pPr>
                  <w:r>
                    <w:rPr>
                      <w:rFonts w:hint="eastAsia" w:ascii="宋体" w:hAnsi="宋体" w:cs="宋体"/>
                      <w:kern w:val="0"/>
                      <w:szCs w:val="21"/>
                      <w:lang w:bidi="ar"/>
                    </w:rPr>
                    <w:t>1</w:t>
                  </w:r>
                </w:p>
              </w:tc>
            </w:tr>
            <w:tr w14:paraId="0DC9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continue"/>
                  <w:vAlign w:val="center"/>
                </w:tcPr>
                <w:p w14:paraId="4D31E4D8">
                  <w:pPr>
                    <w:pStyle w:val="87"/>
                    <w:rPr>
                      <w:rFonts w:hint="eastAsia" w:hAnsi="宋体"/>
                    </w:rPr>
                  </w:pPr>
                </w:p>
              </w:tc>
              <w:tc>
                <w:tcPr>
                  <w:tcW w:w="1150" w:type="pct"/>
                  <w:vAlign w:val="center"/>
                </w:tcPr>
                <w:p w14:paraId="0E2515E7">
                  <w:pPr>
                    <w:pStyle w:val="87"/>
                    <w:rPr>
                      <w:rFonts w:hint="eastAsia" w:hAnsi="宋体"/>
                    </w:rPr>
                  </w:pPr>
                  <w:r>
                    <w:rPr>
                      <w:rFonts w:hint="eastAsia" w:hAnsi="宋体"/>
                    </w:rPr>
                    <w:t>危废贮存点及危废处置</w:t>
                  </w:r>
                </w:p>
              </w:tc>
              <w:tc>
                <w:tcPr>
                  <w:tcW w:w="2120" w:type="pct"/>
                  <w:vAlign w:val="center"/>
                </w:tcPr>
                <w:p w14:paraId="3FC5F3D1">
                  <w:pPr>
                    <w:pStyle w:val="87"/>
                    <w:rPr>
                      <w:rFonts w:hint="eastAsia" w:hAnsi="宋体"/>
                    </w:rPr>
                  </w:pPr>
                  <w:r>
                    <w:rPr>
                      <w:rFonts w:hint="eastAsia" w:hAnsi="宋体"/>
                    </w:rPr>
                    <w:t>建设危废贮存点；危险废物</w:t>
                  </w:r>
                  <w:r>
                    <w:rPr>
                      <w:rStyle w:val="37"/>
                      <w:rFonts w:hint="eastAsia" w:hAnsi="宋体"/>
                    </w:rPr>
                    <w:t>委托有危废处理资质的单位处理</w:t>
                  </w:r>
                </w:p>
              </w:tc>
              <w:tc>
                <w:tcPr>
                  <w:tcW w:w="1522" w:type="dxa"/>
                  <w:vAlign w:val="center"/>
                </w:tcPr>
                <w:p w14:paraId="28277BE8">
                  <w:pPr>
                    <w:widowControl/>
                    <w:jc w:val="center"/>
                    <w:textAlignment w:val="center"/>
                    <w:rPr>
                      <w:rFonts w:hint="eastAsia" w:hAnsi="宋体"/>
                    </w:rPr>
                  </w:pPr>
                  <w:r>
                    <w:rPr>
                      <w:rFonts w:hint="eastAsia" w:ascii="宋体" w:hAnsi="宋体" w:cs="宋体"/>
                      <w:kern w:val="0"/>
                      <w:szCs w:val="21"/>
                      <w:lang w:bidi="ar"/>
                    </w:rPr>
                    <w:t>60</w:t>
                  </w:r>
                </w:p>
              </w:tc>
            </w:tr>
            <w:tr w14:paraId="7930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continue"/>
                  <w:vAlign w:val="center"/>
                </w:tcPr>
                <w:p w14:paraId="7E52D36C">
                  <w:pPr>
                    <w:pStyle w:val="87"/>
                    <w:rPr>
                      <w:rFonts w:hint="eastAsia" w:hAnsi="宋体"/>
                    </w:rPr>
                  </w:pPr>
                </w:p>
              </w:tc>
              <w:tc>
                <w:tcPr>
                  <w:tcW w:w="1150" w:type="pct"/>
                  <w:vAlign w:val="center"/>
                </w:tcPr>
                <w:p w14:paraId="4A85D22A">
                  <w:pPr>
                    <w:pStyle w:val="87"/>
                    <w:rPr>
                      <w:rFonts w:hint="eastAsia" w:hAnsi="宋体"/>
                    </w:rPr>
                  </w:pPr>
                  <w:r>
                    <w:rPr>
                      <w:rFonts w:hint="eastAsia" w:hAnsi="宋体"/>
                    </w:rPr>
                    <w:t>泥浆</w:t>
                  </w:r>
                  <w:r>
                    <w:rPr>
                      <w:rFonts w:hAnsi="宋体"/>
                    </w:rPr>
                    <w:t>不落地系统</w:t>
                  </w:r>
                </w:p>
              </w:tc>
              <w:tc>
                <w:tcPr>
                  <w:tcW w:w="2120" w:type="pct"/>
                  <w:vAlign w:val="center"/>
                </w:tcPr>
                <w:p w14:paraId="0ADC7FE2">
                  <w:pPr>
                    <w:pStyle w:val="87"/>
                    <w:rPr>
                      <w:rFonts w:hint="eastAsia" w:hAnsi="宋体"/>
                    </w:rPr>
                  </w:pPr>
                  <w:r>
                    <w:rPr>
                      <w:rFonts w:hAnsi="宋体"/>
                    </w:rPr>
                    <w:t>钻井废水、岩屑、</w:t>
                  </w:r>
                  <w:r>
                    <w:rPr>
                      <w:rFonts w:hint="eastAsia" w:hAnsi="宋体"/>
                    </w:rPr>
                    <w:t>钻井泥浆处理</w:t>
                  </w:r>
                </w:p>
              </w:tc>
              <w:tc>
                <w:tcPr>
                  <w:tcW w:w="1522" w:type="dxa"/>
                  <w:vAlign w:val="center"/>
                </w:tcPr>
                <w:p w14:paraId="4822C6C9">
                  <w:pPr>
                    <w:widowControl/>
                    <w:jc w:val="center"/>
                    <w:textAlignment w:val="center"/>
                    <w:rPr>
                      <w:rFonts w:hint="eastAsia" w:hAnsi="宋体"/>
                    </w:rPr>
                  </w:pPr>
                  <w:r>
                    <w:rPr>
                      <w:rFonts w:hint="eastAsia" w:ascii="宋体" w:hAnsi="宋体" w:cs="宋体"/>
                      <w:kern w:val="0"/>
                      <w:szCs w:val="21"/>
                      <w:lang w:bidi="ar"/>
                    </w:rPr>
                    <w:t>5</w:t>
                  </w:r>
                </w:p>
              </w:tc>
            </w:tr>
            <w:tr w14:paraId="7F85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restart"/>
                  <w:vAlign w:val="center"/>
                </w:tcPr>
                <w:p w14:paraId="63A81C82">
                  <w:pPr>
                    <w:pStyle w:val="87"/>
                    <w:rPr>
                      <w:rFonts w:hint="eastAsia" w:hAnsi="宋体"/>
                    </w:rPr>
                  </w:pPr>
                  <w:r>
                    <w:rPr>
                      <w:rFonts w:hAnsi="宋体"/>
                    </w:rPr>
                    <w:t>生态与水土保持</w:t>
                  </w:r>
                </w:p>
              </w:tc>
              <w:tc>
                <w:tcPr>
                  <w:tcW w:w="1150" w:type="pct"/>
                  <w:vAlign w:val="center"/>
                </w:tcPr>
                <w:p w14:paraId="435A83C3">
                  <w:pPr>
                    <w:pStyle w:val="87"/>
                    <w:rPr>
                      <w:rFonts w:hint="eastAsia" w:hAnsi="宋体"/>
                    </w:rPr>
                  </w:pPr>
                  <w:r>
                    <w:rPr>
                      <w:rFonts w:hAnsi="宋体"/>
                    </w:rPr>
                    <w:t>井场</w:t>
                  </w:r>
                  <w:r>
                    <w:rPr>
                      <w:rFonts w:hint="eastAsia" w:hAnsi="宋体"/>
                    </w:rPr>
                    <w:t>平整</w:t>
                  </w:r>
                </w:p>
              </w:tc>
              <w:tc>
                <w:tcPr>
                  <w:tcW w:w="2120" w:type="pct"/>
                  <w:vAlign w:val="center"/>
                </w:tcPr>
                <w:p w14:paraId="027DB632">
                  <w:pPr>
                    <w:pStyle w:val="87"/>
                    <w:rPr>
                      <w:rFonts w:hint="eastAsia" w:hAnsi="宋体"/>
                    </w:rPr>
                  </w:pPr>
                  <w:r>
                    <w:rPr>
                      <w:rFonts w:hint="eastAsia" w:hAnsi="宋体"/>
                    </w:rPr>
                    <w:t>临时占地平整</w:t>
                  </w:r>
                </w:p>
              </w:tc>
              <w:tc>
                <w:tcPr>
                  <w:tcW w:w="1522" w:type="dxa"/>
                  <w:vAlign w:val="center"/>
                </w:tcPr>
                <w:p w14:paraId="2BC35449">
                  <w:pPr>
                    <w:widowControl/>
                    <w:jc w:val="center"/>
                    <w:textAlignment w:val="center"/>
                    <w:rPr>
                      <w:rFonts w:hint="eastAsia" w:hAnsi="宋体"/>
                    </w:rPr>
                  </w:pPr>
                  <w:r>
                    <w:rPr>
                      <w:rFonts w:hint="eastAsia" w:ascii="宋体" w:hAnsi="宋体" w:cs="宋体"/>
                      <w:kern w:val="0"/>
                      <w:szCs w:val="21"/>
                      <w:lang w:bidi="ar"/>
                    </w:rPr>
                    <w:t>5</w:t>
                  </w:r>
                </w:p>
              </w:tc>
            </w:tr>
            <w:tr w14:paraId="7B56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continue"/>
                  <w:vAlign w:val="center"/>
                </w:tcPr>
                <w:p w14:paraId="3863E4DD">
                  <w:pPr>
                    <w:pStyle w:val="87"/>
                    <w:rPr>
                      <w:rFonts w:hint="eastAsia" w:hAnsi="宋体"/>
                    </w:rPr>
                  </w:pPr>
                </w:p>
              </w:tc>
              <w:tc>
                <w:tcPr>
                  <w:tcW w:w="1150" w:type="pct"/>
                  <w:vAlign w:val="center"/>
                </w:tcPr>
                <w:p w14:paraId="6B4FCED2">
                  <w:pPr>
                    <w:pStyle w:val="87"/>
                    <w:rPr>
                      <w:rFonts w:hint="eastAsia" w:hAnsi="宋体"/>
                    </w:rPr>
                  </w:pPr>
                  <w:r>
                    <w:rPr>
                      <w:rFonts w:hAnsi="宋体"/>
                    </w:rPr>
                    <w:t>路面硬化</w:t>
                  </w:r>
                </w:p>
              </w:tc>
              <w:tc>
                <w:tcPr>
                  <w:tcW w:w="2120" w:type="pct"/>
                  <w:vAlign w:val="center"/>
                </w:tcPr>
                <w:p w14:paraId="6FBE34A3">
                  <w:pPr>
                    <w:pStyle w:val="87"/>
                    <w:rPr>
                      <w:rFonts w:hint="eastAsia" w:hAnsi="宋体"/>
                    </w:rPr>
                  </w:pPr>
                  <w:r>
                    <w:rPr>
                      <w:rFonts w:hAnsi="宋体"/>
                    </w:rPr>
                    <w:t>降尘、防水土流失</w:t>
                  </w:r>
                </w:p>
              </w:tc>
              <w:tc>
                <w:tcPr>
                  <w:tcW w:w="1522" w:type="dxa"/>
                  <w:vAlign w:val="center"/>
                </w:tcPr>
                <w:p w14:paraId="6EF65636">
                  <w:pPr>
                    <w:widowControl/>
                    <w:jc w:val="center"/>
                    <w:textAlignment w:val="center"/>
                    <w:rPr>
                      <w:rFonts w:hint="eastAsia" w:hAnsi="宋体"/>
                    </w:rPr>
                  </w:pPr>
                  <w:r>
                    <w:rPr>
                      <w:rFonts w:hint="eastAsia" w:ascii="宋体" w:hAnsi="宋体" w:cs="宋体"/>
                      <w:kern w:val="0"/>
                      <w:szCs w:val="21"/>
                      <w:lang w:bidi="ar"/>
                    </w:rPr>
                    <w:t>3</w:t>
                  </w:r>
                </w:p>
              </w:tc>
            </w:tr>
            <w:tr w14:paraId="4C22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Align w:val="center"/>
                </w:tcPr>
                <w:p w14:paraId="36C8D1D6">
                  <w:pPr>
                    <w:pStyle w:val="87"/>
                    <w:rPr>
                      <w:rFonts w:hint="eastAsia" w:hAnsi="宋体"/>
                    </w:rPr>
                  </w:pPr>
                  <w:r>
                    <w:rPr>
                      <w:rFonts w:hint="eastAsia" w:hAnsi="宋体"/>
                    </w:rPr>
                    <w:t>噪声</w:t>
                  </w:r>
                  <w:r>
                    <w:rPr>
                      <w:rFonts w:hAnsi="宋体"/>
                    </w:rPr>
                    <w:t>治理</w:t>
                  </w:r>
                </w:p>
              </w:tc>
              <w:tc>
                <w:tcPr>
                  <w:tcW w:w="1150" w:type="pct"/>
                  <w:vAlign w:val="center"/>
                </w:tcPr>
                <w:p w14:paraId="5126C181">
                  <w:pPr>
                    <w:pStyle w:val="87"/>
                    <w:rPr>
                      <w:rFonts w:hint="eastAsia" w:hAnsi="宋体"/>
                    </w:rPr>
                  </w:pPr>
                  <w:r>
                    <w:rPr>
                      <w:rFonts w:hint="eastAsia" w:hAnsi="宋体"/>
                    </w:rPr>
                    <w:t>基础减振</w:t>
                  </w:r>
                </w:p>
              </w:tc>
              <w:tc>
                <w:tcPr>
                  <w:tcW w:w="2120" w:type="pct"/>
                  <w:vAlign w:val="center"/>
                </w:tcPr>
                <w:p w14:paraId="56DA45A2">
                  <w:pPr>
                    <w:pStyle w:val="87"/>
                    <w:rPr>
                      <w:rFonts w:hint="eastAsia" w:hAnsi="宋体"/>
                    </w:rPr>
                  </w:pPr>
                  <w:r>
                    <w:rPr>
                      <w:rFonts w:hint="eastAsia" w:hAnsi="宋体"/>
                    </w:rPr>
                    <w:t>噪声</w:t>
                  </w:r>
                  <w:r>
                    <w:rPr>
                      <w:rFonts w:hAnsi="宋体"/>
                    </w:rPr>
                    <w:t>治理</w:t>
                  </w:r>
                </w:p>
              </w:tc>
              <w:tc>
                <w:tcPr>
                  <w:tcW w:w="1522" w:type="dxa"/>
                  <w:vAlign w:val="center"/>
                </w:tcPr>
                <w:p w14:paraId="0EAE348B">
                  <w:pPr>
                    <w:widowControl/>
                    <w:jc w:val="center"/>
                    <w:textAlignment w:val="center"/>
                    <w:rPr>
                      <w:rFonts w:hint="eastAsia" w:hAnsi="宋体"/>
                    </w:rPr>
                  </w:pPr>
                  <w:r>
                    <w:rPr>
                      <w:rFonts w:hint="eastAsia" w:ascii="宋体" w:hAnsi="宋体" w:cs="宋体"/>
                      <w:kern w:val="0"/>
                      <w:szCs w:val="21"/>
                      <w:lang w:bidi="ar"/>
                    </w:rPr>
                    <w:t>2</w:t>
                  </w:r>
                </w:p>
              </w:tc>
            </w:tr>
            <w:tr w14:paraId="4542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Align w:val="center"/>
                </w:tcPr>
                <w:p w14:paraId="5DCBF5B1">
                  <w:pPr>
                    <w:pStyle w:val="87"/>
                    <w:rPr>
                      <w:rFonts w:hint="eastAsia" w:hAnsi="宋体"/>
                    </w:rPr>
                  </w:pPr>
                  <w:r>
                    <w:rPr>
                      <w:rFonts w:hint="eastAsia" w:hAnsi="宋体"/>
                    </w:rPr>
                    <w:t>生态修复工程</w:t>
                  </w:r>
                </w:p>
              </w:tc>
              <w:tc>
                <w:tcPr>
                  <w:tcW w:w="1150" w:type="pct"/>
                  <w:vAlign w:val="center"/>
                </w:tcPr>
                <w:p w14:paraId="749D63C2">
                  <w:pPr>
                    <w:pStyle w:val="87"/>
                    <w:rPr>
                      <w:rFonts w:hint="eastAsia" w:hAnsi="宋体"/>
                    </w:rPr>
                  </w:pPr>
                  <w:r>
                    <w:rPr>
                      <w:rFonts w:hint="eastAsia" w:hAnsi="宋体"/>
                    </w:rPr>
                    <w:t>恢复地表原状</w:t>
                  </w:r>
                </w:p>
              </w:tc>
              <w:tc>
                <w:tcPr>
                  <w:tcW w:w="2120" w:type="pct"/>
                  <w:vAlign w:val="center"/>
                </w:tcPr>
                <w:p w14:paraId="55090F39">
                  <w:pPr>
                    <w:pStyle w:val="87"/>
                    <w:rPr>
                      <w:rFonts w:hint="eastAsia" w:hAnsi="宋体"/>
                    </w:rPr>
                  </w:pPr>
                  <w:r>
                    <w:rPr>
                      <w:rFonts w:hint="eastAsia" w:hAnsi="宋体"/>
                    </w:rPr>
                    <w:t>临时占地生态恢复，植被补偿等</w:t>
                  </w:r>
                </w:p>
              </w:tc>
              <w:tc>
                <w:tcPr>
                  <w:tcW w:w="1522" w:type="dxa"/>
                  <w:vAlign w:val="center"/>
                </w:tcPr>
                <w:p w14:paraId="5799E063">
                  <w:pPr>
                    <w:widowControl/>
                    <w:jc w:val="center"/>
                    <w:textAlignment w:val="center"/>
                    <w:rPr>
                      <w:rFonts w:hint="eastAsia" w:hAnsi="宋体"/>
                    </w:rPr>
                  </w:pPr>
                  <w:r>
                    <w:rPr>
                      <w:rFonts w:hint="eastAsia" w:ascii="宋体" w:hAnsi="宋体" w:cs="宋体"/>
                      <w:kern w:val="0"/>
                      <w:szCs w:val="21"/>
                      <w:lang w:bidi="ar"/>
                    </w:rPr>
                    <w:t>30</w:t>
                  </w:r>
                </w:p>
              </w:tc>
            </w:tr>
            <w:tr w14:paraId="004A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Align w:val="center"/>
                </w:tcPr>
                <w:p w14:paraId="13A9F4E6">
                  <w:pPr>
                    <w:pStyle w:val="87"/>
                    <w:rPr>
                      <w:rFonts w:hint="eastAsia" w:hAnsi="宋体"/>
                    </w:rPr>
                  </w:pPr>
                  <w:r>
                    <w:rPr>
                      <w:rFonts w:hint="eastAsia" w:hAnsi="宋体"/>
                    </w:rPr>
                    <w:t>风险防控</w:t>
                  </w:r>
                </w:p>
              </w:tc>
              <w:tc>
                <w:tcPr>
                  <w:tcW w:w="1150" w:type="pct"/>
                  <w:vAlign w:val="center"/>
                </w:tcPr>
                <w:p w14:paraId="7A24C942">
                  <w:pPr>
                    <w:pStyle w:val="87"/>
                    <w:rPr>
                      <w:rFonts w:hint="eastAsia" w:hAnsi="宋体"/>
                    </w:rPr>
                  </w:pPr>
                  <w:r>
                    <w:rPr>
                      <w:rFonts w:hint="eastAsia" w:hAnsi="宋体"/>
                    </w:rPr>
                    <w:t>风险防范物资，应急监测，井区防渗</w:t>
                  </w:r>
                </w:p>
              </w:tc>
              <w:tc>
                <w:tcPr>
                  <w:tcW w:w="2120" w:type="pct"/>
                  <w:vAlign w:val="center"/>
                </w:tcPr>
                <w:p w14:paraId="7049E189">
                  <w:pPr>
                    <w:pStyle w:val="87"/>
                    <w:rPr>
                      <w:rFonts w:hint="eastAsia" w:hAnsi="宋体"/>
                    </w:rPr>
                  </w:pPr>
                  <w:r>
                    <w:rPr>
                      <w:rFonts w:hint="eastAsia" w:hAnsi="宋体"/>
                    </w:rPr>
                    <w:t>施工现场配备应急物资；制定应急监测方案，委托检测费用；“泥浆不落地”设备、柴油罐等重点防渗区防渗</w:t>
                  </w:r>
                </w:p>
              </w:tc>
              <w:tc>
                <w:tcPr>
                  <w:tcW w:w="1522" w:type="dxa"/>
                  <w:vAlign w:val="center"/>
                </w:tcPr>
                <w:p w14:paraId="5D5E28A6">
                  <w:pPr>
                    <w:widowControl/>
                    <w:jc w:val="center"/>
                    <w:textAlignment w:val="center"/>
                    <w:rPr>
                      <w:rFonts w:hint="eastAsia" w:hAnsi="宋体"/>
                    </w:rPr>
                  </w:pPr>
                  <w:r>
                    <w:rPr>
                      <w:rFonts w:hint="eastAsia" w:ascii="宋体" w:hAnsi="宋体" w:cs="宋体"/>
                      <w:kern w:val="0"/>
                      <w:szCs w:val="21"/>
                      <w:lang w:bidi="ar"/>
                    </w:rPr>
                    <w:t>5</w:t>
                  </w:r>
                </w:p>
              </w:tc>
            </w:tr>
            <w:tr w14:paraId="7579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93" w:type="pct"/>
                  <w:gridSpan w:val="3"/>
                  <w:vAlign w:val="center"/>
                </w:tcPr>
                <w:p w14:paraId="3C960E94">
                  <w:pPr>
                    <w:pStyle w:val="87"/>
                    <w:rPr>
                      <w:rFonts w:hint="eastAsia" w:hAnsi="宋体"/>
                    </w:rPr>
                  </w:pPr>
                  <w:r>
                    <w:rPr>
                      <w:rFonts w:hAnsi="宋体"/>
                    </w:rPr>
                    <w:t>合计</w:t>
                  </w:r>
                </w:p>
              </w:tc>
              <w:tc>
                <w:tcPr>
                  <w:tcW w:w="1522" w:type="dxa"/>
                  <w:vAlign w:val="center"/>
                </w:tcPr>
                <w:p w14:paraId="63BA19B5">
                  <w:pPr>
                    <w:widowControl/>
                    <w:jc w:val="center"/>
                    <w:textAlignment w:val="center"/>
                    <w:rPr>
                      <w:rFonts w:hint="eastAsia" w:hAnsi="宋体"/>
                    </w:rPr>
                  </w:pPr>
                  <w:r>
                    <w:rPr>
                      <w:rFonts w:hint="eastAsia" w:ascii="宋体" w:hAnsi="宋体" w:cs="宋体"/>
                      <w:kern w:val="0"/>
                      <w:szCs w:val="21"/>
                      <w:lang w:bidi="ar"/>
                    </w:rPr>
                    <w:t>157</w:t>
                  </w:r>
                </w:p>
              </w:tc>
            </w:tr>
          </w:tbl>
          <w:p w14:paraId="44509F6E">
            <w:pPr>
              <w:adjustRightInd w:val="0"/>
              <w:snapToGrid w:val="0"/>
              <w:rPr>
                <w:rFonts w:hint="eastAsia" w:ascii="宋体" w:hAnsi="宋体" w:cs="宋体"/>
                <w:bCs/>
                <w:spacing w:val="10"/>
                <w:szCs w:val="21"/>
              </w:rPr>
            </w:pPr>
          </w:p>
          <w:p w14:paraId="6401082A">
            <w:pPr>
              <w:adjustRightInd w:val="0"/>
              <w:snapToGrid w:val="0"/>
              <w:rPr>
                <w:rFonts w:hint="eastAsia" w:ascii="宋体" w:hAnsi="宋体" w:cs="宋体"/>
                <w:bCs/>
                <w:spacing w:val="10"/>
                <w:szCs w:val="21"/>
              </w:rPr>
            </w:pPr>
          </w:p>
          <w:p w14:paraId="16A31EDC">
            <w:pPr>
              <w:adjustRightInd w:val="0"/>
              <w:snapToGrid w:val="0"/>
              <w:rPr>
                <w:rFonts w:hint="eastAsia" w:ascii="宋体" w:hAnsi="宋体" w:cs="宋体"/>
                <w:bCs/>
                <w:spacing w:val="10"/>
                <w:szCs w:val="21"/>
              </w:rPr>
            </w:pPr>
          </w:p>
          <w:p w14:paraId="0AE38B1B">
            <w:pPr>
              <w:adjustRightInd w:val="0"/>
              <w:snapToGrid w:val="0"/>
              <w:rPr>
                <w:rFonts w:hint="eastAsia" w:ascii="宋体" w:hAnsi="宋体" w:cs="宋体"/>
                <w:bCs/>
                <w:spacing w:val="10"/>
                <w:szCs w:val="21"/>
              </w:rPr>
            </w:pPr>
          </w:p>
          <w:p w14:paraId="565C5297">
            <w:pPr>
              <w:adjustRightInd w:val="0"/>
              <w:snapToGrid w:val="0"/>
              <w:rPr>
                <w:rFonts w:hint="eastAsia" w:ascii="宋体" w:hAnsi="宋体" w:cs="宋体"/>
                <w:bCs/>
                <w:spacing w:val="10"/>
                <w:szCs w:val="21"/>
              </w:rPr>
            </w:pPr>
          </w:p>
          <w:p w14:paraId="2ED94525">
            <w:pPr>
              <w:adjustRightInd w:val="0"/>
              <w:snapToGrid w:val="0"/>
              <w:rPr>
                <w:rFonts w:hint="eastAsia" w:ascii="宋体" w:hAnsi="宋体" w:cs="宋体"/>
                <w:bCs/>
                <w:spacing w:val="10"/>
                <w:szCs w:val="21"/>
              </w:rPr>
            </w:pPr>
          </w:p>
          <w:p w14:paraId="603E718F">
            <w:pPr>
              <w:adjustRightInd w:val="0"/>
              <w:snapToGrid w:val="0"/>
              <w:rPr>
                <w:rFonts w:hint="eastAsia" w:ascii="宋体" w:hAnsi="宋体" w:cs="宋体"/>
                <w:bCs/>
                <w:spacing w:val="10"/>
                <w:szCs w:val="21"/>
              </w:rPr>
            </w:pPr>
          </w:p>
          <w:p w14:paraId="569761F9">
            <w:pPr>
              <w:adjustRightInd w:val="0"/>
              <w:snapToGrid w:val="0"/>
              <w:rPr>
                <w:rFonts w:hint="eastAsia" w:ascii="宋体" w:hAnsi="宋体" w:cs="宋体"/>
                <w:bCs/>
                <w:spacing w:val="10"/>
                <w:szCs w:val="21"/>
              </w:rPr>
            </w:pPr>
          </w:p>
          <w:p w14:paraId="0896844C">
            <w:pPr>
              <w:adjustRightInd w:val="0"/>
              <w:snapToGrid w:val="0"/>
              <w:rPr>
                <w:rFonts w:hint="eastAsia" w:ascii="宋体" w:hAnsi="宋体" w:cs="宋体"/>
                <w:bCs/>
                <w:spacing w:val="10"/>
                <w:szCs w:val="21"/>
              </w:rPr>
            </w:pPr>
          </w:p>
          <w:p w14:paraId="13D8269A">
            <w:pPr>
              <w:adjustRightInd w:val="0"/>
              <w:snapToGrid w:val="0"/>
              <w:rPr>
                <w:rFonts w:hint="eastAsia" w:ascii="宋体" w:hAnsi="宋体" w:cs="宋体"/>
                <w:bCs/>
                <w:spacing w:val="10"/>
                <w:szCs w:val="21"/>
              </w:rPr>
            </w:pPr>
          </w:p>
        </w:tc>
      </w:tr>
    </w:tbl>
    <w:p w14:paraId="4A7575E1">
      <w:pPr>
        <w:sectPr>
          <w:pgSz w:w="11907" w:h="16840"/>
          <w:pgMar w:top="1440" w:right="1797" w:bottom="1440" w:left="1797" w:header="851" w:footer="1077" w:gutter="0"/>
          <w:cols w:space="720" w:num="1"/>
          <w:docGrid w:linePitch="312" w:charSpace="0"/>
        </w:sectPr>
      </w:pPr>
    </w:p>
    <w:p w14:paraId="17381281">
      <w:pPr>
        <w:pStyle w:val="26"/>
        <w:adjustRightInd w:val="0"/>
        <w:snapToGrid w:val="0"/>
        <w:spacing w:before="0" w:beforeAutospacing="0" w:after="0" w:afterAutospacing="0"/>
        <w:jc w:val="center"/>
        <w:outlineLvl w:val="0"/>
        <w:rPr>
          <w:rFonts w:hint="eastAsia" w:ascii="黑体" w:hAnsi="黑体" w:eastAsia="黑体"/>
          <w:snapToGrid w:val="0"/>
          <w:sz w:val="30"/>
          <w:szCs w:val="30"/>
        </w:rPr>
      </w:pPr>
      <w:bookmarkStart w:id="83" w:name="_Toc216179952"/>
      <w:r>
        <w:rPr>
          <w:rFonts w:hint="eastAsia" w:ascii="黑体" w:hAnsi="黑体" w:eastAsia="黑体"/>
          <w:snapToGrid w:val="0"/>
          <w:sz w:val="30"/>
          <w:szCs w:val="30"/>
        </w:rPr>
        <w:t>六、生态环境保护措施监督检查清单</w:t>
      </w:r>
      <w:bookmarkEnd w:id="83"/>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4601"/>
        <w:gridCol w:w="3227"/>
        <w:gridCol w:w="885"/>
        <w:gridCol w:w="598"/>
      </w:tblGrid>
      <w:tr w14:paraId="21126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2" w:type="pct"/>
            <w:vMerge w:val="restart"/>
            <w:tcBorders>
              <w:tl2br w:val="single" w:color="auto" w:sz="4" w:space="0"/>
            </w:tcBorders>
          </w:tcPr>
          <w:p w14:paraId="5D2AA991">
            <w:pPr>
              <w:pStyle w:val="26"/>
              <w:adjustRightInd w:val="0"/>
              <w:snapToGrid w:val="0"/>
              <w:spacing w:before="93" w:beforeLines="30" w:beforeAutospacing="0" w:after="0" w:afterAutospacing="0"/>
              <w:rPr>
                <w:rFonts w:hint="eastAsia" w:cs="宋体"/>
                <w:kern w:val="2"/>
                <w:sz w:val="21"/>
                <w:szCs w:val="21"/>
              </w:rPr>
            </w:pPr>
            <w:r>
              <w:rPr>
                <w:rFonts w:hint="eastAsia" w:cs="宋体"/>
                <w:kern w:val="2"/>
                <w:sz w:val="21"/>
                <w:szCs w:val="21"/>
              </w:rPr>
              <w:t xml:space="preserve">    内容</w:t>
            </w:r>
          </w:p>
          <w:p w14:paraId="48B7FD30">
            <w:pPr>
              <w:pStyle w:val="26"/>
              <w:adjustRightInd w:val="0"/>
              <w:snapToGrid w:val="0"/>
              <w:spacing w:before="0" w:beforeAutospacing="0" w:after="0" w:afterAutospacing="0" w:line="14" w:lineRule="auto"/>
              <w:rPr>
                <w:rFonts w:hint="eastAsia" w:cs="宋体"/>
                <w:kern w:val="2"/>
                <w:sz w:val="21"/>
                <w:szCs w:val="21"/>
              </w:rPr>
            </w:pPr>
            <w:r>
              <w:rPr>
                <w:rFonts w:hint="eastAsia" w:cs="宋体"/>
                <w:kern w:val="2"/>
                <w:sz w:val="21"/>
                <w:szCs w:val="21"/>
              </w:rPr>
              <w:t xml:space="preserve">  </w:t>
            </w:r>
          </w:p>
          <w:p w14:paraId="5578E849">
            <w:pPr>
              <w:pStyle w:val="26"/>
              <w:adjustRightInd w:val="0"/>
              <w:snapToGrid w:val="0"/>
              <w:spacing w:before="0" w:beforeAutospacing="0" w:after="0" w:afterAutospacing="0"/>
              <w:rPr>
                <w:rFonts w:hint="eastAsia" w:cs="宋体"/>
                <w:kern w:val="2"/>
                <w:sz w:val="21"/>
                <w:szCs w:val="21"/>
              </w:rPr>
            </w:pPr>
          </w:p>
          <w:p w14:paraId="1A742E29">
            <w:pPr>
              <w:pStyle w:val="26"/>
              <w:adjustRightInd w:val="0"/>
              <w:snapToGrid w:val="0"/>
              <w:spacing w:before="0" w:beforeAutospacing="0" w:after="0" w:afterAutospacing="0"/>
              <w:rPr>
                <w:rFonts w:hint="eastAsia" w:cs="宋体"/>
                <w:kern w:val="2"/>
                <w:sz w:val="21"/>
                <w:szCs w:val="21"/>
              </w:rPr>
            </w:pPr>
          </w:p>
          <w:p w14:paraId="761B951C">
            <w:pPr>
              <w:pStyle w:val="26"/>
              <w:adjustRightInd w:val="0"/>
              <w:snapToGrid w:val="0"/>
              <w:spacing w:before="0" w:beforeAutospacing="0" w:after="0" w:afterAutospacing="0"/>
              <w:rPr>
                <w:rFonts w:hint="eastAsia" w:cs="宋体"/>
                <w:kern w:val="2"/>
                <w:sz w:val="21"/>
                <w:szCs w:val="21"/>
              </w:rPr>
            </w:pPr>
            <w:r>
              <w:rPr>
                <w:rFonts w:hint="eastAsia" w:cs="宋体"/>
                <w:kern w:val="2"/>
                <w:sz w:val="21"/>
                <w:szCs w:val="21"/>
              </w:rPr>
              <w:t>要素</w:t>
            </w:r>
          </w:p>
        </w:tc>
        <w:tc>
          <w:tcPr>
            <w:tcW w:w="3663" w:type="pct"/>
            <w:gridSpan w:val="2"/>
            <w:vAlign w:val="center"/>
          </w:tcPr>
          <w:p w14:paraId="1B34588C">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施工期</w:t>
            </w:r>
          </w:p>
        </w:tc>
        <w:tc>
          <w:tcPr>
            <w:tcW w:w="694" w:type="pct"/>
            <w:gridSpan w:val="2"/>
            <w:vAlign w:val="center"/>
          </w:tcPr>
          <w:p w14:paraId="4235B2A0">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运营期</w:t>
            </w:r>
          </w:p>
        </w:tc>
      </w:tr>
      <w:tr w14:paraId="5DB62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9" w:hRule="atLeast"/>
          <w:tblHeader/>
          <w:jc w:val="center"/>
        </w:trPr>
        <w:tc>
          <w:tcPr>
            <w:tcW w:w="642" w:type="pct"/>
            <w:vMerge w:val="continue"/>
          </w:tcPr>
          <w:p w14:paraId="5B077A77">
            <w:pPr>
              <w:pStyle w:val="26"/>
              <w:adjustRightInd w:val="0"/>
              <w:snapToGrid w:val="0"/>
              <w:spacing w:before="0" w:beforeAutospacing="0" w:after="0" w:afterAutospacing="0"/>
              <w:ind w:firstLine="840"/>
              <w:jc w:val="center"/>
              <w:rPr>
                <w:rFonts w:hint="eastAsia" w:cs="宋体"/>
                <w:kern w:val="2"/>
                <w:sz w:val="21"/>
                <w:szCs w:val="21"/>
              </w:rPr>
            </w:pPr>
          </w:p>
        </w:tc>
        <w:tc>
          <w:tcPr>
            <w:tcW w:w="2153" w:type="pct"/>
            <w:vAlign w:val="center"/>
          </w:tcPr>
          <w:p w14:paraId="48F20C89">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环境保护措施</w:t>
            </w:r>
          </w:p>
        </w:tc>
        <w:tc>
          <w:tcPr>
            <w:tcW w:w="1510" w:type="pct"/>
            <w:vAlign w:val="center"/>
          </w:tcPr>
          <w:p w14:paraId="08D7AD6E">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验收要求</w:t>
            </w:r>
          </w:p>
        </w:tc>
        <w:tc>
          <w:tcPr>
            <w:tcW w:w="414" w:type="pct"/>
            <w:vAlign w:val="center"/>
          </w:tcPr>
          <w:p w14:paraId="5524F747">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环境保护措施</w:t>
            </w:r>
          </w:p>
        </w:tc>
        <w:tc>
          <w:tcPr>
            <w:tcW w:w="280" w:type="pct"/>
            <w:vAlign w:val="center"/>
          </w:tcPr>
          <w:p w14:paraId="062F3FFB">
            <w:pPr>
              <w:pStyle w:val="2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验收要求</w:t>
            </w:r>
          </w:p>
        </w:tc>
      </w:tr>
      <w:tr w14:paraId="5F8F9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42" w:type="pct"/>
            <w:vAlign w:val="center"/>
          </w:tcPr>
          <w:p w14:paraId="2F8A275B">
            <w:pPr>
              <w:adjustRightInd w:val="0"/>
              <w:snapToGrid w:val="0"/>
              <w:jc w:val="center"/>
              <w:rPr>
                <w:rFonts w:hint="eastAsia" w:ascii="宋体" w:hAnsi="宋体" w:cs="宋体"/>
                <w:szCs w:val="21"/>
              </w:rPr>
            </w:pPr>
            <w:r>
              <w:rPr>
                <w:rFonts w:hint="eastAsia" w:ascii="宋体" w:hAnsi="宋体" w:cs="宋体"/>
                <w:szCs w:val="21"/>
              </w:rPr>
              <w:t>陆生生态</w:t>
            </w:r>
          </w:p>
        </w:tc>
        <w:tc>
          <w:tcPr>
            <w:tcW w:w="2153" w:type="pct"/>
            <w:vAlign w:val="center"/>
          </w:tcPr>
          <w:p w14:paraId="62149AA2">
            <w:pPr>
              <w:adjustRightInd w:val="0"/>
              <w:snapToGrid w:val="0"/>
              <w:jc w:val="center"/>
              <w:rPr>
                <w:rFonts w:hint="eastAsia" w:ascii="宋体" w:hAnsi="宋体" w:cs="宋体"/>
                <w:szCs w:val="21"/>
              </w:rPr>
            </w:pPr>
            <w:r>
              <w:rPr>
                <w:rFonts w:hint="eastAsia" w:ascii="宋体" w:hAnsi="宋体" w:cs="宋体"/>
                <w:szCs w:val="21"/>
              </w:rPr>
              <w:t>1、在施工设计方面，合理规划、尽量减少修建进井路的施工作业带宽度，合理布局、尽量减少井场临时占地面积。</w:t>
            </w:r>
          </w:p>
          <w:p w14:paraId="4B7D2B1E">
            <w:pPr>
              <w:adjustRightInd w:val="0"/>
              <w:snapToGrid w:val="0"/>
              <w:jc w:val="center"/>
              <w:rPr>
                <w:rFonts w:hint="eastAsia" w:ascii="宋体" w:hAnsi="宋体" w:cs="宋体"/>
                <w:szCs w:val="21"/>
              </w:rPr>
            </w:pPr>
            <w:r>
              <w:rPr>
                <w:rFonts w:ascii="宋体" w:hAnsi="宋体" w:cs="宋体"/>
                <w:szCs w:val="21"/>
              </w:rPr>
              <w:t>2</w:t>
            </w:r>
            <w:r>
              <w:rPr>
                <w:rFonts w:hint="eastAsia" w:ascii="宋体" w:hAnsi="宋体" w:cs="宋体"/>
                <w:szCs w:val="21"/>
              </w:rPr>
              <w:t>、在日常运行、施工过程等过程中会产生较大的扬尘，在开挖旁边空地设置表土临时堆放区域，区域施工现场尽量适时洒水，减少扬尘，施工使用的粉状材料，运输、堆放时应有遮盖，防止扬尘落地影响附近植被的生长。</w:t>
            </w:r>
          </w:p>
          <w:p w14:paraId="1BEBF7D1">
            <w:pPr>
              <w:adjustRightInd w:val="0"/>
              <w:snapToGrid w:val="0"/>
              <w:jc w:val="center"/>
              <w:rPr>
                <w:rFonts w:hint="eastAsia" w:ascii="宋体" w:hAnsi="宋体" w:cs="宋体"/>
                <w:szCs w:val="21"/>
              </w:rPr>
            </w:pPr>
            <w:r>
              <w:rPr>
                <w:rFonts w:ascii="宋体" w:hAnsi="宋体" w:cs="宋体"/>
                <w:szCs w:val="21"/>
              </w:rPr>
              <w:t>3</w:t>
            </w:r>
            <w:r>
              <w:rPr>
                <w:rFonts w:hint="eastAsia" w:ascii="宋体" w:hAnsi="宋体" w:cs="宋体"/>
                <w:szCs w:val="21"/>
              </w:rPr>
              <w:t>、在员工的教育培训方面，加强管理，定期给施工人员进行施工作业培训，严格按照规范操作执行，尽量避让植被覆盖率较高的区域。加强教育，强化员工在工作中的责任心，巡检过程要认真仔细，实时监控。</w:t>
            </w:r>
          </w:p>
          <w:p w14:paraId="468EBF34">
            <w:pPr>
              <w:adjustRightInd w:val="0"/>
              <w:snapToGrid w:val="0"/>
              <w:jc w:val="center"/>
              <w:rPr>
                <w:rFonts w:hint="eastAsia" w:ascii="宋体" w:hAnsi="宋体" w:cs="宋体"/>
                <w:szCs w:val="21"/>
              </w:rPr>
            </w:pPr>
            <w:r>
              <w:rPr>
                <w:rFonts w:ascii="宋体" w:hAnsi="宋体" w:cs="宋体"/>
                <w:szCs w:val="21"/>
              </w:rPr>
              <w:t>4</w:t>
            </w:r>
            <w:r>
              <w:rPr>
                <w:rFonts w:hint="eastAsia" w:ascii="宋体" w:hAnsi="宋体" w:cs="宋体"/>
                <w:szCs w:val="21"/>
              </w:rPr>
              <w:t>、尽量减少因施工对植被的破坏，施工中大量设备的调运及人员的流动，会增加作业区内的拥挤度，项目区及外围设置明显的作业区域标识，新建道路需设置必要的标识和警示标牌，加强管理，把施工作业严格控制在作业区内。</w:t>
            </w:r>
          </w:p>
          <w:p w14:paraId="6D4A0328">
            <w:pPr>
              <w:adjustRightInd w:val="0"/>
              <w:snapToGrid w:val="0"/>
              <w:jc w:val="center"/>
              <w:rPr>
                <w:rFonts w:hint="eastAsia" w:ascii="宋体" w:hAnsi="宋体" w:cs="宋体"/>
                <w:szCs w:val="21"/>
              </w:rPr>
            </w:pPr>
            <w:r>
              <w:rPr>
                <w:rFonts w:ascii="宋体" w:hAnsi="宋体" w:cs="宋体"/>
                <w:szCs w:val="21"/>
              </w:rPr>
              <w:t>5</w:t>
            </w:r>
            <w:r>
              <w:rPr>
                <w:rFonts w:hint="eastAsia" w:ascii="宋体" w:hAnsi="宋体" w:cs="宋体"/>
                <w:szCs w:val="21"/>
              </w:rPr>
              <w:t>、</w:t>
            </w:r>
            <w:r>
              <w:rPr>
                <w:rFonts w:hint="eastAsia" w:ascii="宋体" w:hAnsi="宋体"/>
              </w:rPr>
              <w:t>本项目钻井、施工前，应向当地相关主管部门办理征地手续，按照相关法律法规进行补偿和恢复</w:t>
            </w:r>
            <w:r>
              <w:rPr>
                <w:rFonts w:hint="eastAsia" w:ascii="宋体" w:hAnsi="宋体" w:cs="宋体"/>
                <w:szCs w:val="21"/>
              </w:rPr>
              <w:t>。</w:t>
            </w:r>
          </w:p>
          <w:p w14:paraId="4B680A7E">
            <w:pPr>
              <w:adjustRightInd w:val="0"/>
              <w:snapToGrid w:val="0"/>
              <w:jc w:val="center"/>
              <w:rPr>
                <w:rFonts w:hint="eastAsia" w:ascii="宋体" w:hAnsi="宋体" w:cs="宋体"/>
                <w:szCs w:val="21"/>
              </w:rPr>
            </w:pPr>
            <w:r>
              <w:rPr>
                <w:rFonts w:ascii="宋体" w:hAnsi="宋体" w:cs="宋体"/>
                <w:szCs w:val="21"/>
              </w:rPr>
              <w:t>6</w:t>
            </w:r>
            <w:r>
              <w:rPr>
                <w:rFonts w:hint="eastAsia" w:ascii="宋体" w:hAnsi="宋体" w:cs="宋体"/>
                <w:szCs w:val="21"/>
              </w:rPr>
              <w:t>、钻井过程中严格执行钻井生产环境保护管理规定，采用“泥浆不落地”设备进行处理。</w:t>
            </w:r>
          </w:p>
          <w:p w14:paraId="71677271">
            <w:pPr>
              <w:adjustRightInd w:val="0"/>
              <w:snapToGrid w:val="0"/>
              <w:jc w:val="center"/>
              <w:rPr>
                <w:rFonts w:hint="eastAsia" w:ascii="宋体" w:hAnsi="宋体" w:cs="宋体"/>
                <w:szCs w:val="21"/>
              </w:rPr>
            </w:pPr>
            <w:r>
              <w:rPr>
                <w:rFonts w:ascii="宋体" w:hAnsi="宋体" w:cs="宋体"/>
                <w:szCs w:val="21"/>
              </w:rPr>
              <w:t>7</w:t>
            </w:r>
            <w:r>
              <w:rPr>
                <w:rFonts w:hint="eastAsia" w:ascii="宋体" w:hAnsi="宋体" w:cs="宋体"/>
                <w:szCs w:val="21"/>
              </w:rPr>
              <w:t>、严格做好放喷池的防渗处理，并设置规范化的环保标识，防止污染土壤及地下水。</w:t>
            </w:r>
          </w:p>
          <w:p w14:paraId="289E3DC2">
            <w:pPr>
              <w:adjustRightInd w:val="0"/>
              <w:snapToGrid w:val="0"/>
              <w:jc w:val="center"/>
              <w:rPr>
                <w:rFonts w:hint="eastAsia" w:ascii="宋体" w:hAnsi="宋体" w:cs="宋体"/>
                <w:szCs w:val="21"/>
              </w:rPr>
            </w:pPr>
            <w:r>
              <w:rPr>
                <w:rFonts w:ascii="宋体" w:hAnsi="宋体" w:cs="宋体"/>
                <w:szCs w:val="21"/>
              </w:rPr>
              <w:t>8</w:t>
            </w:r>
            <w:r>
              <w:rPr>
                <w:rFonts w:hint="eastAsia" w:ascii="宋体" w:hAnsi="宋体" w:cs="宋体"/>
                <w:szCs w:val="21"/>
              </w:rPr>
              <w:t>、项目建设完成后，对施工场地的废渣及一切废弃物资、设备应及时清理，对工地、料场、取土等地方，使用后应立即恢复原状，并及时进行人工干预恢复植被，以维持原有生态环境。工程建设完成后要求对施工料场、便道等临时用地进行清理、平整。严格执行《土地复垦条例》（2011年3月5日），凡受到施工车辆、机械破坏的地方都给予及时的修整，恢复原貌，被破坏的植被在施工结束后尽快恢复，完井后井场须平整，做到无油污，无地坑，无三废，确保周围环境无污染。</w:t>
            </w:r>
          </w:p>
        </w:tc>
        <w:tc>
          <w:tcPr>
            <w:tcW w:w="1510" w:type="pct"/>
            <w:vAlign w:val="center"/>
          </w:tcPr>
          <w:p w14:paraId="59B3F3BF">
            <w:pPr>
              <w:adjustRightInd w:val="0"/>
              <w:snapToGrid w:val="0"/>
              <w:jc w:val="center"/>
              <w:rPr>
                <w:rFonts w:hint="eastAsia" w:ascii="宋体" w:hAnsi="宋体" w:cs="宋体"/>
                <w:szCs w:val="21"/>
              </w:rPr>
            </w:pPr>
            <w:r>
              <w:rPr>
                <w:rFonts w:ascii="宋体" w:hAnsi="宋体" w:cs="宋体"/>
                <w:szCs w:val="21"/>
              </w:rPr>
              <w:t>严格限制施工作业范围，禁止破坏施工作业外的地表植被。临时占地上的设施搬迁后，拆除基础，</w:t>
            </w:r>
            <w:r>
              <w:rPr>
                <w:rFonts w:hint="eastAsia" w:ascii="宋体" w:hAnsi="宋体" w:cs="宋体"/>
                <w:szCs w:val="21"/>
              </w:rPr>
              <w:t>恢复</w:t>
            </w:r>
            <w:r>
              <w:rPr>
                <w:rFonts w:ascii="宋体" w:hAnsi="宋体" w:cs="宋体"/>
                <w:szCs w:val="21"/>
              </w:rPr>
              <w:t>到原状态。对</w:t>
            </w:r>
            <w:r>
              <w:rPr>
                <w:rFonts w:hint="eastAsia" w:ascii="宋体" w:hAnsi="宋体" w:cs="宋体"/>
                <w:szCs w:val="21"/>
              </w:rPr>
              <w:t>放喷池</w:t>
            </w:r>
            <w:r>
              <w:rPr>
                <w:rFonts w:ascii="宋体" w:hAnsi="宋体" w:cs="宋体"/>
                <w:szCs w:val="21"/>
              </w:rPr>
              <w:t>等进行拆除回填并平整，现场无废弃池遗留</w:t>
            </w:r>
          </w:p>
        </w:tc>
        <w:tc>
          <w:tcPr>
            <w:tcW w:w="414" w:type="pct"/>
            <w:vAlign w:val="center"/>
          </w:tcPr>
          <w:p w14:paraId="679AD009">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392BC775">
            <w:pPr>
              <w:adjustRightInd w:val="0"/>
              <w:snapToGrid w:val="0"/>
              <w:jc w:val="center"/>
              <w:rPr>
                <w:rFonts w:hint="eastAsia" w:ascii="宋体" w:hAnsi="宋体" w:cs="宋体"/>
                <w:szCs w:val="21"/>
              </w:rPr>
            </w:pPr>
            <w:r>
              <w:rPr>
                <w:rFonts w:hint="eastAsia" w:ascii="宋体" w:hAnsi="宋体" w:cs="宋体"/>
                <w:szCs w:val="21"/>
              </w:rPr>
              <w:t>/</w:t>
            </w:r>
          </w:p>
        </w:tc>
      </w:tr>
      <w:tr w14:paraId="174A0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14:paraId="22146785">
            <w:pPr>
              <w:adjustRightInd w:val="0"/>
              <w:snapToGrid w:val="0"/>
              <w:jc w:val="center"/>
              <w:rPr>
                <w:rFonts w:hint="eastAsia" w:ascii="宋体" w:hAnsi="宋体" w:cs="宋体"/>
                <w:szCs w:val="21"/>
              </w:rPr>
            </w:pPr>
            <w:r>
              <w:rPr>
                <w:rFonts w:hint="eastAsia" w:ascii="宋体" w:hAnsi="宋体" w:cs="宋体"/>
                <w:szCs w:val="21"/>
              </w:rPr>
              <w:t>水生生态</w:t>
            </w:r>
          </w:p>
        </w:tc>
        <w:tc>
          <w:tcPr>
            <w:tcW w:w="2153" w:type="pct"/>
            <w:vAlign w:val="center"/>
          </w:tcPr>
          <w:p w14:paraId="03D416E9">
            <w:pPr>
              <w:adjustRightInd w:val="0"/>
              <w:snapToGrid w:val="0"/>
              <w:jc w:val="center"/>
              <w:rPr>
                <w:rFonts w:hint="eastAsia" w:ascii="宋体" w:hAnsi="宋体" w:cs="宋体"/>
                <w:szCs w:val="21"/>
              </w:rPr>
            </w:pPr>
            <w:r>
              <w:rPr>
                <w:rFonts w:hint="eastAsia" w:ascii="宋体" w:hAnsi="宋体" w:cs="宋体"/>
                <w:szCs w:val="21"/>
              </w:rPr>
              <w:t>/</w:t>
            </w:r>
          </w:p>
        </w:tc>
        <w:tc>
          <w:tcPr>
            <w:tcW w:w="1510" w:type="pct"/>
            <w:vAlign w:val="center"/>
          </w:tcPr>
          <w:p w14:paraId="7A7FA7F5">
            <w:pPr>
              <w:adjustRightInd w:val="0"/>
              <w:snapToGrid w:val="0"/>
              <w:jc w:val="center"/>
              <w:rPr>
                <w:rFonts w:hint="eastAsia" w:ascii="宋体" w:hAnsi="宋体" w:cs="宋体"/>
                <w:szCs w:val="21"/>
              </w:rPr>
            </w:pPr>
            <w:r>
              <w:rPr>
                <w:rFonts w:hint="eastAsia" w:ascii="宋体" w:hAnsi="宋体" w:cs="宋体"/>
                <w:szCs w:val="21"/>
              </w:rPr>
              <w:t>/</w:t>
            </w:r>
          </w:p>
        </w:tc>
        <w:tc>
          <w:tcPr>
            <w:tcW w:w="414" w:type="pct"/>
            <w:vAlign w:val="center"/>
          </w:tcPr>
          <w:p w14:paraId="0E5B4E81">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5FDF5EF0">
            <w:pPr>
              <w:adjustRightInd w:val="0"/>
              <w:snapToGrid w:val="0"/>
              <w:jc w:val="center"/>
              <w:rPr>
                <w:rFonts w:hint="eastAsia" w:ascii="宋体" w:hAnsi="宋体" w:cs="宋体"/>
                <w:szCs w:val="21"/>
              </w:rPr>
            </w:pPr>
            <w:r>
              <w:rPr>
                <w:rFonts w:hint="eastAsia" w:ascii="宋体" w:hAnsi="宋体" w:cs="宋体"/>
                <w:szCs w:val="21"/>
              </w:rPr>
              <w:t>/</w:t>
            </w:r>
          </w:p>
        </w:tc>
      </w:tr>
      <w:tr w14:paraId="66664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14:paraId="0CF82950">
            <w:pPr>
              <w:adjustRightInd w:val="0"/>
              <w:snapToGrid w:val="0"/>
              <w:jc w:val="center"/>
              <w:rPr>
                <w:rFonts w:hint="eastAsia" w:ascii="宋体" w:hAnsi="宋体" w:cs="宋体"/>
                <w:szCs w:val="21"/>
              </w:rPr>
            </w:pPr>
            <w:r>
              <w:rPr>
                <w:rFonts w:hint="eastAsia" w:ascii="宋体" w:hAnsi="宋体" w:cs="宋体"/>
                <w:szCs w:val="21"/>
              </w:rPr>
              <w:t>地表水环境</w:t>
            </w:r>
          </w:p>
        </w:tc>
        <w:tc>
          <w:tcPr>
            <w:tcW w:w="3670" w:type="dxa"/>
            <w:vAlign w:val="center"/>
          </w:tcPr>
          <w:p w14:paraId="27558CEC">
            <w:pPr>
              <w:adjustRightInd w:val="0"/>
              <w:snapToGrid w:val="0"/>
              <w:jc w:val="center"/>
              <w:rPr>
                <w:rFonts w:hint="eastAsia" w:ascii="宋体" w:hAnsi="宋体" w:cs="宋体"/>
                <w:szCs w:val="21"/>
              </w:rPr>
            </w:pPr>
            <w:r>
              <w:rPr>
                <w:rFonts w:hint="eastAsia" w:ascii="宋体" w:hAnsi="宋体" w:cs="宋体"/>
                <w:szCs w:val="21"/>
              </w:rPr>
              <w:t>1、井下作业废液、压裂返排液</w:t>
            </w:r>
            <w:r>
              <w:rPr>
                <w:rFonts w:hint="eastAsia" w:ascii="宋体" w:hAnsi="宋体" w:cs="宋体"/>
                <w:snapToGrid w:val="0"/>
                <w:szCs w:val="21"/>
              </w:rPr>
              <w:t>定期拉运至春风一号联合站采出水处理系统处理，经处理达到</w:t>
            </w:r>
            <w:r>
              <w:rPr>
                <w:rFonts w:hint="eastAsia" w:ascii="宋体" w:hAnsi="宋体" w:cs="宋体"/>
                <w:szCs w:val="21"/>
              </w:rPr>
              <w:t>《碎屑岩油藏注水水质指标技术要求及分析方法》（SY/T 5329-2022）</w:t>
            </w:r>
            <w:r>
              <w:rPr>
                <w:rFonts w:hint="eastAsia" w:ascii="宋体" w:hAnsi="宋体" w:cs="宋体"/>
                <w:snapToGrid w:val="0"/>
                <w:szCs w:val="21"/>
              </w:rPr>
              <w:t>对应储层空气渗透率下的水质主要控制指标后回注含油层用于产能开发，不外排</w:t>
            </w:r>
            <w:r>
              <w:rPr>
                <w:rFonts w:hint="eastAsia" w:ascii="宋体" w:hAnsi="宋体" w:cs="宋体"/>
                <w:szCs w:val="21"/>
              </w:rPr>
              <w:t>；</w:t>
            </w:r>
          </w:p>
          <w:p w14:paraId="180C0FAE">
            <w:pPr>
              <w:adjustRightInd w:val="0"/>
              <w:snapToGrid w:val="0"/>
              <w:jc w:val="center"/>
              <w:rPr>
                <w:rFonts w:hint="eastAsia" w:ascii="宋体" w:hAnsi="宋体" w:cs="宋体"/>
                <w:szCs w:val="21"/>
              </w:rPr>
            </w:pPr>
            <w:r>
              <w:rPr>
                <w:rFonts w:hint="eastAsia" w:ascii="宋体" w:hAnsi="宋体" w:cs="宋体"/>
                <w:szCs w:val="21"/>
              </w:rPr>
              <w:t>2、井场设置环保厕所，用于接纳项目施工期生活污水，生活污水全部排至环保厕所，定期拉运至中石化新疆新春石油开发有限责任公司管理一区生活基地合理化处置；</w:t>
            </w:r>
          </w:p>
          <w:p w14:paraId="21C246CD">
            <w:pPr>
              <w:adjustRightInd w:val="0"/>
              <w:snapToGrid w:val="0"/>
              <w:jc w:val="center"/>
              <w:rPr>
                <w:rFonts w:hint="eastAsia" w:ascii="宋体" w:hAnsi="宋体" w:cs="宋体"/>
                <w:szCs w:val="21"/>
              </w:rPr>
            </w:pPr>
            <w:r>
              <w:rPr>
                <w:rFonts w:hint="eastAsia" w:ascii="宋体" w:hAnsi="宋体" w:cs="宋体"/>
                <w:szCs w:val="21"/>
              </w:rPr>
              <w:t>3、</w:t>
            </w:r>
            <w:r>
              <w:rPr>
                <w:rFonts w:hint="eastAsia"/>
              </w:rPr>
              <w:t>软水系统排水、锅炉排污水</w:t>
            </w:r>
            <w:r>
              <w:rPr>
                <w:rFonts w:hint="eastAsia"/>
                <w:snapToGrid w:val="0"/>
              </w:rPr>
              <w:t>经收集后直接作为脱硫塔补水使用，不外排。</w:t>
            </w:r>
          </w:p>
        </w:tc>
        <w:tc>
          <w:tcPr>
            <w:tcW w:w="2574" w:type="dxa"/>
            <w:vAlign w:val="center"/>
          </w:tcPr>
          <w:p w14:paraId="3522EFFA">
            <w:pPr>
              <w:adjustRightInd w:val="0"/>
              <w:snapToGrid w:val="0"/>
              <w:jc w:val="center"/>
              <w:rPr>
                <w:rFonts w:hint="eastAsia" w:ascii="宋体" w:hAnsi="宋体" w:cs="宋体"/>
                <w:szCs w:val="21"/>
              </w:rPr>
            </w:pPr>
            <w:r>
              <w:rPr>
                <w:rFonts w:hint="eastAsia" w:ascii="宋体" w:hAnsi="宋体" w:cs="宋体"/>
                <w:szCs w:val="21"/>
              </w:rPr>
              <w:t>1、井下作业废液、压裂返排液、生活污水拉运处置，达到《碎屑岩油藏注水水质指标技术要求及分析方法》（SY/T 5329-2022）后回注地层，无外排。</w:t>
            </w:r>
          </w:p>
          <w:p w14:paraId="185D2AEE">
            <w:pPr>
              <w:adjustRightInd w:val="0"/>
              <w:snapToGrid w:val="0"/>
              <w:jc w:val="center"/>
              <w:rPr>
                <w:rFonts w:hint="eastAsia" w:ascii="宋体" w:hAnsi="宋体" w:cs="宋体"/>
                <w:szCs w:val="21"/>
              </w:rPr>
            </w:pPr>
            <w:r>
              <w:rPr>
                <w:rFonts w:hint="eastAsia" w:ascii="宋体" w:hAnsi="宋体" w:cs="宋体"/>
                <w:szCs w:val="21"/>
              </w:rPr>
              <w:t>2、生活污水拉运处置，现场无遗留。</w:t>
            </w:r>
          </w:p>
          <w:p w14:paraId="4944AF86">
            <w:pPr>
              <w:adjustRightInd w:val="0"/>
              <w:snapToGrid w:val="0"/>
              <w:jc w:val="center"/>
              <w:rPr>
                <w:rFonts w:hint="eastAsia" w:ascii="宋体" w:hAnsi="宋体" w:cs="宋体"/>
                <w:szCs w:val="21"/>
              </w:rPr>
            </w:pPr>
            <w:r>
              <w:rPr>
                <w:rFonts w:hint="eastAsia" w:ascii="宋体" w:hAnsi="宋体" w:cs="宋体"/>
                <w:szCs w:val="21"/>
              </w:rPr>
              <w:t>3、</w:t>
            </w:r>
            <w:r>
              <w:rPr>
                <w:rFonts w:hint="eastAsia"/>
              </w:rPr>
              <w:t>软水系统排水、锅炉排污水全部回用</w:t>
            </w:r>
            <w:r>
              <w:rPr>
                <w:rFonts w:hint="eastAsia" w:ascii="宋体" w:hAnsi="宋体" w:cs="宋体"/>
                <w:szCs w:val="21"/>
              </w:rPr>
              <w:t>。</w:t>
            </w:r>
          </w:p>
          <w:p w14:paraId="6B0E70F5">
            <w:pPr>
              <w:adjustRightInd w:val="0"/>
              <w:snapToGrid w:val="0"/>
              <w:jc w:val="center"/>
              <w:rPr>
                <w:rFonts w:hint="eastAsia" w:ascii="宋体" w:hAnsi="宋体" w:cs="宋体"/>
                <w:szCs w:val="21"/>
              </w:rPr>
            </w:pPr>
            <w:r>
              <w:rPr>
                <w:rFonts w:hint="eastAsia" w:ascii="宋体" w:hAnsi="宋体" w:cs="宋体"/>
                <w:szCs w:val="21"/>
              </w:rPr>
              <w:t>4、项目无废水进入地表水环境。</w:t>
            </w:r>
          </w:p>
        </w:tc>
        <w:tc>
          <w:tcPr>
            <w:tcW w:w="414" w:type="pct"/>
            <w:vAlign w:val="center"/>
          </w:tcPr>
          <w:p w14:paraId="24105992">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2249058A">
            <w:pPr>
              <w:adjustRightInd w:val="0"/>
              <w:snapToGrid w:val="0"/>
              <w:jc w:val="center"/>
              <w:rPr>
                <w:rFonts w:hint="eastAsia" w:ascii="宋体" w:hAnsi="宋体" w:cs="宋体"/>
                <w:szCs w:val="21"/>
              </w:rPr>
            </w:pPr>
            <w:r>
              <w:rPr>
                <w:rFonts w:hint="eastAsia" w:ascii="宋体" w:hAnsi="宋体" w:cs="宋体"/>
                <w:szCs w:val="21"/>
              </w:rPr>
              <w:t>/</w:t>
            </w:r>
          </w:p>
        </w:tc>
      </w:tr>
      <w:tr w14:paraId="43E6E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14:paraId="7DD50C9E">
            <w:pPr>
              <w:adjustRightInd w:val="0"/>
              <w:snapToGrid w:val="0"/>
              <w:jc w:val="center"/>
              <w:rPr>
                <w:rFonts w:hint="eastAsia" w:ascii="宋体" w:hAnsi="宋体" w:cs="宋体"/>
                <w:szCs w:val="21"/>
              </w:rPr>
            </w:pPr>
            <w:r>
              <w:rPr>
                <w:rFonts w:hint="eastAsia" w:ascii="宋体" w:hAnsi="宋体" w:cs="宋体"/>
                <w:szCs w:val="21"/>
              </w:rPr>
              <w:t>地下水及土壤环境</w:t>
            </w:r>
          </w:p>
        </w:tc>
        <w:tc>
          <w:tcPr>
            <w:tcW w:w="2153" w:type="pct"/>
            <w:vAlign w:val="center"/>
          </w:tcPr>
          <w:p w14:paraId="71521703">
            <w:pPr>
              <w:adjustRightInd w:val="0"/>
              <w:snapToGrid w:val="0"/>
              <w:jc w:val="center"/>
              <w:rPr>
                <w:rFonts w:hint="eastAsia" w:ascii="宋体" w:hAnsi="宋体" w:cs="宋体"/>
                <w:szCs w:val="21"/>
              </w:rPr>
            </w:pPr>
            <w:r>
              <w:rPr>
                <w:rFonts w:hint="eastAsia" w:ascii="宋体" w:hAnsi="宋体" w:cs="宋体"/>
                <w:szCs w:val="21"/>
              </w:rPr>
              <w:t>1、井下作业废液、压裂返排液</w:t>
            </w:r>
            <w:r>
              <w:rPr>
                <w:rFonts w:hint="eastAsia" w:ascii="宋体" w:hAnsi="宋体" w:cs="宋体"/>
                <w:snapToGrid w:val="0"/>
                <w:szCs w:val="21"/>
              </w:rPr>
              <w:t>定期拉运至春风一号联合站采出水处理系统处理，经处理达到</w:t>
            </w:r>
            <w:r>
              <w:rPr>
                <w:rFonts w:hint="eastAsia" w:ascii="宋体" w:hAnsi="宋体" w:cs="宋体"/>
                <w:szCs w:val="21"/>
              </w:rPr>
              <w:t>《碎屑岩油藏注水水质指标技术要求及分析方法》（SY/T 5329-2022）</w:t>
            </w:r>
            <w:r>
              <w:rPr>
                <w:rFonts w:hint="eastAsia" w:ascii="宋体" w:hAnsi="宋体" w:cs="宋体"/>
                <w:snapToGrid w:val="0"/>
                <w:szCs w:val="21"/>
              </w:rPr>
              <w:t>对应储层空气渗透率下的水质主要控制指标后回注含油层用于产能开发，不外排</w:t>
            </w:r>
            <w:r>
              <w:rPr>
                <w:rFonts w:hint="eastAsia" w:ascii="宋体" w:hAnsi="宋体" w:cs="宋体"/>
                <w:szCs w:val="21"/>
              </w:rPr>
              <w:t>；</w:t>
            </w:r>
          </w:p>
          <w:p w14:paraId="7549B39D">
            <w:pPr>
              <w:adjustRightInd w:val="0"/>
              <w:snapToGrid w:val="0"/>
              <w:jc w:val="center"/>
              <w:rPr>
                <w:rFonts w:hint="eastAsia" w:ascii="宋体" w:hAnsi="宋体" w:cs="宋体"/>
                <w:szCs w:val="21"/>
              </w:rPr>
            </w:pPr>
            <w:r>
              <w:rPr>
                <w:rFonts w:hint="eastAsia" w:ascii="宋体" w:hAnsi="宋体" w:cs="宋体"/>
                <w:szCs w:val="21"/>
              </w:rPr>
              <w:t>2、井场设置环保厕所，用于接纳项目施工期生活污水，生活污水全部排至环保厕所，定期拉运至中石化新疆新春石油开发有限责任公司管理一区生活基地合理化处置；</w:t>
            </w:r>
          </w:p>
          <w:p w14:paraId="277C9309">
            <w:pPr>
              <w:adjustRightInd w:val="0"/>
              <w:snapToGrid w:val="0"/>
              <w:jc w:val="center"/>
              <w:rPr>
                <w:rFonts w:hint="eastAsia" w:ascii="宋体" w:hAnsi="宋体" w:cs="宋体"/>
                <w:szCs w:val="21"/>
              </w:rPr>
            </w:pPr>
            <w:r>
              <w:rPr>
                <w:rFonts w:hint="eastAsia" w:ascii="宋体" w:hAnsi="宋体" w:cs="宋体"/>
                <w:szCs w:val="21"/>
              </w:rPr>
              <w:t>3、采取分区防渗措施，加强井场防渗等级，避免钻井工程污染物入渗土壤及地下水环境</w:t>
            </w:r>
          </w:p>
        </w:tc>
        <w:tc>
          <w:tcPr>
            <w:tcW w:w="1510" w:type="pct"/>
            <w:vAlign w:val="center"/>
          </w:tcPr>
          <w:p w14:paraId="712183A1">
            <w:pPr>
              <w:adjustRightInd w:val="0"/>
              <w:snapToGrid w:val="0"/>
              <w:jc w:val="center"/>
              <w:rPr>
                <w:rFonts w:hint="eastAsia" w:ascii="宋体" w:hAnsi="宋体" w:cs="宋体"/>
                <w:szCs w:val="21"/>
              </w:rPr>
            </w:pPr>
            <w:r>
              <w:rPr>
                <w:rFonts w:hint="eastAsia" w:hAnsi="宋体"/>
              </w:rPr>
              <w:t>井下作业废液、压裂返排液、</w:t>
            </w:r>
            <w:r>
              <w:rPr>
                <w:rFonts w:hint="eastAsia" w:ascii="宋体" w:hAnsi="宋体" w:cs="宋体"/>
                <w:szCs w:val="21"/>
              </w:rPr>
              <w:t>生活污水拉运处置；现场无遗留，无废水进入地表水环境；</w:t>
            </w:r>
            <w:r>
              <w:rPr>
                <w:rFonts w:hint="eastAsia" w:hAnsi="宋体"/>
              </w:rPr>
              <w:t>井下作业废液</w:t>
            </w:r>
            <w:r>
              <w:rPr>
                <w:rFonts w:hint="eastAsia" w:ascii="宋体" w:hAnsi="宋体" w:cs="宋体"/>
                <w:szCs w:val="21"/>
              </w:rPr>
              <w:t>执行《碎屑岩油藏注水水质指标技术要求及分析方法》（SY/T</w:t>
            </w:r>
            <w:r>
              <w:rPr>
                <w:rFonts w:ascii="宋体" w:hAnsi="宋体" w:cs="宋体"/>
                <w:szCs w:val="21"/>
              </w:rPr>
              <w:t xml:space="preserve"> </w:t>
            </w:r>
            <w:r>
              <w:rPr>
                <w:rFonts w:hint="eastAsia" w:ascii="宋体" w:hAnsi="宋体" w:cs="宋体"/>
                <w:szCs w:val="21"/>
              </w:rPr>
              <w:t>5329-2022）；采取分区防渗措施，避免钻井工程污染物入渗土壤及地下水环境</w:t>
            </w:r>
          </w:p>
        </w:tc>
        <w:tc>
          <w:tcPr>
            <w:tcW w:w="414" w:type="pct"/>
            <w:vAlign w:val="center"/>
          </w:tcPr>
          <w:p w14:paraId="2DC39CA5">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445D21CF">
            <w:pPr>
              <w:adjustRightInd w:val="0"/>
              <w:snapToGrid w:val="0"/>
              <w:jc w:val="center"/>
              <w:rPr>
                <w:rFonts w:hint="eastAsia" w:ascii="宋体" w:hAnsi="宋体" w:cs="宋体"/>
                <w:szCs w:val="21"/>
              </w:rPr>
            </w:pPr>
            <w:r>
              <w:rPr>
                <w:rFonts w:hint="eastAsia" w:ascii="宋体" w:hAnsi="宋体" w:cs="宋体"/>
                <w:szCs w:val="21"/>
              </w:rPr>
              <w:t>/</w:t>
            </w:r>
          </w:p>
        </w:tc>
      </w:tr>
      <w:tr w14:paraId="00F23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14:paraId="0B54D4A5">
            <w:pPr>
              <w:adjustRightInd w:val="0"/>
              <w:snapToGrid w:val="0"/>
              <w:jc w:val="center"/>
              <w:rPr>
                <w:rFonts w:hint="eastAsia" w:ascii="宋体" w:hAnsi="宋体" w:cs="宋体"/>
                <w:szCs w:val="21"/>
              </w:rPr>
            </w:pPr>
            <w:r>
              <w:rPr>
                <w:rFonts w:hint="eastAsia" w:ascii="宋体" w:hAnsi="宋体" w:cs="宋体"/>
                <w:szCs w:val="21"/>
              </w:rPr>
              <w:t>声环境</w:t>
            </w:r>
          </w:p>
        </w:tc>
        <w:tc>
          <w:tcPr>
            <w:tcW w:w="2153" w:type="pct"/>
            <w:vAlign w:val="center"/>
          </w:tcPr>
          <w:p w14:paraId="506E6966">
            <w:pPr>
              <w:adjustRightInd w:val="0"/>
              <w:snapToGrid w:val="0"/>
              <w:jc w:val="center"/>
              <w:rPr>
                <w:rFonts w:hint="eastAsia" w:ascii="宋体" w:hAnsi="宋体" w:cs="宋体"/>
                <w:szCs w:val="21"/>
              </w:rPr>
            </w:pPr>
            <w:r>
              <w:rPr>
                <w:rFonts w:hint="eastAsia" w:ascii="宋体" w:hAnsi="宋体" w:cs="宋体"/>
                <w:szCs w:val="21"/>
              </w:rPr>
              <w:t>1、合理布局钻井现场，</w:t>
            </w:r>
            <w:r>
              <w:rPr>
                <w:rFonts w:ascii="宋体" w:hAnsi="宋体" w:cs="宋体"/>
                <w:szCs w:val="21"/>
              </w:rPr>
              <w:t>尽量</w:t>
            </w:r>
            <w:r>
              <w:rPr>
                <w:rFonts w:hint="eastAsia" w:ascii="宋体" w:hAnsi="宋体" w:cs="宋体"/>
                <w:szCs w:val="21"/>
              </w:rPr>
              <w:t>选用低噪声设备。</w:t>
            </w:r>
          </w:p>
          <w:p w14:paraId="36CE5562">
            <w:pPr>
              <w:adjustRightInd w:val="0"/>
              <w:snapToGrid w:val="0"/>
              <w:jc w:val="center"/>
              <w:rPr>
                <w:rFonts w:hint="eastAsia" w:ascii="宋体" w:hAnsi="宋体" w:cs="宋体"/>
                <w:szCs w:val="21"/>
              </w:rPr>
            </w:pPr>
            <w:r>
              <w:rPr>
                <w:rFonts w:hint="eastAsia" w:ascii="宋体" w:hAnsi="宋体" w:cs="宋体"/>
                <w:szCs w:val="21"/>
              </w:rPr>
              <w:t>2、制定施工计划时，尽可能避免大量高噪声设备同时施工。同时，高噪声设备施工时间尽量安排在昼间。</w:t>
            </w:r>
          </w:p>
          <w:p w14:paraId="24AE5696">
            <w:pPr>
              <w:adjustRightInd w:val="0"/>
              <w:snapToGrid w:val="0"/>
              <w:jc w:val="center"/>
              <w:rPr>
                <w:rFonts w:hint="eastAsia" w:ascii="宋体" w:hAnsi="宋体" w:cs="宋体"/>
                <w:szCs w:val="21"/>
              </w:rPr>
            </w:pPr>
            <w:r>
              <w:rPr>
                <w:rFonts w:hint="eastAsia" w:ascii="宋体" w:hAnsi="宋体" w:cs="宋体"/>
                <w:szCs w:val="21"/>
              </w:rPr>
              <w:t>3、加强施工管理和设备维护，发现设备存在的问题及时维修，保证设备正常运转；整体设备要安放稳固，并与地面保持良好接触，有条件的应使用减振机座，柴油机、发电机和各种机泵等要安装消声隔声设施，最大限度地降低噪声源的噪声。</w:t>
            </w:r>
          </w:p>
          <w:p w14:paraId="4F3C84FE">
            <w:pPr>
              <w:adjustRightInd w:val="0"/>
              <w:snapToGrid w:val="0"/>
              <w:jc w:val="center"/>
              <w:rPr>
                <w:rFonts w:hint="eastAsia" w:ascii="宋体" w:hAnsi="宋体" w:cs="宋体"/>
                <w:szCs w:val="21"/>
              </w:rPr>
            </w:pPr>
            <w:r>
              <w:rPr>
                <w:rFonts w:hint="eastAsia" w:ascii="宋体" w:hAnsi="宋体" w:cs="宋体"/>
                <w:szCs w:val="21"/>
              </w:rPr>
              <w:t>4、加强对运输车辆的管理及疏导，尽量压缩施工区汽车数量和行车密度，控制汽车鸣笛</w:t>
            </w:r>
          </w:p>
        </w:tc>
        <w:tc>
          <w:tcPr>
            <w:tcW w:w="1510" w:type="pct"/>
            <w:vAlign w:val="center"/>
          </w:tcPr>
          <w:p w14:paraId="5FC6EF92">
            <w:pPr>
              <w:adjustRightInd w:val="0"/>
              <w:snapToGrid w:val="0"/>
              <w:jc w:val="center"/>
              <w:rPr>
                <w:rFonts w:hint="eastAsia" w:ascii="宋体" w:hAnsi="宋体" w:cs="宋体"/>
                <w:szCs w:val="21"/>
              </w:rPr>
            </w:pPr>
            <w:r>
              <w:rPr>
                <w:rFonts w:hint="eastAsia" w:ascii="宋体" w:hAnsi="宋体" w:cs="宋体"/>
                <w:szCs w:val="21"/>
              </w:rPr>
              <w:t>严格落实噪声措施，</w:t>
            </w:r>
            <w:r>
              <w:rPr>
                <w:rFonts w:ascii="宋体" w:hAnsi="宋体" w:cs="宋体"/>
                <w:szCs w:val="21"/>
              </w:rPr>
              <w:t>施工期无噪声扰民环保投诉</w:t>
            </w:r>
            <w:r>
              <w:rPr>
                <w:rFonts w:hint="eastAsia" w:ascii="宋体" w:hAnsi="宋体" w:cs="宋体"/>
                <w:szCs w:val="21"/>
              </w:rPr>
              <w:t>；执行《建筑施工场界环境噪声排放标准》（GB</w:t>
            </w:r>
            <w:r>
              <w:rPr>
                <w:rFonts w:ascii="宋体" w:hAnsi="宋体" w:cs="宋体"/>
                <w:szCs w:val="21"/>
              </w:rPr>
              <w:t xml:space="preserve"> </w:t>
            </w:r>
            <w:r>
              <w:rPr>
                <w:rFonts w:hint="eastAsia" w:ascii="宋体" w:hAnsi="宋体" w:cs="宋体"/>
                <w:szCs w:val="21"/>
              </w:rPr>
              <w:t>12523-2011）限值要求</w:t>
            </w:r>
          </w:p>
        </w:tc>
        <w:tc>
          <w:tcPr>
            <w:tcW w:w="414" w:type="pct"/>
            <w:vAlign w:val="center"/>
          </w:tcPr>
          <w:p w14:paraId="6DE19212">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01ADBB2C">
            <w:pPr>
              <w:adjustRightInd w:val="0"/>
              <w:snapToGrid w:val="0"/>
              <w:jc w:val="center"/>
              <w:rPr>
                <w:rFonts w:hint="eastAsia" w:ascii="宋体" w:hAnsi="宋体" w:cs="宋体"/>
                <w:szCs w:val="21"/>
              </w:rPr>
            </w:pPr>
            <w:r>
              <w:rPr>
                <w:rFonts w:hint="eastAsia" w:ascii="宋体" w:hAnsi="宋体" w:cs="宋体"/>
                <w:szCs w:val="21"/>
              </w:rPr>
              <w:t>/</w:t>
            </w:r>
          </w:p>
        </w:tc>
      </w:tr>
      <w:tr w14:paraId="468D9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14:paraId="67971417">
            <w:pPr>
              <w:adjustRightInd w:val="0"/>
              <w:snapToGrid w:val="0"/>
              <w:jc w:val="center"/>
              <w:rPr>
                <w:rFonts w:hint="eastAsia" w:ascii="宋体" w:hAnsi="宋体" w:cs="宋体"/>
                <w:szCs w:val="21"/>
              </w:rPr>
            </w:pPr>
            <w:r>
              <w:rPr>
                <w:rFonts w:hint="eastAsia" w:ascii="宋体" w:hAnsi="宋体" w:cs="宋体"/>
                <w:szCs w:val="21"/>
              </w:rPr>
              <w:t>振动</w:t>
            </w:r>
          </w:p>
        </w:tc>
        <w:tc>
          <w:tcPr>
            <w:tcW w:w="2153" w:type="pct"/>
            <w:vAlign w:val="center"/>
          </w:tcPr>
          <w:p w14:paraId="29EAB1D5">
            <w:pPr>
              <w:adjustRightInd w:val="0"/>
              <w:snapToGrid w:val="0"/>
              <w:jc w:val="center"/>
              <w:rPr>
                <w:rFonts w:hint="eastAsia" w:ascii="宋体" w:hAnsi="宋体" w:cs="宋体"/>
                <w:szCs w:val="21"/>
              </w:rPr>
            </w:pPr>
            <w:r>
              <w:rPr>
                <w:rFonts w:hint="eastAsia" w:ascii="宋体" w:hAnsi="宋体" w:cs="宋体"/>
                <w:szCs w:val="21"/>
              </w:rPr>
              <w:t>/</w:t>
            </w:r>
          </w:p>
        </w:tc>
        <w:tc>
          <w:tcPr>
            <w:tcW w:w="1510" w:type="pct"/>
            <w:vAlign w:val="center"/>
          </w:tcPr>
          <w:p w14:paraId="2BB50C4D">
            <w:pPr>
              <w:adjustRightInd w:val="0"/>
              <w:snapToGrid w:val="0"/>
              <w:jc w:val="center"/>
              <w:rPr>
                <w:rFonts w:hint="eastAsia" w:ascii="宋体" w:hAnsi="宋体" w:cs="宋体"/>
                <w:szCs w:val="21"/>
              </w:rPr>
            </w:pPr>
            <w:r>
              <w:rPr>
                <w:rFonts w:hint="eastAsia" w:ascii="宋体" w:hAnsi="宋体" w:cs="宋体"/>
                <w:szCs w:val="21"/>
              </w:rPr>
              <w:t>/</w:t>
            </w:r>
          </w:p>
        </w:tc>
        <w:tc>
          <w:tcPr>
            <w:tcW w:w="414" w:type="pct"/>
            <w:vAlign w:val="center"/>
          </w:tcPr>
          <w:p w14:paraId="5BA5AA3B">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7D80857A">
            <w:pPr>
              <w:adjustRightInd w:val="0"/>
              <w:snapToGrid w:val="0"/>
              <w:jc w:val="center"/>
              <w:rPr>
                <w:rFonts w:hint="eastAsia" w:ascii="宋体" w:hAnsi="宋体" w:cs="宋体"/>
                <w:szCs w:val="21"/>
              </w:rPr>
            </w:pPr>
            <w:r>
              <w:rPr>
                <w:rFonts w:hint="eastAsia" w:ascii="宋体" w:hAnsi="宋体" w:cs="宋体"/>
                <w:szCs w:val="21"/>
              </w:rPr>
              <w:t>/</w:t>
            </w:r>
          </w:p>
        </w:tc>
      </w:tr>
      <w:tr w14:paraId="0D686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14:paraId="40DA4057">
            <w:pPr>
              <w:adjustRightInd w:val="0"/>
              <w:snapToGrid w:val="0"/>
              <w:jc w:val="center"/>
              <w:rPr>
                <w:rFonts w:hint="eastAsia" w:ascii="宋体" w:hAnsi="宋体" w:cs="宋体"/>
                <w:szCs w:val="21"/>
              </w:rPr>
            </w:pPr>
            <w:r>
              <w:rPr>
                <w:rFonts w:hint="eastAsia" w:ascii="宋体" w:hAnsi="宋体" w:cs="宋体"/>
                <w:szCs w:val="21"/>
              </w:rPr>
              <w:t>大气环境</w:t>
            </w:r>
          </w:p>
        </w:tc>
        <w:tc>
          <w:tcPr>
            <w:tcW w:w="3670" w:type="dxa"/>
            <w:vAlign w:val="center"/>
          </w:tcPr>
          <w:p w14:paraId="0FE32D1D">
            <w:pPr>
              <w:adjustRightInd w:val="0"/>
              <w:snapToGrid w:val="0"/>
              <w:jc w:val="center"/>
              <w:rPr>
                <w:rFonts w:hint="eastAsia" w:ascii="宋体" w:hAnsi="宋体" w:cs="宋体"/>
                <w:szCs w:val="21"/>
              </w:rPr>
            </w:pPr>
            <w:r>
              <w:rPr>
                <w:rFonts w:hint="eastAsia" w:ascii="宋体" w:hAnsi="宋体" w:cs="宋体"/>
                <w:szCs w:val="21"/>
              </w:rPr>
              <w:t>1、使用合格油品；加强施工管理，尽可能缩短施工周期；</w:t>
            </w:r>
          </w:p>
          <w:p w14:paraId="19466D68">
            <w:pPr>
              <w:adjustRightInd w:val="0"/>
              <w:snapToGrid w:val="0"/>
              <w:jc w:val="center"/>
              <w:rPr>
                <w:rFonts w:hint="eastAsia" w:ascii="宋体" w:hAnsi="宋体" w:cs="宋体"/>
                <w:szCs w:val="21"/>
              </w:rPr>
            </w:pPr>
            <w:r>
              <w:rPr>
                <w:rFonts w:hint="eastAsia" w:ascii="宋体" w:hAnsi="宋体" w:cs="宋体"/>
                <w:szCs w:val="21"/>
              </w:rPr>
              <w:t>2、伴生气通过放喷池放喷；</w:t>
            </w:r>
          </w:p>
          <w:p w14:paraId="3DDFE747">
            <w:pPr>
              <w:adjustRightInd w:val="0"/>
              <w:snapToGrid w:val="0"/>
              <w:jc w:val="center"/>
              <w:rPr>
                <w:rFonts w:hint="eastAsia" w:ascii="宋体" w:hAnsi="宋体" w:cs="宋体"/>
                <w:szCs w:val="21"/>
              </w:rPr>
            </w:pPr>
            <w:r>
              <w:rPr>
                <w:rFonts w:hint="eastAsia" w:ascii="宋体" w:hAnsi="宋体" w:cs="宋体"/>
                <w:szCs w:val="21"/>
              </w:rPr>
              <w:t>3、采用密闭柴油储罐，保证设施正常运行，加强管理；</w:t>
            </w:r>
          </w:p>
          <w:p w14:paraId="51B866FC">
            <w:pPr>
              <w:adjustRightInd w:val="0"/>
              <w:snapToGrid w:val="0"/>
              <w:jc w:val="center"/>
              <w:rPr>
                <w:rFonts w:hint="eastAsia" w:ascii="宋体" w:hAnsi="宋体" w:cs="宋体"/>
                <w:szCs w:val="21"/>
              </w:rPr>
            </w:pPr>
            <w:r>
              <w:rPr>
                <w:rFonts w:hint="eastAsia" w:ascii="宋体" w:hAnsi="宋体" w:cs="宋体"/>
                <w:szCs w:val="21"/>
              </w:rPr>
              <w:t>4、</w:t>
            </w:r>
            <w:r>
              <w:rPr>
                <w:rFonts w:hint="eastAsia" w:ascii="宋体" w:hAnsi="宋体"/>
                <w:bCs/>
              </w:rPr>
              <w:t>生物质锅炉废气经低氮燃烧+SNCR炉内脱硝+袋式除尘+脱硫塔脱硫工艺处理后由1根15m高内径0.27m排气筒排放</w:t>
            </w:r>
          </w:p>
        </w:tc>
        <w:tc>
          <w:tcPr>
            <w:tcW w:w="2574" w:type="dxa"/>
            <w:vAlign w:val="center"/>
          </w:tcPr>
          <w:p w14:paraId="2A53A35F">
            <w:pPr>
              <w:adjustRightInd w:val="0"/>
              <w:snapToGrid w:val="0"/>
              <w:jc w:val="center"/>
              <w:rPr>
                <w:rFonts w:hint="eastAsia" w:ascii="宋体" w:hAnsi="宋体" w:cs="宋体"/>
                <w:szCs w:val="21"/>
              </w:rPr>
            </w:pPr>
            <w:r>
              <w:rPr>
                <w:rFonts w:hint="eastAsia" w:ascii="宋体" w:hAnsi="宋体" w:cs="宋体"/>
                <w:szCs w:val="21"/>
              </w:rPr>
              <w:t>落实废气环境保护措施；无固定、长期污染源，区域环境功能未发生改变；锅炉废气</w:t>
            </w:r>
            <w:r>
              <w:rPr>
                <w:rFonts w:hint="eastAsia" w:ascii="宋体" w:hAnsi="宋体"/>
                <w:bCs/>
              </w:rPr>
              <w:t>排放</w:t>
            </w:r>
            <w:r>
              <w:rPr>
                <w:rFonts w:hint="eastAsia" w:ascii="宋体" w:hAnsi="宋体"/>
              </w:rPr>
              <w:t>达到《锅炉大气污染物排放标准》（GB 13271-2014）表2中燃气锅炉大气污染物排放限值要求，项目锅炉配套建设1台袋式除尘器，1座脱硫塔，废气</w:t>
            </w:r>
            <w:r>
              <w:rPr>
                <w:rFonts w:hint="eastAsia"/>
                <w:bCs/>
              </w:rPr>
              <w:t>氮氧化物去除效</w:t>
            </w:r>
            <w:r>
              <w:rPr>
                <w:rFonts w:hint="eastAsia" w:ascii="宋体" w:hAnsi="宋体"/>
                <w:bCs/>
              </w:rPr>
              <w:t>率达到45.4%，颗粒物去除效率达到99.7%，SO</w:t>
            </w:r>
            <w:r>
              <w:rPr>
                <w:rFonts w:hint="eastAsia" w:ascii="宋体" w:hAnsi="宋体"/>
                <w:bCs/>
                <w:vertAlign w:val="subscript"/>
              </w:rPr>
              <w:t>2</w:t>
            </w:r>
            <w:r>
              <w:rPr>
                <w:rFonts w:hint="eastAsia" w:ascii="宋体" w:hAnsi="宋体"/>
                <w:bCs/>
              </w:rPr>
              <w:t>去除率达到90%。</w:t>
            </w:r>
          </w:p>
        </w:tc>
        <w:tc>
          <w:tcPr>
            <w:tcW w:w="414" w:type="pct"/>
            <w:vAlign w:val="center"/>
          </w:tcPr>
          <w:p w14:paraId="65AF3479">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0D7CF24F">
            <w:pPr>
              <w:adjustRightInd w:val="0"/>
              <w:snapToGrid w:val="0"/>
              <w:jc w:val="center"/>
              <w:rPr>
                <w:rFonts w:hint="eastAsia" w:ascii="宋体" w:hAnsi="宋体" w:cs="宋体"/>
                <w:szCs w:val="21"/>
              </w:rPr>
            </w:pPr>
            <w:r>
              <w:rPr>
                <w:rFonts w:hint="eastAsia" w:ascii="宋体" w:hAnsi="宋体" w:cs="宋体"/>
                <w:szCs w:val="21"/>
              </w:rPr>
              <w:t>/</w:t>
            </w:r>
          </w:p>
        </w:tc>
      </w:tr>
      <w:tr w14:paraId="571F6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6" w:hRule="atLeast"/>
          <w:jc w:val="center"/>
        </w:trPr>
        <w:tc>
          <w:tcPr>
            <w:tcW w:w="642" w:type="pct"/>
            <w:vAlign w:val="center"/>
          </w:tcPr>
          <w:p w14:paraId="793E0B09">
            <w:pPr>
              <w:adjustRightInd w:val="0"/>
              <w:snapToGrid w:val="0"/>
              <w:jc w:val="center"/>
              <w:rPr>
                <w:rFonts w:hint="eastAsia" w:ascii="宋体" w:hAnsi="宋体" w:cs="宋体"/>
                <w:szCs w:val="21"/>
              </w:rPr>
            </w:pPr>
            <w:r>
              <w:rPr>
                <w:rFonts w:hint="eastAsia" w:ascii="宋体" w:hAnsi="宋体" w:cs="宋体"/>
                <w:szCs w:val="21"/>
              </w:rPr>
              <w:t>固体废物</w:t>
            </w:r>
          </w:p>
        </w:tc>
        <w:tc>
          <w:tcPr>
            <w:tcW w:w="3670" w:type="dxa"/>
            <w:vAlign w:val="center"/>
          </w:tcPr>
          <w:p w14:paraId="5C3A5CAB">
            <w:pPr>
              <w:adjustRightInd w:val="0"/>
              <w:snapToGrid w:val="0"/>
              <w:jc w:val="center"/>
              <w:rPr>
                <w:rFonts w:hint="eastAsia" w:ascii="宋体" w:hAnsi="宋体" w:cs="宋体"/>
                <w:szCs w:val="21"/>
              </w:rPr>
            </w:pPr>
            <w:r>
              <w:rPr>
                <w:rFonts w:hint="eastAsia" w:ascii="宋体" w:hAnsi="宋体" w:cs="宋体"/>
                <w:szCs w:val="21"/>
              </w:rPr>
              <w:t>1、钻井固废交由专业单位无害化处置；</w:t>
            </w:r>
          </w:p>
          <w:p w14:paraId="4601E476">
            <w:pPr>
              <w:adjustRightInd w:val="0"/>
              <w:snapToGrid w:val="0"/>
              <w:jc w:val="center"/>
            </w:pPr>
            <w:r>
              <w:rPr>
                <w:rFonts w:hint="eastAsia" w:ascii="宋体" w:hAnsi="宋体" w:cs="宋体"/>
                <w:szCs w:val="21"/>
              </w:rPr>
              <w:t>2、废沾油防渗材料正常情况循环利用，使用过程中如产生不可利用的废沾油防渗材料，</w:t>
            </w:r>
            <w:r>
              <w:rPr>
                <w:rFonts w:hint="eastAsia"/>
              </w:rPr>
              <w:t>和废润滑油、废润滑油桶、</w:t>
            </w:r>
            <w:r>
              <w:rPr>
                <w:rFonts w:hint="eastAsia"/>
                <w:szCs w:val="21"/>
              </w:rPr>
              <w:t>废弃的含油抹布、劳保用品</w:t>
            </w:r>
            <w:r>
              <w:rPr>
                <w:rStyle w:val="37"/>
                <w:rFonts w:hint="eastAsia" w:ascii="Calibri" w:hAnsi="Calibri"/>
              </w:rPr>
              <w:t>委托有危废处理资质的单位处理</w:t>
            </w:r>
            <w:r>
              <w:rPr>
                <w:rFonts w:hint="eastAsia"/>
              </w:rPr>
              <w:t>；</w:t>
            </w:r>
          </w:p>
          <w:p w14:paraId="51A662A0">
            <w:pPr>
              <w:adjustRightInd w:val="0"/>
              <w:snapToGrid w:val="0"/>
              <w:jc w:val="center"/>
              <w:rPr>
                <w:rFonts w:hint="eastAsia" w:ascii="宋体" w:hAnsi="宋体" w:cs="宋体"/>
                <w:szCs w:val="21"/>
              </w:rPr>
            </w:pPr>
            <w:r>
              <w:rPr>
                <w:rFonts w:hint="eastAsia" w:ascii="宋体" w:hAnsi="宋体"/>
              </w:rPr>
              <w:t>3、</w:t>
            </w:r>
            <w:r>
              <w:rPr>
                <w:rStyle w:val="37"/>
                <w:rFonts w:hint="eastAsia" w:ascii="宋体" w:hAnsi="宋体"/>
              </w:rPr>
              <w:t>废弃包装物中属于危险废物的交由有资质的危废处置单位进行处理，属于一般固废的由供货厂家回收利用</w:t>
            </w:r>
          </w:p>
          <w:p w14:paraId="77227335">
            <w:pPr>
              <w:adjustRightInd w:val="0"/>
              <w:snapToGrid w:val="0"/>
              <w:jc w:val="center"/>
              <w:rPr>
                <w:rFonts w:hint="eastAsia" w:ascii="宋体" w:hAnsi="宋体"/>
                <w:snapToGrid w:val="0"/>
              </w:rPr>
            </w:pPr>
            <w:r>
              <w:rPr>
                <w:rFonts w:hint="eastAsia" w:ascii="宋体" w:hAnsi="宋体" w:cs="宋体"/>
                <w:szCs w:val="21"/>
              </w:rPr>
              <w:t>4、</w:t>
            </w:r>
            <w:r>
              <w:rPr>
                <w:rFonts w:hint="eastAsia" w:ascii="宋体" w:hAnsi="宋体"/>
              </w:rPr>
              <w:t>生活垃圾集中在生活垃圾收集箱内，</w:t>
            </w:r>
            <w:r>
              <w:rPr>
                <w:rFonts w:hint="eastAsia" w:ascii="宋体" w:hAnsi="宋体"/>
                <w:snapToGrid w:val="0"/>
              </w:rPr>
              <w:t>交由环卫部门统一处理；</w:t>
            </w:r>
          </w:p>
          <w:p w14:paraId="7FAAA559">
            <w:pPr>
              <w:adjustRightInd w:val="0"/>
              <w:snapToGrid w:val="0"/>
              <w:jc w:val="center"/>
              <w:rPr>
                <w:rFonts w:hint="eastAsia" w:ascii="宋体" w:hAnsi="宋体" w:cs="宋体"/>
                <w:szCs w:val="21"/>
              </w:rPr>
            </w:pPr>
            <w:r>
              <w:rPr>
                <w:rFonts w:hint="eastAsia" w:ascii="宋体" w:hAnsi="宋体"/>
                <w:snapToGrid w:val="0"/>
              </w:rPr>
              <w:t>5、</w:t>
            </w:r>
            <w:r>
              <w:rPr>
                <w:rStyle w:val="37"/>
                <w:rFonts w:hint="eastAsia" w:ascii="宋体" w:hAnsi="宋体"/>
              </w:rPr>
              <w:t>锅炉炉渣、</w:t>
            </w:r>
            <w:r>
              <w:rPr>
                <w:rFonts w:hint="eastAsia" w:ascii="宋体" w:hAnsi="宋体"/>
              </w:rPr>
              <w:t>袋式除尘器截获的粉尘、脱硫石膏经收集后暂存于井场一般固废暂存间内，定期运输外售给有相关需求的厂家。</w:t>
            </w:r>
          </w:p>
        </w:tc>
        <w:tc>
          <w:tcPr>
            <w:tcW w:w="2574" w:type="dxa"/>
            <w:vAlign w:val="center"/>
          </w:tcPr>
          <w:p w14:paraId="50963327">
            <w:pPr>
              <w:adjustRightInd w:val="0"/>
              <w:snapToGrid w:val="0"/>
              <w:jc w:val="center"/>
              <w:rPr>
                <w:rFonts w:hint="eastAsia" w:ascii="宋体" w:hAnsi="宋体" w:cs="宋体"/>
                <w:szCs w:val="21"/>
              </w:rPr>
            </w:pPr>
            <w:r>
              <w:rPr>
                <w:rFonts w:hint="eastAsia" w:ascii="宋体" w:hAnsi="宋体" w:cs="宋体"/>
                <w:szCs w:val="21"/>
              </w:rPr>
              <w:t>固体废物全部委托处置，施工现场无遗留；</w:t>
            </w:r>
          </w:p>
          <w:p w14:paraId="2D3547B2">
            <w:pPr>
              <w:adjustRightInd w:val="0"/>
              <w:snapToGrid w:val="0"/>
              <w:jc w:val="center"/>
              <w:rPr>
                <w:rFonts w:hint="eastAsia" w:ascii="宋体" w:hAnsi="宋体" w:cs="宋体"/>
                <w:szCs w:val="21"/>
              </w:rPr>
            </w:pPr>
            <w:r>
              <w:rPr>
                <w:rFonts w:hint="eastAsia" w:ascii="宋体" w:hAnsi="宋体" w:cs="宋体"/>
                <w:szCs w:val="21"/>
              </w:rPr>
              <w:t>一般工业固体废物执行《一般工业固体废物贮存和填埋污染控制标准》（GB 18599-2020）；处理后的钻井固废执行《油气田钻井固体废物综合利用污染控制要求》（DB65/T 3997-2017）；</w:t>
            </w:r>
          </w:p>
          <w:p w14:paraId="700C3A0C">
            <w:pPr>
              <w:adjustRightInd w:val="0"/>
              <w:snapToGrid w:val="0"/>
              <w:jc w:val="center"/>
              <w:rPr>
                <w:rFonts w:hint="eastAsia" w:ascii="宋体" w:hAnsi="宋体" w:cs="宋体"/>
                <w:szCs w:val="21"/>
              </w:rPr>
            </w:pPr>
            <w:r>
              <w:rPr>
                <w:rFonts w:hint="eastAsia" w:ascii="宋体" w:hAnsi="宋体" w:cs="宋体"/>
                <w:szCs w:val="21"/>
              </w:rPr>
              <w:t>危险废物执行《危险废物贮存污染控制标准》（GB 18597-2023）</w:t>
            </w:r>
          </w:p>
        </w:tc>
        <w:tc>
          <w:tcPr>
            <w:tcW w:w="414" w:type="pct"/>
            <w:vAlign w:val="center"/>
          </w:tcPr>
          <w:p w14:paraId="201BDC04">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67D45074">
            <w:pPr>
              <w:adjustRightInd w:val="0"/>
              <w:snapToGrid w:val="0"/>
              <w:jc w:val="center"/>
              <w:rPr>
                <w:rFonts w:hint="eastAsia" w:ascii="宋体" w:hAnsi="宋体" w:cs="宋体"/>
                <w:szCs w:val="21"/>
              </w:rPr>
            </w:pPr>
            <w:r>
              <w:rPr>
                <w:rFonts w:hint="eastAsia" w:ascii="宋体" w:hAnsi="宋体" w:cs="宋体"/>
                <w:szCs w:val="21"/>
              </w:rPr>
              <w:t>/</w:t>
            </w:r>
          </w:p>
        </w:tc>
      </w:tr>
      <w:tr w14:paraId="08BD0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42" w:type="pct"/>
            <w:vAlign w:val="center"/>
          </w:tcPr>
          <w:p w14:paraId="6B6CD768">
            <w:pPr>
              <w:adjustRightInd w:val="0"/>
              <w:snapToGrid w:val="0"/>
              <w:jc w:val="center"/>
              <w:rPr>
                <w:rFonts w:hint="eastAsia" w:ascii="宋体" w:hAnsi="宋体" w:cs="宋体"/>
                <w:szCs w:val="21"/>
              </w:rPr>
            </w:pPr>
            <w:r>
              <w:rPr>
                <w:rFonts w:hint="eastAsia" w:ascii="宋体" w:hAnsi="宋体" w:cs="宋体"/>
                <w:szCs w:val="21"/>
              </w:rPr>
              <w:t>电磁环境</w:t>
            </w:r>
          </w:p>
        </w:tc>
        <w:tc>
          <w:tcPr>
            <w:tcW w:w="2153" w:type="pct"/>
            <w:vAlign w:val="center"/>
          </w:tcPr>
          <w:p w14:paraId="4990A7EB">
            <w:pPr>
              <w:adjustRightInd w:val="0"/>
              <w:snapToGrid w:val="0"/>
              <w:jc w:val="center"/>
              <w:rPr>
                <w:rFonts w:hint="eastAsia" w:ascii="宋体" w:hAnsi="宋体" w:cs="宋体"/>
                <w:szCs w:val="21"/>
              </w:rPr>
            </w:pPr>
            <w:r>
              <w:rPr>
                <w:rFonts w:hint="eastAsia" w:ascii="宋体" w:hAnsi="宋体" w:cs="宋体"/>
                <w:szCs w:val="21"/>
              </w:rPr>
              <w:t>/</w:t>
            </w:r>
          </w:p>
        </w:tc>
        <w:tc>
          <w:tcPr>
            <w:tcW w:w="1510" w:type="pct"/>
            <w:vAlign w:val="center"/>
          </w:tcPr>
          <w:p w14:paraId="4D86B504">
            <w:pPr>
              <w:adjustRightInd w:val="0"/>
              <w:snapToGrid w:val="0"/>
              <w:jc w:val="center"/>
              <w:rPr>
                <w:rFonts w:hint="eastAsia" w:ascii="宋体" w:hAnsi="宋体" w:cs="宋体"/>
                <w:szCs w:val="21"/>
              </w:rPr>
            </w:pPr>
            <w:r>
              <w:rPr>
                <w:rFonts w:hint="eastAsia" w:ascii="宋体" w:hAnsi="宋体" w:cs="宋体"/>
                <w:szCs w:val="21"/>
              </w:rPr>
              <w:t>/</w:t>
            </w:r>
          </w:p>
        </w:tc>
        <w:tc>
          <w:tcPr>
            <w:tcW w:w="414" w:type="pct"/>
            <w:vAlign w:val="center"/>
          </w:tcPr>
          <w:p w14:paraId="43DB41B4">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4D747BC5">
            <w:pPr>
              <w:adjustRightInd w:val="0"/>
              <w:snapToGrid w:val="0"/>
              <w:jc w:val="center"/>
              <w:rPr>
                <w:rFonts w:hint="eastAsia" w:ascii="宋体" w:hAnsi="宋体" w:cs="宋体"/>
                <w:szCs w:val="21"/>
              </w:rPr>
            </w:pPr>
            <w:r>
              <w:rPr>
                <w:rFonts w:hint="eastAsia" w:ascii="宋体" w:hAnsi="宋体" w:cs="宋体"/>
                <w:szCs w:val="21"/>
              </w:rPr>
              <w:t>/</w:t>
            </w:r>
          </w:p>
        </w:tc>
      </w:tr>
      <w:tr w14:paraId="345C5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642" w:type="pct"/>
            <w:vAlign w:val="center"/>
          </w:tcPr>
          <w:p w14:paraId="567CED5C">
            <w:pPr>
              <w:adjustRightInd w:val="0"/>
              <w:snapToGrid w:val="0"/>
              <w:jc w:val="center"/>
              <w:rPr>
                <w:rFonts w:hint="eastAsia" w:ascii="宋体" w:hAnsi="宋体" w:cs="宋体"/>
                <w:szCs w:val="21"/>
              </w:rPr>
            </w:pPr>
            <w:r>
              <w:rPr>
                <w:rFonts w:hint="eastAsia" w:ascii="宋体" w:hAnsi="宋体" w:cs="宋体"/>
                <w:szCs w:val="21"/>
              </w:rPr>
              <w:t>环境风险</w:t>
            </w:r>
          </w:p>
        </w:tc>
        <w:tc>
          <w:tcPr>
            <w:tcW w:w="2153" w:type="pct"/>
            <w:vAlign w:val="center"/>
          </w:tcPr>
          <w:p w14:paraId="11AAC3FB">
            <w:pPr>
              <w:adjustRightInd w:val="0"/>
              <w:snapToGrid w:val="0"/>
              <w:jc w:val="center"/>
              <w:rPr>
                <w:rFonts w:hint="eastAsia" w:ascii="宋体" w:hAnsi="宋体" w:cs="宋体"/>
                <w:szCs w:val="21"/>
              </w:rPr>
            </w:pPr>
            <w:r>
              <w:rPr>
                <w:rFonts w:hint="eastAsia" w:ascii="宋体" w:hAnsi="宋体" w:cs="宋体"/>
                <w:szCs w:val="21"/>
              </w:rPr>
              <w:t>1、井控装置有效防范溢流、井漏等事故；</w:t>
            </w:r>
          </w:p>
          <w:p w14:paraId="5F2D3AB1">
            <w:pPr>
              <w:adjustRightInd w:val="0"/>
              <w:snapToGrid w:val="0"/>
              <w:jc w:val="center"/>
              <w:rPr>
                <w:rFonts w:hint="eastAsia" w:ascii="宋体" w:hAnsi="宋体" w:cs="宋体"/>
                <w:szCs w:val="21"/>
              </w:rPr>
            </w:pPr>
            <w:r>
              <w:rPr>
                <w:rFonts w:ascii="宋体" w:hAnsi="宋体" w:cs="宋体"/>
                <w:szCs w:val="21"/>
              </w:rPr>
              <w:t>2</w:t>
            </w:r>
            <w:r>
              <w:rPr>
                <w:rFonts w:hint="eastAsia" w:ascii="宋体" w:hAnsi="宋体" w:cs="宋体"/>
                <w:szCs w:val="21"/>
              </w:rPr>
              <w:t>、制定应急预案，配备各类应急物资</w:t>
            </w:r>
          </w:p>
        </w:tc>
        <w:tc>
          <w:tcPr>
            <w:tcW w:w="1510" w:type="pct"/>
            <w:vAlign w:val="center"/>
          </w:tcPr>
          <w:p w14:paraId="65316F37">
            <w:pPr>
              <w:adjustRightInd w:val="0"/>
              <w:snapToGrid w:val="0"/>
              <w:jc w:val="center"/>
              <w:rPr>
                <w:rFonts w:hint="eastAsia" w:ascii="宋体" w:hAnsi="宋体" w:cs="宋体"/>
                <w:szCs w:val="21"/>
              </w:rPr>
            </w:pPr>
            <w:r>
              <w:rPr>
                <w:rFonts w:hint="eastAsia" w:ascii="宋体" w:hAnsi="宋体" w:cs="宋体"/>
                <w:szCs w:val="21"/>
              </w:rPr>
              <w:t>/</w:t>
            </w:r>
          </w:p>
        </w:tc>
        <w:tc>
          <w:tcPr>
            <w:tcW w:w="414" w:type="pct"/>
            <w:vAlign w:val="center"/>
          </w:tcPr>
          <w:p w14:paraId="348485CB">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5B0D9D67">
            <w:pPr>
              <w:adjustRightInd w:val="0"/>
              <w:snapToGrid w:val="0"/>
              <w:jc w:val="center"/>
              <w:rPr>
                <w:rFonts w:hint="eastAsia" w:ascii="宋体" w:hAnsi="宋体" w:cs="宋体"/>
                <w:szCs w:val="21"/>
              </w:rPr>
            </w:pPr>
            <w:r>
              <w:rPr>
                <w:rFonts w:hint="eastAsia" w:ascii="宋体" w:hAnsi="宋体" w:cs="宋体"/>
                <w:szCs w:val="21"/>
              </w:rPr>
              <w:t>/</w:t>
            </w:r>
          </w:p>
        </w:tc>
      </w:tr>
      <w:tr w14:paraId="031B2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42" w:type="pct"/>
            <w:vAlign w:val="center"/>
          </w:tcPr>
          <w:p w14:paraId="569E2AB2">
            <w:pPr>
              <w:adjustRightInd w:val="0"/>
              <w:snapToGrid w:val="0"/>
              <w:jc w:val="center"/>
              <w:rPr>
                <w:rFonts w:hint="eastAsia" w:ascii="宋体" w:hAnsi="宋体" w:cs="宋体"/>
                <w:szCs w:val="21"/>
              </w:rPr>
            </w:pPr>
            <w:r>
              <w:rPr>
                <w:rFonts w:hint="eastAsia" w:ascii="宋体" w:hAnsi="宋体" w:cs="宋体"/>
                <w:szCs w:val="21"/>
              </w:rPr>
              <w:t>环境监测</w:t>
            </w:r>
          </w:p>
        </w:tc>
        <w:tc>
          <w:tcPr>
            <w:tcW w:w="2153" w:type="pct"/>
            <w:vAlign w:val="center"/>
          </w:tcPr>
          <w:p w14:paraId="0CD8DEFC">
            <w:pPr>
              <w:jc w:val="center"/>
              <w:rPr>
                <w:szCs w:val="21"/>
              </w:rPr>
            </w:pPr>
            <w:r>
              <w:rPr>
                <w:rFonts w:hint="eastAsia" w:hAnsi="宋体"/>
                <w:snapToGrid w:val="0"/>
                <w:szCs w:val="21"/>
              </w:rPr>
              <w:t>配</w:t>
            </w:r>
            <w:r>
              <w:rPr>
                <w:rFonts w:hint="eastAsia" w:ascii="宋体" w:hAnsi="宋体"/>
                <w:snapToGrid w:val="0"/>
                <w:szCs w:val="21"/>
              </w:rPr>
              <w:t>置4个H</w:t>
            </w:r>
            <w:r>
              <w:rPr>
                <w:rFonts w:ascii="宋体" w:hAnsi="宋体"/>
                <w:snapToGrid w:val="0"/>
                <w:szCs w:val="21"/>
                <w:vertAlign w:val="subscript"/>
              </w:rPr>
              <w:t>2</w:t>
            </w:r>
            <w:r>
              <w:rPr>
                <w:rFonts w:ascii="宋体" w:hAnsi="宋体"/>
                <w:snapToGrid w:val="0"/>
                <w:szCs w:val="21"/>
              </w:rPr>
              <w:t>S</w:t>
            </w:r>
            <w:r>
              <w:rPr>
                <w:rFonts w:hint="eastAsia" w:ascii="宋体" w:hAnsi="宋体"/>
                <w:snapToGrid w:val="0"/>
                <w:szCs w:val="21"/>
              </w:rPr>
              <w:t>监</w:t>
            </w:r>
            <w:r>
              <w:rPr>
                <w:rFonts w:hint="eastAsia" w:hAnsi="宋体"/>
                <w:snapToGrid w:val="0"/>
                <w:szCs w:val="21"/>
              </w:rPr>
              <w:t>测装置，实时监测硫化氢浓度；施工结束后生态监测；按照制定的环境监测计划执行</w:t>
            </w:r>
          </w:p>
        </w:tc>
        <w:tc>
          <w:tcPr>
            <w:tcW w:w="1510" w:type="pct"/>
            <w:vAlign w:val="center"/>
          </w:tcPr>
          <w:p w14:paraId="76EF27BC">
            <w:pPr>
              <w:jc w:val="center"/>
              <w:rPr>
                <w:szCs w:val="21"/>
              </w:rPr>
            </w:pPr>
          </w:p>
        </w:tc>
        <w:tc>
          <w:tcPr>
            <w:tcW w:w="414" w:type="pct"/>
            <w:vAlign w:val="center"/>
          </w:tcPr>
          <w:p w14:paraId="4FD44E5B">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1ECEEB07">
            <w:pPr>
              <w:adjustRightInd w:val="0"/>
              <w:snapToGrid w:val="0"/>
              <w:jc w:val="center"/>
              <w:rPr>
                <w:rFonts w:hint="eastAsia" w:ascii="宋体" w:hAnsi="宋体" w:cs="宋体"/>
                <w:szCs w:val="21"/>
              </w:rPr>
            </w:pPr>
            <w:r>
              <w:rPr>
                <w:rFonts w:hint="eastAsia" w:ascii="宋体" w:hAnsi="宋体" w:cs="宋体"/>
                <w:szCs w:val="21"/>
              </w:rPr>
              <w:t>/</w:t>
            </w:r>
          </w:p>
        </w:tc>
      </w:tr>
      <w:tr w14:paraId="5B382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7" w:hRule="atLeast"/>
          <w:jc w:val="center"/>
        </w:trPr>
        <w:tc>
          <w:tcPr>
            <w:tcW w:w="642" w:type="pct"/>
            <w:vAlign w:val="center"/>
          </w:tcPr>
          <w:p w14:paraId="44172241">
            <w:pPr>
              <w:adjustRightInd w:val="0"/>
              <w:snapToGrid w:val="0"/>
              <w:jc w:val="center"/>
              <w:rPr>
                <w:rFonts w:hint="eastAsia" w:ascii="宋体" w:hAnsi="宋体" w:cs="宋体"/>
                <w:szCs w:val="21"/>
              </w:rPr>
            </w:pPr>
            <w:r>
              <w:rPr>
                <w:rFonts w:hint="eastAsia" w:ascii="宋体" w:hAnsi="宋体" w:cs="宋体"/>
                <w:szCs w:val="21"/>
              </w:rPr>
              <w:t>其他</w:t>
            </w:r>
          </w:p>
        </w:tc>
        <w:tc>
          <w:tcPr>
            <w:tcW w:w="2153" w:type="pct"/>
            <w:vAlign w:val="center"/>
          </w:tcPr>
          <w:p w14:paraId="4689EB63">
            <w:pPr>
              <w:adjustRightInd w:val="0"/>
              <w:snapToGrid w:val="0"/>
              <w:jc w:val="center"/>
              <w:rPr>
                <w:rFonts w:hint="eastAsia" w:ascii="宋体" w:hAnsi="宋体" w:cs="宋体"/>
                <w:szCs w:val="21"/>
              </w:rPr>
            </w:pPr>
            <w:r>
              <w:rPr>
                <w:rFonts w:hint="eastAsia" w:ascii="宋体" w:hAnsi="宋体" w:cs="宋体"/>
                <w:szCs w:val="21"/>
              </w:rPr>
              <w:t>/</w:t>
            </w:r>
          </w:p>
        </w:tc>
        <w:tc>
          <w:tcPr>
            <w:tcW w:w="1510" w:type="pct"/>
            <w:vAlign w:val="center"/>
          </w:tcPr>
          <w:p w14:paraId="3418024B">
            <w:pPr>
              <w:adjustRightInd w:val="0"/>
              <w:snapToGrid w:val="0"/>
              <w:jc w:val="center"/>
              <w:rPr>
                <w:rFonts w:hint="eastAsia" w:ascii="宋体" w:hAnsi="宋体" w:cs="宋体"/>
                <w:szCs w:val="21"/>
              </w:rPr>
            </w:pPr>
            <w:r>
              <w:rPr>
                <w:rFonts w:hint="eastAsia" w:ascii="宋体" w:hAnsi="宋体" w:cs="宋体"/>
                <w:szCs w:val="21"/>
              </w:rPr>
              <w:t>/</w:t>
            </w:r>
          </w:p>
        </w:tc>
        <w:tc>
          <w:tcPr>
            <w:tcW w:w="414" w:type="pct"/>
            <w:vAlign w:val="center"/>
          </w:tcPr>
          <w:p w14:paraId="181CBC1C">
            <w:pPr>
              <w:adjustRightInd w:val="0"/>
              <w:snapToGrid w:val="0"/>
              <w:jc w:val="center"/>
              <w:rPr>
                <w:rFonts w:hint="eastAsia" w:ascii="宋体" w:hAnsi="宋体" w:cs="宋体"/>
                <w:szCs w:val="21"/>
              </w:rPr>
            </w:pPr>
            <w:r>
              <w:rPr>
                <w:rFonts w:hint="eastAsia" w:ascii="宋体" w:hAnsi="宋体" w:cs="宋体"/>
                <w:szCs w:val="21"/>
              </w:rPr>
              <w:t>/</w:t>
            </w:r>
          </w:p>
        </w:tc>
        <w:tc>
          <w:tcPr>
            <w:tcW w:w="280" w:type="pct"/>
            <w:vAlign w:val="center"/>
          </w:tcPr>
          <w:p w14:paraId="21692EE1">
            <w:pPr>
              <w:adjustRightInd w:val="0"/>
              <w:snapToGrid w:val="0"/>
              <w:jc w:val="center"/>
              <w:rPr>
                <w:rFonts w:hint="eastAsia" w:ascii="宋体" w:hAnsi="宋体" w:cs="宋体"/>
                <w:szCs w:val="21"/>
              </w:rPr>
            </w:pPr>
            <w:r>
              <w:rPr>
                <w:rFonts w:hint="eastAsia" w:ascii="宋体" w:hAnsi="宋体" w:cs="宋体"/>
                <w:szCs w:val="21"/>
              </w:rPr>
              <w:t>/</w:t>
            </w:r>
          </w:p>
        </w:tc>
      </w:tr>
    </w:tbl>
    <w:p w14:paraId="13C0C842">
      <w:pPr>
        <w:pStyle w:val="26"/>
        <w:adjustRightInd w:val="0"/>
        <w:snapToGrid w:val="0"/>
        <w:spacing w:before="0" w:beforeAutospacing="0" w:after="0" w:afterAutospacing="0"/>
        <w:jc w:val="center"/>
        <w:outlineLvl w:val="0"/>
        <w:rPr>
          <w:rFonts w:hint="eastAsia" w:ascii="黑体" w:hAnsi="黑体" w:eastAsia="黑体"/>
          <w:snapToGrid w:val="0"/>
          <w:sz w:val="30"/>
          <w:szCs w:val="30"/>
        </w:rPr>
      </w:pPr>
      <w:r>
        <w:rPr>
          <w:rFonts w:ascii="黑体" w:hAnsi="黑体" w:eastAsia="黑体"/>
          <w:snapToGrid w:val="0"/>
          <w:sz w:val="30"/>
          <w:szCs w:val="30"/>
        </w:rPr>
        <w:br w:type="page"/>
      </w:r>
      <w:bookmarkStart w:id="84" w:name="_Toc216179953"/>
      <w:r>
        <w:rPr>
          <w:rFonts w:hint="eastAsia" w:ascii="黑体" w:hAnsi="黑体" w:eastAsia="黑体"/>
          <w:snapToGrid w:val="0"/>
          <w:sz w:val="30"/>
          <w:szCs w:val="30"/>
        </w:rPr>
        <w:t>七、结论</w:t>
      </w:r>
      <w:bookmarkEnd w:id="84"/>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82"/>
      </w:tblGrid>
      <w:tr w14:paraId="5CB08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5" w:hRule="atLeast"/>
          <w:jc w:val="center"/>
        </w:trPr>
        <w:tc>
          <w:tcPr>
            <w:tcW w:w="5000" w:type="pct"/>
            <w:vAlign w:val="center"/>
          </w:tcPr>
          <w:p w14:paraId="65CF4C57">
            <w:pPr>
              <w:pStyle w:val="113"/>
              <w:rPr>
                <w:rFonts w:hint="eastAsia"/>
              </w:rPr>
            </w:pPr>
            <w:r>
              <w:rPr>
                <w:rFonts w:hint="eastAsia"/>
              </w:rPr>
              <w:t>本项目符合国家有关产业政策。在严格执行已有各项环保政策、规定的基础上，认真落实本报告表中提出的环保措施与建议的前提下，从环境保护角度分析，本项目的建设可行。</w:t>
            </w:r>
          </w:p>
        </w:tc>
      </w:tr>
    </w:tbl>
    <w:p w14:paraId="60F56A62">
      <w:pPr>
        <w:pStyle w:val="98"/>
        <w:numPr>
          <w:ilvl w:val="0"/>
          <w:numId w:val="0"/>
        </w:numPr>
        <w:rPr>
          <w:rFonts w:hint="eastAsia"/>
        </w:rPr>
      </w:pPr>
    </w:p>
    <w:sectPr>
      <w:pgSz w:w="11906" w:h="16838"/>
      <w:pgMar w:top="720" w:right="720" w:bottom="720" w:left="720" w:header="1417" w:footer="8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宋体).榽具.">
    <w:altName w:val="宋体"/>
    <w:panose1 w:val="00000000000000000000"/>
    <w:charset w:val="86"/>
    <w:family w:val="roma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Segoe UI">
    <w:panose1 w:val="020B0502040204020203"/>
    <w:charset w:val="00"/>
    <w:family w:val="swiss"/>
    <w:pitch w:val="default"/>
    <w:sig w:usb0="E4002EFF" w:usb1="C000E47F" w:usb2="00000009" w:usb3="00000000" w:csb0="200001FF"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KSOF6398537F">
    <w:panose1 w:val="020B0604020202020204"/>
    <w:charset w:val="86"/>
    <w:family w:val="auto"/>
    <w:pitch w:val="default"/>
    <w:sig w:usb0="00000001" w:usb1="00000000" w:usb2="0000000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C85B8">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F6E53">
    <w:pPr>
      <w:pStyle w:val="21"/>
      <w:framePr w:wrap="around" w:vAnchor="text" w:hAnchor="margin" w:xAlign="outside" w:y="1"/>
      <w:rPr>
        <w:rStyle w:val="34"/>
      </w:rPr>
    </w:pPr>
    <w:r>
      <w:rPr>
        <w:rStyle w:val="34"/>
      </w:rPr>
      <w:fldChar w:fldCharType="begin"/>
    </w:r>
    <w:r>
      <w:rPr>
        <w:rStyle w:val="34"/>
      </w:rPr>
      <w:instrText xml:space="preserve">PAGE  </w:instrText>
    </w:r>
    <w:r>
      <w:rPr>
        <w:rStyle w:val="34"/>
      </w:rPr>
      <w:fldChar w:fldCharType="end"/>
    </w:r>
  </w:p>
  <w:p w14:paraId="6A3830A1">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3486B">
    <w:pPr>
      <w:pStyle w:val="21"/>
      <w:jc w:val="center"/>
    </w:pPr>
    <w:r>
      <w:fldChar w:fldCharType="begin"/>
    </w:r>
    <w:r>
      <w:instrText xml:space="preserve">PAGE   \* MERGEFORMAT</w:instrText>
    </w:r>
    <w:r>
      <w:fldChar w:fldCharType="separate"/>
    </w:r>
    <w:r>
      <w:rPr>
        <w:lang w:val="zh-CN"/>
      </w:rPr>
      <w:t>84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3E6DF0"/>
    <w:multiLevelType w:val="singleLevel"/>
    <w:tmpl w:val="FB3E6DF0"/>
    <w:lvl w:ilvl="0" w:tentative="0">
      <w:start w:val="1"/>
      <w:numFmt w:val="decimal"/>
      <w:suff w:val="nothing"/>
      <w:lvlText w:val="%1、"/>
      <w:lvlJc w:val="left"/>
    </w:lvl>
  </w:abstractNum>
  <w:abstractNum w:abstractNumId="1">
    <w:nsid w:val="16C123DC"/>
    <w:multiLevelType w:val="multilevel"/>
    <w:tmpl w:val="16C123DC"/>
    <w:lvl w:ilvl="0" w:tentative="0">
      <w:start w:val="1"/>
      <w:numFmt w:val="decimal"/>
      <w:pStyle w:val="85"/>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F006C0E"/>
    <w:multiLevelType w:val="multilevel"/>
    <w:tmpl w:val="4F006C0E"/>
    <w:lvl w:ilvl="0" w:tentative="0">
      <w:start w:val="1"/>
      <w:numFmt w:val="decimal"/>
      <w:pStyle w:val="96"/>
      <w:suff w:val="nothing"/>
      <w:lvlText w:val="附件%1"/>
      <w:lvlJc w:val="left"/>
      <w:pPr>
        <w:ind w:left="510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839548E"/>
    <w:multiLevelType w:val="multilevel"/>
    <w:tmpl w:val="5839548E"/>
    <w:lvl w:ilvl="0" w:tentative="0">
      <w:start w:val="1"/>
      <w:numFmt w:val="decimal"/>
      <w:pStyle w:val="2"/>
      <w:isLgl/>
      <w:suff w:val="space"/>
      <w:lvlText w:val="%1"/>
      <w:lvlJc w:val="left"/>
      <w:pPr>
        <w:ind w:left="0" w:firstLine="0"/>
      </w:pPr>
      <w:rPr>
        <w:rFonts w:hint="eastAsia"/>
      </w:rPr>
    </w:lvl>
    <w:lvl w:ilvl="1" w:tentative="0">
      <w:start w:val="1"/>
      <w:numFmt w:val="decimal"/>
      <w:pStyle w:val="4"/>
      <w:isLgl/>
      <w:suff w:val="space"/>
      <w:lvlText w:val="%1.%2"/>
      <w:lvlJc w:val="left"/>
      <w:pPr>
        <w:ind w:left="0" w:firstLine="0"/>
      </w:pPr>
      <w:rPr>
        <w:rFonts w:hint="eastAsia"/>
      </w:rPr>
    </w:lvl>
    <w:lvl w:ilvl="2" w:tentative="0">
      <w:start w:val="1"/>
      <w:numFmt w:val="decimal"/>
      <w:pStyle w:val="5"/>
      <w:isLgl/>
      <w:suff w:val="space"/>
      <w:lvlText w:val="%1.%2.%3"/>
      <w:lvlJc w:val="left"/>
      <w:pPr>
        <w:ind w:left="0" w:firstLine="0"/>
      </w:pPr>
      <w:rPr>
        <w:rFonts w:hint="eastAsia"/>
      </w:rPr>
    </w:lvl>
    <w:lvl w:ilvl="3" w:tentative="0">
      <w:start w:val="1"/>
      <w:numFmt w:val="decimal"/>
      <w:pStyle w:val="6"/>
      <w:isLgl/>
      <w:suff w:val="space"/>
      <w:lvlText w:val="%1.%2.%3.%4"/>
      <w:lvlJc w:val="left"/>
      <w:pPr>
        <w:ind w:left="0" w:firstLine="0"/>
      </w:pPr>
      <w:rPr>
        <w:rFonts w:hint="eastAsia"/>
      </w:rPr>
    </w:lvl>
    <w:lvl w:ilvl="4" w:tentative="0">
      <w:start w:val="1"/>
      <w:numFmt w:val="decimal"/>
      <w:pStyle w:val="7"/>
      <w:isLgl/>
      <w:suff w:val="space"/>
      <w:lvlText w:val="%1.%2.%3.%4.%5"/>
      <w:lvlJc w:val="left"/>
      <w:pPr>
        <w:ind w:left="0" w:firstLine="0"/>
      </w:pPr>
      <w:rPr>
        <w:rFonts w:hint="eastAsia"/>
      </w:rPr>
    </w:lvl>
    <w:lvl w:ilvl="5" w:tentative="0">
      <w:start w:val="1"/>
      <w:numFmt w:val="decimal"/>
      <w:pStyle w:val="8"/>
      <w:isLgl/>
      <w:suff w:val="space"/>
      <w:lvlText w:val="%1.%2.%3.%4.%5.%6"/>
      <w:lvlJc w:val="left"/>
      <w:pPr>
        <w:ind w:left="0" w:firstLine="0"/>
      </w:pPr>
      <w:rPr>
        <w:rFonts w:hint="eastAsia"/>
      </w:rPr>
    </w:lvl>
    <w:lvl w:ilvl="6" w:tentative="0">
      <w:start w:val="1"/>
      <w:numFmt w:val="decimal"/>
      <w:pStyle w:val="9"/>
      <w:isLgl/>
      <w:suff w:val="nothing"/>
      <w:lvlText w:val="%1.%2.%3.%4.%5.%6.%7"/>
      <w:lvlJc w:val="left"/>
      <w:pPr>
        <w:ind w:left="0" w:firstLine="0"/>
      </w:pPr>
      <w:rPr>
        <w:rFonts w:hint="eastAsia"/>
        <w:b w:val="0"/>
        <w:bCs w:val="0"/>
        <w:i w:val="0"/>
        <w:iCs w:val="0"/>
        <w:caps w:val="0"/>
        <w:smallCaps w:val="0"/>
        <w:strike w:val="0"/>
        <w:dstrike w:val="0"/>
        <w:vanish w:val="0"/>
        <w:color w:val="000000"/>
        <w:spacing w:val="0"/>
        <w:position w:val="0"/>
        <w:u w:val="none"/>
        <w:vertAlign w:val="baseline"/>
      </w:rPr>
    </w:lvl>
    <w:lvl w:ilvl="7" w:tentative="0">
      <w:start w:val="1"/>
      <w:numFmt w:val="decimal"/>
      <w:pStyle w:val="10"/>
      <w:isLgl/>
      <w:suff w:val="space"/>
      <w:lvlText w:val="%1.%2.%3.%4.%5.%6.%7.%8"/>
      <w:lvlJc w:val="left"/>
      <w:pPr>
        <w:ind w:left="0" w:firstLine="0"/>
      </w:pPr>
      <w:rPr>
        <w:rFonts w:hint="eastAsia"/>
      </w:rPr>
    </w:lvl>
    <w:lvl w:ilvl="8" w:tentative="0">
      <w:start w:val="1"/>
      <w:numFmt w:val="decimal"/>
      <w:pStyle w:val="11"/>
      <w:isLgl/>
      <w:suff w:val="space"/>
      <w:lvlText w:val="%1.%2.%3.%4.%5.%6.%7.%8.%9"/>
      <w:lvlJc w:val="left"/>
      <w:pPr>
        <w:ind w:left="0" w:firstLine="0"/>
      </w:pPr>
      <w:rPr>
        <w:rFonts w:hint="eastAsia"/>
      </w:rPr>
    </w:lvl>
  </w:abstractNum>
  <w:abstractNum w:abstractNumId="4">
    <w:nsid w:val="6256CC1B"/>
    <w:multiLevelType w:val="singleLevel"/>
    <w:tmpl w:val="6256CC1B"/>
    <w:lvl w:ilvl="0" w:tentative="0">
      <w:start w:val="3"/>
      <w:numFmt w:val="decimal"/>
      <w:suff w:val="nothing"/>
      <w:lvlText w:val="%1）"/>
      <w:lvlJc w:val="left"/>
    </w:lvl>
  </w:abstractNum>
  <w:abstractNum w:abstractNumId="5">
    <w:nsid w:val="699B31E6"/>
    <w:multiLevelType w:val="multilevel"/>
    <w:tmpl w:val="699B31E6"/>
    <w:lvl w:ilvl="0" w:tentative="0">
      <w:start w:val="1"/>
      <w:numFmt w:val="decimal"/>
      <w:pStyle w:val="98"/>
      <w:suff w:val="nothing"/>
      <w:lvlText w:val="附图%1"/>
      <w:lvlJc w:val="left"/>
      <w:pPr>
        <w:ind w:left="75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1B21497"/>
    <w:multiLevelType w:val="multilevel"/>
    <w:tmpl w:val="71B21497"/>
    <w:lvl w:ilvl="0" w:tentative="0">
      <w:start w:val="1"/>
      <w:numFmt w:val="decimal"/>
      <w:pStyle w:val="71"/>
      <w:isLgl/>
      <w:suff w:val="nothing"/>
      <w:lvlText w:val="（%1）"/>
      <w:lvlJc w:val="left"/>
      <w:pPr>
        <w:ind w:left="0" w:firstLine="476"/>
      </w:pPr>
      <w:rPr>
        <w:rFonts w:hint="eastAsia" w:ascii="宋体" w:eastAsia="宋体"/>
      </w:rPr>
    </w:lvl>
    <w:lvl w:ilvl="1" w:tentative="0">
      <w:start w:val="1"/>
      <w:numFmt w:val="decimalEnclosedCircle"/>
      <w:pStyle w:val="73"/>
      <w:isLgl/>
      <w:suff w:val="nothing"/>
      <w:lvlText w:val="%2）"/>
      <w:lvlJc w:val="left"/>
      <w:pPr>
        <w:ind w:left="0" w:firstLine="476"/>
      </w:pPr>
      <w:rPr>
        <w:rFonts w:hint="eastAsia" w:ascii="宋体" w:eastAsia="宋体"/>
      </w:rPr>
    </w:lvl>
    <w:lvl w:ilvl="2" w:tentative="0">
      <w:start w:val="1"/>
      <w:numFmt w:val="decimalEnclosedCircle"/>
      <w:pStyle w:val="75"/>
      <w:suff w:val="nothing"/>
      <w:lvlText w:val="%3"/>
      <w:lvlJc w:val="left"/>
      <w:pPr>
        <w:ind w:left="0" w:firstLine="476"/>
      </w:pPr>
      <w:rPr>
        <w:rFonts w:hint="eastAsia" w:ascii="宋体" w:eastAsia="宋体"/>
      </w:rPr>
    </w:lvl>
    <w:lvl w:ilvl="3" w:tentative="0">
      <w:start w:val="1"/>
      <w:numFmt w:val="lowerLetter"/>
      <w:pStyle w:val="77"/>
      <w:suff w:val="nothing"/>
      <w:lvlText w:val="%4."/>
      <w:lvlJc w:val="left"/>
      <w:pPr>
        <w:ind w:left="0" w:firstLine="476"/>
      </w:pPr>
      <w:rPr>
        <w:rFonts w:hint="eastAsia" w:ascii="宋体" w:eastAsia="宋体"/>
      </w:rPr>
    </w:lvl>
    <w:lvl w:ilvl="4" w:tentative="0">
      <w:start w:val="1"/>
      <w:numFmt w:val="upperRoman"/>
      <w:pStyle w:val="79"/>
      <w:suff w:val="nothing"/>
      <w:lvlText w:val="%5."/>
      <w:lvlJc w:val="left"/>
      <w:pPr>
        <w:ind w:left="0" w:firstLine="476"/>
      </w:pPr>
      <w:rPr>
        <w:rFonts w:hint="eastAsia" w:ascii="宋体" w:eastAsia="宋体"/>
      </w:rPr>
    </w:lvl>
    <w:lvl w:ilvl="5" w:tentative="0">
      <w:start w:val="1"/>
      <w:numFmt w:val="lowerRoman"/>
      <w:pStyle w:val="81"/>
      <w:suff w:val="nothing"/>
      <w:lvlText w:val="%6."/>
      <w:lvlJc w:val="left"/>
      <w:pPr>
        <w:ind w:left="0" w:firstLine="476"/>
      </w:pPr>
      <w:rPr>
        <w:rFonts w:hint="eastAsia" w:ascii="宋体" w:eastAsia="宋体"/>
      </w:rPr>
    </w:lvl>
    <w:lvl w:ilvl="6" w:tentative="0">
      <w:start w:val="1"/>
      <w:numFmt w:val="ordinal"/>
      <w:pStyle w:val="83"/>
      <w:suff w:val="nothing"/>
      <w:lvlText w:val="%7."/>
      <w:lvlJc w:val="left"/>
      <w:pPr>
        <w:ind w:left="0" w:firstLine="476"/>
      </w:pPr>
      <w:rPr>
        <w:rFonts w:hint="eastAsia"/>
      </w:rPr>
    </w:lvl>
    <w:lvl w:ilvl="7" w:tentative="0">
      <w:start w:val="1"/>
      <w:numFmt w:val="none"/>
      <w:suff w:val="nothing"/>
      <w:lvlText w:val=""/>
      <w:lvlJc w:val="left"/>
      <w:pPr>
        <w:ind w:left="0" w:firstLine="476"/>
      </w:pPr>
      <w:rPr>
        <w:rFonts w:hint="eastAsia"/>
      </w:rPr>
    </w:lvl>
    <w:lvl w:ilvl="8" w:tentative="0">
      <w:start w:val="1"/>
      <w:numFmt w:val="none"/>
      <w:suff w:val="nothing"/>
      <w:lvlText w:val=""/>
      <w:lvlJc w:val="left"/>
      <w:pPr>
        <w:ind w:left="0" w:firstLine="476"/>
      </w:pPr>
      <w:rPr>
        <w:rFonts w:hint="eastAsia"/>
      </w:rPr>
    </w:lvl>
  </w:abstractNum>
  <w:abstractNum w:abstractNumId="7">
    <w:nsid w:val="7E752ED4"/>
    <w:multiLevelType w:val="multilevel"/>
    <w:tmpl w:val="7E752ED4"/>
    <w:lvl w:ilvl="0" w:tentative="0">
      <w:start w:val="1"/>
      <w:numFmt w:val="decimal"/>
      <w:pStyle w:val="94"/>
      <w:suff w:val="nothing"/>
      <w:lvlText w:val="附表%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FEB951"/>
    <w:multiLevelType w:val="singleLevel"/>
    <w:tmpl w:val="7FFEB951"/>
    <w:lvl w:ilvl="0" w:tentative="0">
      <w:start w:val="1"/>
      <w:numFmt w:val="decimal"/>
      <w:suff w:val="nothing"/>
      <w:lvlText w:val="%1、"/>
      <w:lvlJc w:val="left"/>
    </w:lvl>
  </w:abstractNum>
  <w:num w:numId="1">
    <w:abstractNumId w:val="3"/>
  </w:num>
  <w:num w:numId="2">
    <w:abstractNumId w:val="6"/>
  </w:num>
  <w:num w:numId="3">
    <w:abstractNumId w:val="1"/>
  </w:num>
  <w:num w:numId="4">
    <w:abstractNumId w:val="7"/>
  </w:num>
  <w:num w:numId="5">
    <w:abstractNumId w:val="2"/>
  </w:num>
  <w:num w:numId="6">
    <w:abstractNumId w:val="5"/>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zZjA0NmM4ODgyZjhhYTJhMjJlNjg2MjYzYWNiMWIifQ=="/>
  </w:docVars>
  <w:rsids>
    <w:rsidRoot w:val="00A14947"/>
    <w:rsid w:val="0000077F"/>
    <w:rsid w:val="00000D76"/>
    <w:rsid w:val="00001295"/>
    <w:rsid w:val="00001CED"/>
    <w:rsid w:val="00001E67"/>
    <w:rsid w:val="00002BA1"/>
    <w:rsid w:val="00003CD8"/>
    <w:rsid w:val="00004FB2"/>
    <w:rsid w:val="00005895"/>
    <w:rsid w:val="00006222"/>
    <w:rsid w:val="000070A3"/>
    <w:rsid w:val="0000786B"/>
    <w:rsid w:val="000106A7"/>
    <w:rsid w:val="00010D30"/>
    <w:rsid w:val="00010E02"/>
    <w:rsid w:val="00011B9F"/>
    <w:rsid w:val="000120C5"/>
    <w:rsid w:val="00013150"/>
    <w:rsid w:val="000132ED"/>
    <w:rsid w:val="00013615"/>
    <w:rsid w:val="000141A8"/>
    <w:rsid w:val="00014530"/>
    <w:rsid w:val="00014965"/>
    <w:rsid w:val="0001523A"/>
    <w:rsid w:val="00015804"/>
    <w:rsid w:val="00016ECB"/>
    <w:rsid w:val="000179E2"/>
    <w:rsid w:val="000200DB"/>
    <w:rsid w:val="000204E2"/>
    <w:rsid w:val="0002114D"/>
    <w:rsid w:val="00021404"/>
    <w:rsid w:val="00021E8F"/>
    <w:rsid w:val="00022767"/>
    <w:rsid w:val="00022DB6"/>
    <w:rsid w:val="0002370C"/>
    <w:rsid w:val="00024654"/>
    <w:rsid w:val="000251F6"/>
    <w:rsid w:val="00025A8A"/>
    <w:rsid w:val="000269F6"/>
    <w:rsid w:val="00026BDC"/>
    <w:rsid w:val="000276CE"/>
    <w:rsid w:val="0002774B"/>
    <w:rsid w:val="00027ACC"/>
    <w:rsid w:val="000314E3"/>
    <w:rsid w:val="000316E3"/>
    <w:rsid w:val="00031939"/>
    <w:rsid w:val="00031C56"/>
    <w:rsid w:val="00032027"/>
    <w:rsid w:val="00032717"/>
    <w:rsid w:val="00032D25"/>
    <w:rsid w:val="00032EAF"/>
    <w:rsid w:val="00033C31"/>
    <w:rsid w:val="0003492C"/>
    <w:rsid w:val="00034C17"/>
    <w:rsid w:val="00034E7A"/>
    <w:rsid w:val="00036115"/>
    <w:rsid w:val="0003679A"/>
    <w:rsid w:val="00037432"/>
    <w:rsid w:val="000375E8"/>
    <w:rsid w:val="00037C80"/>
    <w:rsid w:val="00040A33"/>
    <w:rsid w:val="00040E1D"/>
    <w:rsid w:val="0004278F"/>
    <w:rsid w:val="00042DF2"/>
    <w:rsid w:val="00043198"/>
    <w:rsid w:val="00044EF2"/>
    <w:rsid w:val="00045887"/>
    <w:rsid w:val="00045958"/>
    <w:rsid w:val="00047F60"/>
    <w:rsid w:val="000507B1"/>
    <w:rsid w:val="0005088A"/>
    <w:rsid w:val="00050B54"/>
    <w:rsid w:val="000514ED"/>
    <w:rsid w:val="000515F8"/>
    <w:rsid w:val="00051646"/>
    <w:rsid w:val="00051E3A"/>
    <w:rsid w:val="00051FB5"/>
    <w:rsid w:val="0005219D"/>
    <w:rsid w:val="000525BD"/>
    <w:rsid w:val="00053F3C"/>
    <w:rsid w:val="000544CA"/>
    <w:rsid w:val="00054BBE"/>
    <w:rsid w:val="00054F9E"/>
    <w:rsid w:val="00055010"/>
    <w:rsid w:val="0005568F"/>
    <w:rsid w:val="00056473"/>
    <w:rsid w:val="00056546"/>
    <w:rsid w:val="000570A6"/>
    <w:rsid w:val="00057F05"/>
    <w:rsid w:val="00060136"/>
    <w:rsid w:val="000604FF"/>
    <w:rsid w:val="00060A38"/>
    <w:rsid w:val="00060FED"/>
    <w:rsid w:val="0006133F"/>
    <w:rsid w:val="0006153D"/>
    <w:rsid w:val="0006164D"/>
    <w:rsid w:val="00061AD3"/>
    <w:rsid w:val="00061B1F"/>
    <w:rsid w:val="00061BA0"/>
    <w:rsid w:val="00063B60"/>
    <w:rsid w:val="0006490A"/>
    <w:rsid w:val="00066347"/>
    <w:rsid w:val="000664DB"/>
    <w:rsid w:val="00066FDD"/>
    <w:rsid w:val="0007127D"/>
    <w:rsid w:val="0007180A"/>
    <w:rsid w:val="00071AE5"/>
    <w:rsid w:val="00071E2C"/>
    <w:rsid w:val="00073B5C"/>
    <w:rsid w:val="00074783"/>
    <w:rsid w:val="00077520"/>
    <w:rsid w:val="000801E0"/>
    <w:rsid w:val="00080B05"/>
    <w:rsid w:val="00082007"/>
    <w:rsid w:val="0008224B"/>
    <w:rsid w:val="00082A29"/>
    <w:rsid w:val="00082F68"/>
    <w:rsid w:val="0008331D"/>
    <w:rsid w:val="00083985"/>
    <w:rsid w:val="00083BEE"/>
    <w:rsid w:val="00083C18"/>
    <w:rsid w:val="00083DDC"/>
    <w:rsid w:val="00084EFE"/>
    <w:rsid w:val="00085090"/>
    <w:rsid w:val="00086D50"/>
    <w:rsid w:val="00090DCB"/>
    <w:rsid w:val="00091D01"/>
    <w:rsid w:val="00092899"/>
    <w:rsid w:val="00092A59"/>
    <w:rsid w:val="00092EEF"/>
    <w:rsid w:val="00093B3B"/>
    <w:rsid w:val="00094B6D"/>
    <w:rsid w:val="000959A1"/>
    <w:rsid w:val="00095E87"/>
    <w:rsid w:val="0009697E"/>
    <w:rsid w:val="00096B05"/>
    <w:rsid w:val="00096FD0"/>
    <w:rsid w:val="00097A93"/>
    <w:rsid w:val="000A0088"/>
    <w:rsid w:val="000A0326"/>
    <w:rsid w:val="000A07E5"/>
    <w:rsid w:val="000A0E1B"/>
    <w:rsid w:val="000A178E"/>
    <w:rsid w:val="000A2B13"/>
    <w:rsid w:val="000A3555"/>
    <w:rsid w:val="000A382D"/>
    <w:rsid w:val="000A46E1"/>
    <w:rsid w:val="000A4A90"/>
    <w:rsid w:val="000A4C8F"/>
    <w:rsid w:val="000A520B"/>
    <w:rsid w:val="000A557E"/>
    <w:rsid w:val="000A5A64"/>
    <w:rsid w:val="000A5CDF"/>
    <w:rsid w:val="000A6027"/>
    <w:rsid w:val="000A7201"/>
    <w:rsid w:val="000A7AE0"/>
    <w:rsid w:val="000A7D53"/>
    <w:rsid w:val="000A7D67"/>
    <w:rsid w:val="000B058F"/>
    <w:rsid w:val="000B0CE7"/>
    <w:rsid w:val="000B11DC"/>
    <w:rsid w:val="000B1574"/>
    <w:rsid w:val="000B224C"/>
    <w:rsid w:val="000B242F"/>
    <w:rsid w:val="000B2C1B"/>
    <w:rsid w:val="000B62E4"/>
    <w:rsid w:val="000B693F"/>
    <w:rsid w:val="000B73C1"/>
    <w:rsid w:val="000B7C01"/>
    <w:rsid w:val="000B7F06"/>
    <w:rsid w:val="000C08FC"/>
    <w:rsid w:val="000C09AC"/>
    <w:rsid w:val="000C0A63"/>
    <w:rsid w:val="000C1D0E"/>
    <w:rsid w:val="000C1FFF"/>
    <w:rsid w:val="000C2235"/>
    <w:rsid w:val="000C272D"/>
    <w:rsid w:val="000C2915"/>
    <w:rsid w:val="000C320D"/>
    <w:rsid w:val="000C3463"/>
    <w:rsid w:val="000C3E3E"/>
    <w:rsid w:val="000C437E"/>
    <w:rsid w:val="000C44A2"/>
    <w:rsid w:val="000C53ED"/>
    <w:rsid w:val="000C5EB5"/>
    <w:rsid w:val="000C5F1A"/>
    <w:rsid w:val="000C629D"/>
    <w:rsid w:val="000C6741"/>
    <w:rsid w:val="000C6968"/>
    <w:rsid w:val="000C6C8C"/>
    <w:rsid w:val="000C7205"/>
    <w:rsid w:val="000C7326"/>
    <w:rsid w:val="000D07D7"/>
    <w:rsid w:val="000D097A"/>
    <w:rsid w:val="000D0B6F"/>
    <w:rsid w:val="000D0C74"/>
    <w:rsid w:val="000D13B8"/>
    <w:rsid w:val="000D1B79"/>
    <w:rsid w:val="000D2D4E"/>
    <w:rsid w:val="000D4034"/>
    <w:rsid w:val="000D467E"/>
    <w:rsid w:val="000D6D66"/>
    <w:rsid w:val="000D73BD"/>
    <w:rsid w:val="000D7D5F"/>
    <w:rsid w:val="000D7E12"/>
    <w:rsid w:val="000E01B9"/>
    <w:rsid w:val="000E0422"/>
    <w:rsid w:val="000E0F44"/>
    <w:rsid w:val="000E1164"/>
    <w:rsid w:val="000E1762"/>
    <w:rsid w:val="000E2972"/>
    <w:rsid w:val="000E30CC"/>
    <w:rsid w:val="000E35C5"/>
    <w:rsid w:val="000E3913"/>
    <w:rsid w:val="000E4530"/>
    <w:rsid w:val="000E47F7"/>
    <w:rsid w:val="000E4CCD"/>
    <w:rsid w:val="000E5915"/>
    <w:rsid w:val="000E5F16"/>
    <w:rsid w:val="000E6114"/>
    <w:rsid w:val="000E7936"/>
    <w:rsid w:val="000F017C"/>
    <w:rsid w:val="000F0E1B"/>
    <w:rsid w:val="000F1621"/>
    <w:rsid w:val="000F4452"/>
    <w:rsid w:val="000F4AF9"/>
    <w:rsid w:val="000F5365"/>
    <w:rsid w:val="000F5A04"/>
    <w:rsid w:val="000F6011"/>
    <w:rsid w:val="000F6C49"/>
    <w:rsid w:val="000F6DA1"/>
    <w:rsid w:val="000F701B"/>
    <w:rsid w:val="000F7549"/>
    <w:rsid w:val="000F7B6B"/>
    <w:rsid w:val="00100C48"/>
    <w:rsid w:val="00101F3E"/>
    <w:rsid w:val="0010274F"/>
    <w:rsid w:val="00102FC4"/>
    <w:rsid w:val="001035ED"/>
    <w:rsid w:val="00103AD5"/>
    <w:rsid w:val="00104CB7"/>
    <w:rsid w:val="00104F38"/>
    <w:rsid w:val="001056A0"/>
    <w:rsid w:val="00105939"/>
    <w:rsid w:val="00106814"/>
    <w:rsid w:val="001068A8"/>
    <w:rsid w:val="00106939"/>
    <w:rsid w:val="00106B2B"/>
    <w:rsid w:val="00106C09"/>
    <w:rsid w:val="0011037A"/>
    <w:rsid w:val="00112128"/>
    <w:rsid w:val="001132A2"/>
    <w:rsid w:val="0011406A"/>
    <w:rsid w:val="0011515D"/>
    <w:rsid w:val="00115279"/>
    <w:rsid w:val="0011547D"/>
    <w:rsid w:val="00115FA3"/>
    <w:rsid w:val="00116697"/>
    <w:rsid w:val="00116761"/>
    <w:rsid w:val="0011720E"/>
    <w:rsid w:val="00117459"/>
    <w:rsid w:val="0011749A"/>
    <w:rsid w:val="00120C80"/>
    <w:rsid w:val="00120DBB"/>
    <w:rsid w:val="001228F5"/>
    <w:rsid w:val="00123119"/>
    <w:rsid w:val="001247B9"/>
    <w:rsid w:val="00124E1F"/>
    <w:rsid w:val="00125E14"/>
    <w:rsid w:val="001260DE"/>
    <w:rsid w:val="00126653"/>
    <w:rsid w:val="00126A82"/>
    <w:rsid w:val="00127A68"/>
    <w:rsid w:val="001308DD"/>
    <w:rsid w:val="00130D6E"/>
    <w:rsid w:val="001333D7"/>
    <w:rsid w:val="0013360B"/>
    <w:rsid w:val="001337F1"/>
    <w:rsid w:val="00133F87"/>
    <w:rsid w:val="0013690D"/>
    <w:rsid w:val="00136A81"/>
    <w:rsid w:val="00137209"/>
    <w:rsid w:val="0013768B"/>
    <w:rsid w:val="0013772E"/>
    <w:rsid w:val="00137D37"/>
    <w:rsid w:val="00140859"/>
    <w:rsid w:val="00140B13"/>
    <w:rsid w:val="00141AA0"/>
    <w:rsid w:val="00141B68"/>
    <w:rsid w:val="00142142"/>
    <w:rsid w:val="0014268B"/>
    <w:rsid w:val="0014330C"/>
    <w:rsid w:val="0014371D"/>
    <w:rsid w:val="001445BD"/>
    <w:rsid w:val="00144B73"/>
    <w:rsid w:val="00144DA0"/>
    <w:rsid w:val="00145DD5"/>
    <w:rsid w:val="00145DED"/>
    <w:rsid w:val="00145F07"/>
    <w:rsid w:val="00146112"/>
    <w:rsid w:val="001466DA"/>
    <w:rsid w:val="001475CE"/>
    <w:rsid w:val="0015031E"/>
    <w:rsid w:val="00150CFB"/>
    <w:rsid w:val="0015117D"/>
    <w:rsid w:val="00153462"/>
    <w:rsid w:val="0015391E"/>
    <w:rsid w:val="00153973"/>
    <w:rsid w:val="00154A21"/>
    <w:rsid w:val="00154DE1"/>
    <w:rsid w:val="00155B40"/>
    <w:rsid w:val="001569FB"/>
    <w:rsid w:val="00156D70"/>
    <w:rsid w:val="0015727C"/>
    <w:rsid w:val="00157435"/>
    <w:rsid w:val="00162A0D"/>
    <w:rsid w:val="00162BA9"/>
    <w:rsid w:val="001631F7"/>
    <w:rsid w:val="00163EEA"/>
    <w:rsid w:val="00164341"/>
    <w:rsid w:val="00164756"/>
    <w:rsid w:val="00165640"/>
    <w:rsid w:val="00165EA1"/>
    <w:rsid w:val="00166758"/>
    <w:rsid w:val="00167A07"/>
    <w:rsid w:val="0017046A"/>
    <w:rsid w:val="001704A3"/>
    <w:rsid w:val="0017081F"/>
    <w:rsid w:val="00171EC7"/>
    <w:rsid w:val="001733BC"/>
    <w:rsid w:val="00173486"/>
    <w:rsid w:val="00174B02"/>
    <w:rsid w:val="00174CA2"/>
    <w:rsid w:val="00174E6F"/>
    <w:rsid w:val="0017504D"/>
    <w:rsid w:val="00176CD6"/>
    <w:rsid w:val="00176DFB"/>
    <w:rsid w:val="00177422"/>
    <w:rsid w:val="001775A9"/>
    <w:rsid w:val="0017766E"/>
    <w:rsid w:val="00177F45"/>
    <w:rsid w:val="00177FE3"/>
    <w:rsid w:val="00180052"/>
    <w:rsid w:val="00180544"/>
    <w:rsid w:val="00181B35"/>
    <w:rsid w:val="00181D61"/>
    <w:rsid w:val="001830EA"/>
    <w:rsid w:val="001838A4"/>
    <w:rsid w:val="00183D93"/>
    <w:rsid w:val="00184078"/>
    <w:rsid w:val="00184F10"/>
    <w:rsid w:val="001852E1"/>
    <w:rsid w:val="00185546"/>
    <w:rsid w:val="0018663F"/>
    <w:rsid w:val="00186F81"/>
    <w:rsid w:val="001908D0"/>
    <w:rsid w:val="0019119E"/>
    <w:rsid w:val="0019146B"/>
    <w:rsid w:val="001918A1"/>
    <w:rsid w:val="00191953"/>
    <w:rsid w:val="00191A0F"/>
    <w:rsid w:val="00191C89"/>
    <w:rsid w:val="00193081"/>
    <w:rsid w:val="001930A4"/>
    <w:rsid w:val="001940C7"/>
    <w:rsid w:val="00194204"/>
    <w:rsid w:val="00194398"/>
    <w:rsid w:val="00194FB8"/>
    <w:rsid w:val="00195583"/>
    <w:rsid w:val="001956FE"/>
    <w:rsid w:val="0019582A"/>
    <w:rsid w:val="001958AB"/>
    <w:rsid w:val="00195E17"/>
    <w:rsid w:val="00197A6B"/>
    <w:rsid w:val="001A021A"/>
    <w:rsid w:val="001A0F7B"/>
    <w:rsid w:val="001A1BF3"/>
    <w:rsid w:val="001A219A"/>
    <w:rsid w:val="001A2265"/>
    <w:rsid w:val="001A2326"/>
    <w:rsid w:val="001A2379"/>
    <w:rsid w:val="001A26E0"/>
    <w:rsid w:val="001A281A"/>
    <w:rsid w:val="001A4C61"/>
    <w:rsid w:val="001A5776"/>
    <w:rsid w:val="001A6AB3"/>
    <w:rsid w:val="001A6F3C"/>
    <w:rsid w:val="001A6F88"/>
    <w:rsid w:val="001A7865"/>
    <w:rsid w:val="001A7ABC"/>
    <w:rsid w:val="001A7D2A"/>
    <w:rsid w:val="001B02B8"/>
    <w:rsid w:val="001B0718"/>
    <w:rsid w:val="001B087E"/>
    <w:rsid w:val="001B1789"/>
    <w:rsid w:val="001B1882"/>
    <w:rsid w:val="001B1948"/>
    <w:rsid w:val="001B49F9"/>
    <w:rsid w:val="001B574C"/>
    <w:rsid w:val="001B595B"/>
    <w:rsid w:val="001B5F02"/>
    <w:rsid w:val="001B6602"/>
    <w:rsid w:val="001B6B57"/>
    <w:rsid w:val="001B7675"/>
    <w:rsid w:val="001B7B0D"/>
    <w:rsid w:val="001C0AF9"/>
    <w:rsid w:val="001C0F5F"/>
    <w:rsid w:val="001C11DC"/>
    <w:rsid w:val="001C155A"/>
    <w:rsid w:val="001C1702"/>
    <w:rsid w:val="001C2115"/>
    <w:rsid w:val="001C38CE"/>
    <w:rsid w:val="001C3AC5"/>
    <w:rsid w:val="001C48C0"/>
    <w:rsid w:val="001C598D"/>
    <w:rsid w:val="001C6910"/>
    <w:rsid w:val="001C7A8D"/>
    <w:rsid w:val="001D0099"/>
    <w:rsid w:val="001D0CEC"/>
    <w:rsid w:val="001D246F"/>
    <w:rsid w:val="001D2C55"/>
    <w:rsid w:val="001D2DC2"/>
    <w:rsid w:val="001D33B1"/>
    <w:rsid w:val="001D357F"/>
    <w:rsid w:val="001D3A04"/>
    <w:rsid w:val="001D4F18"/>
    <w:rsid w:val="001D6726"/>
    <w:rsid w:val="001E1B7C"/>
    <w:rsid w:val="001E2870"/>
    <w:rsid w:val="001E358D"/>
    <w:rsid w:val="001E3841"/>
    <w:rsid w:val="001E43B9"/>
    <w:rsid w:val="001E57C7"/>
    <w:rsid w:val="001E7FFC"/>
    <w:rsid w:val="001F0462"/>
    <w:rsid w:val="001F3347"/>
    <w:rsid w:val="001F3D29"/>
    <w:rsid w:val="001F3D80"/>
    <w:rsid w:val="001F41BD"/>
    <w:rsid w:val="001F43E4"/>
    <w:rsid w:val="001F4440"/>
    <w:rsid w:val="001F4EE5"/>
    <w:rsid w:val="001F551C"/>
    <w:rsid w:val="001F5873"/>
    <w:rsid w:val="001F5F9C"/>
    <w:rsid w:val="001F64CD"/>
    <w:rsid w:val="001F69E4"/>
    <w:rsid w:val="001F6D2A"/>
    <w:rsid w:val="001F6D7E"/>
    <w:rsid w:val="001F7314"/>
    <w:rsid w:val="001F7C88"/>
    <w:rsid w:val="002005A8"/>
    <w:rsid w:val="0020133B"/>
    <w:rsid w:val="002017B2"/>
    <w:rsid w:val="0020192A"/>
    <w:rsid w:val="00202358"/>
    <w:rsid w:val="0020237A"/>
    <w:rsid w:val="00204E9A"/>
    <w:rsid w:val="00205515"/>
    <w:rsid w:val="00206A65"/>
    <w:rsid w:val="00207D92"/>
    <w:rsid w:val="002101AB"/>
    <w:rsid w:val="0021098C"/>
    <w:rsid w:val="00210A19"/>
    <w:rsid w:val="00211EEF"/>
    <w:rsid w:val="00212D31"/>
    <w:rsid w:val="00212F5D"/>
    <w:rsid w:val="002130C7"/>
    <w:rsid w:val="00213945"/>
    <w:rsid w:val="00213A48"/>
    <w:rsid w:val="002143B4"/>
    <w:rsid w:val="00214F64"/>
    <w:rsid w:val="00216029"/>
    <w:rsid w:val="002163E0"/>
    <w:rsid w:val="0022013A"/>
    <w:rsid w:val="002209F5"/>
    <w:rsid w:val="00220C36"/>
    <w:rsid w:val="00221335"/>
    <w:rsid w:val="002218A8"/>
    <w:rsid w:val="002222B5"/>
    <w:rsid w:val="0022306D"/>
    <w:rsid w:val="00223395"/>
    <w:rsid w:val="00223FAD"/>
    <w:rsid w:val="002255F3"/>
    <w:rsid w:val="0022563F"/>
    <w:rsid w:val="002261D5"/>
    <w:rsid w:val="002262E3"/>
    <w:rsid w:val="00226574"/>
    <w:rsid w:val="00226DFE"/>
    <w:rsid w:val="002278EC"/>
    <w:rsid w:val="00227AC7"/>
    <w:rsid w:val="00230429"/>
    <w:rsid w:val="00230782"/>
    <w:rsid w:val="00230AF4"/>
    <w:rsid w:val="00231087"/>
    <w:rsid w:val="00231637"/>
    <w:rsid w:val="002325AA"/>
    <w:rsid w:val="00232922"/>
    <w:rsid w:val="00232ED9"/>
    <w:rsid w:val="00233573"/>
    <w:rsid w:val="00233B85"/>
    <w:rsid w:val="00234477"/>
    <w:rsid w:val="00234EA0"/>
    <w:rsid w:val="00234F3A"/>
    <w:rsid w:val="00235287"/>
    <w:rsid w:val="002357C7"/>
    <w:rsid w:val="00235EB4"/>
    <w:rsid w:val="00236675"/>
    <w:rsid w:val="002367C4"/>
    <w:rsid w:val="002371D1"/>
    <w:rsid w:val="0023744E"/>
    <w:rsid w:val="0023797B"/>
    <w:rsid w:val="00237CF5"/>
    <w:rsid w:val="0024050F"/>
    <w:rsid w:val="002418FD"/>
    <w:rsid w:val="00242492"/>
    <w:rsid w:val="002431B3"/>
    <w:rsid w:val="0024407B"/>
    <w:rsid w:val="002446B6"/>
    <w:rsid w:val="00244B8B"/>
    <w:rsid w:val="00245FEB"/>
    <w:rsid w:val="00246AA4"/>
    <w:rsid w:val="002472C7"/>
    <w:rsid w:val="00247F44"/>
    <w:rsid w:val="00250E21"/>
    <w:rsid w:val="00250E99"/>
    <w:rsid w:val="002519FA"/>
    <w:rsid w:val="002521ED"/>
    <w:rsid w:val="00252AFB"/>
    <w:rsid w:val="00253777"/>
    <w:rsid w:val="00255233"/>
    <w:rsid w:val="002559BE"/>
    <w:rsid w:val="0025637C"/>
    <w:rsid w:val="0025679E"/>
    <w:rsid w:val="00256C80"/>
    <w:rsid w:val="00257005"/>
    <w:rsid w:val="002571E5"/>
    <w:rsid w:val="002605CB"/>
    <w:rsid w:val="00260C68"/>
    <w:rsid w:val="00262024"/>
    <w:rsid w:val="00262329"/>
    <w:rsid w:val="00262975"/>
    <w:rsid w:val="00262CC0"/>
    <w:rsid w:val="00263052"/>
    <w:rsid w:val="002635B3"/>
    <w:rsid w:val="002636A5"/>
    <w:rsid w:val="002643C0"/>
    <w:rsid w:val="002648B0"/>
    <w:rsid w:val="00265282"/>
    <w:rsid w:val="00265FCF"/>
    <w:rsid w:val="00266514"/>
    <w:rsid w:val="00266E4E"/>
    <w:rsid w:val="00267968"/>
    <w:rsid w:val="00271D42"/>
    <w:rsid w:val="00271E8B"/>
    <w:rsid w:val="00272DEF"/>
    <w:rsid w:val="0027311F"/>
    <w:rsid w:val="002742C5"/>
    <w:rsid w:val="00274957"/>
    <w:rsid w:val="00274D56"/>
    <w:rsid w:val="00275088"/>
    <w:rsid w:val="00275271"/>
    <w:rsid w:val="0027535E"/>
    <w:rsid w:val="00275AA6"/>
    <w:rsid w:val="00275FD7"/>
    <w:rsid w:val="0027633C"/>
    <w:rsid w:val="00276DAE"/>
    <w:rsid w:val="002807D5"/>
    <w:rsid w:val="00281A8B"/>
    <w:rsid w:val="00282958"/>
    <w:rsid w:val="00282CCD"/>
    <w:rsid w:val="002834E8"/>
    <w:rsid w:val="00284B54"/>
    <w:rsid w:val="00285CE9"/>
    <w:rsid w:val="0028688E"/>
    <w:rsid w:val="00287982"/>
    <w:rsid w:val="00287E88"/>
    <w:rsid w:val="002918F7"/>
    <w:rsid w:val="00291C52"/>
    <w:rsid w:val="00291CA8"/>
    <w:rsid w:val="00292768"/>
    <w:rsid w:val="002928F1"/>
    <w:rsid w:val="00294450"/>
    <w:rsid w:val="002946A0"/>
    <w:rsid w:val="00294C9B"/>
    <w:rsid w:val="00294CE4"/>
    <w:rsid w:val="002954CC"/>
    <w:rsid w:val="0029679A"/>
    <w:rsid w:val="00296A39"/>
    <w:rsid w:val="002973DC"/>
    <w:rsid w:val="002A0CD8"/>
    <w:rsid w:val="002A133D"/>
    <w:rsid w:val="002A168C"/>
    <w:rsid w:val="002A1A5D"/>
    <w:rsid w:val="002A1EB6"/>
    <w:rsid w:val="002A2C48"/>
    <w:rsid w:val="002A3EED"/>
    <w:rsid w:val="002A3F45"/>
    <w:rsid w:val="002A462A"/>
    <w:rsid w:val="002A4A39"/>
    <w:rsid w:val="002A518D"/>
    <w:rsid w:val="002A5444"/>
    <w:rsid w:val="002A56C7"/>
    <w:rsid w:val="002A5A17"/>
    <w:rsid w:val="002A5C00"/>
    <w:rsid w:val="002A6425"/>
    <w:rsid w:val="002A6556"/>
    <w:rsid w:val="002A6A55"/>
    <w:rsid w:val="002A7954"/>
    <w:rsid w:val="002B0146"/>
    <w:rsid w:val="002B06F6"/>
    <w:rsid w:val="002B2578"/>
    <w:rsid w:val="002B2B83"/>
    <w:rsid w:val="002B3AD2"/>
    <w:rsid w:val="002B49E2"/>
    <w:rsid w:val="002B4C10"/>
    <w:rsid w:val="002B6F17"/>
    <w:rsid w:val="002B7154"/>
    <w:rsid w:val="002B7A84"/>
    <w:rsid w:val="002B7B00"/>
    <w:rsid w:val="002B7C44"/>
    <w:rsid w:val="002C0216"/>
    <w:rsid w:val="002C1301"/>
    <w:rsid w:val="002C1388"/>
    <w:rsid w:val="002C1420"/>
    <w:rsid w:val="002C18A3"/>
    <w:rsid w:val="002C21DA"/>
    <w:rsid w:val="002C3C6A"/>
    <w:rsid w:val="002C5668"/>
    <w:rsid w:val="002C57C3"/>
    <w:rsid w:val="002C5FDB"/>
    <w:rsid w:val="002C6FAB"/>
    <w:rsid w:val="002C7084"/>
    <w:rsid w:val="002C771F"/>
    <w:rsid w:val="002C7A0D"/>
    <w:rsid w:val="002C7BD1"/>
    <w:rsid w:val="002D03BC"/>
    <w:rsid w:val="002D150D"/>
    <w:rsid w:val="002D19A4"/>
    <w:rsid w:val="002D2A0E"/>
    <w:rsid w:val="002D310F"/>
    <w:rsid w:val="002D3372"/>
    <w:rsid w:val="002D35B6"/>
    <w:rsid w:val="002D3E23"/>
    <w:rsid w:val="002D3E27"/>
    <w:rsid w:val="002D42DB"/>
    <w:rsid w:val="002D472B"/>
    <w:rsid w:val="002D4E27"/>
    <w:rsid w:val="002D65BB"/>
    <w:rsid w:val="002D6E9C"/>
    <w:rsid w:val="002D701A"/>
    <w:rsid w:val="002D7E6E"/>
    <w:rsid w:val="002D7F87"/>
    <w:rsid w:val="002E05AD"/>
    <w:rsid w:val="002E07C0"/>
    <w:rsid w:val="002E1F3A"/>
    <w:rsid w:val="002E298A"/>
    <w:rsid w:val="002E361D"/>
    <w:rsid w:val="002E37DE"/>
    <w:rsid w:val="002E3C22"/>
    <w:rsid w:val="002E4580"/>
    <w:rsid w:val="002E463C"/>
    <w:rsid w:val="002E58C9"/>
    <w:rsid w:val="002E6B16"/>
    <w:rsid w:val="002E7385"/>
    <w:rsid w:val="002E7888"/>
    <w:rsid w:val="002E7A34"/>
    <w:rsid w:val="002F02A4"/>
    <w:rsid w:val="002F1FFD"/>
    <w:rsid w:val="002F2241"/>
    <w:rsid w:val="002F22A5"/>
    <w:rsid w:val="002F272B"/>
    <w:rsid w:val="002F4023"/>
    <w:rsid w:val="002F4EF8"/>
    <w:rsid w:val="002F5EC1"/>
    <w:rsid w:val="002F6F83"/>
    <w:rsid w:val="002F7C6D"/>
    <w:rsid w:val="002F7CC2"/>
    <w:rsid w:val="0030039E"/>
    <w:rsid w:val="00300860"/>
    <w:rsid w:val="0030118B"/>
    <w:rsid w:val="003014C7"/>
    <w:rsid w:val="003027E4"/>
    <w:rsid w:val="0030300B"/>
    <w:rsid w:val="0030332C"/>
    <w:rsid w:val="0030412F"/>
    <w:rsid w:val="0030481F"/>
    <w:rsid w:val="00304F8B"/>
    <w:rsid w:val="00305B77"/>
    <w:rsid w:val="00306651"/>
    <w:rsid w:val="0030671C"/>
    <w:rsid w:val="00310994"/>
    <w:rsid w:val="00311F37"/>
    <w:rsid w:val="00312296"/>
    <w:rsid w:val="003129CD"/>
    <w:rsid w:val="0031340E"/>
    <w:rsid w:val="00313635"/>
    <w:rsid w:val="00313A87"/>
    <w:rsid w:val="0031411E"/>
    <w:rsid w:val="003154FD"/>
    <w:rsid w:val="00315945"/>
    <w:rsid w:val="00315982"/>
    <w:rsid w:val="00315F84"/>
    <w:rsid w:val="00316464"/>
    <w:rsid w:val="0031728D"/>
    <w:rsid w:val="00317A38"/>
    <w:rsid w:val="00317F77"/>
    <w:rsid w:val="003204CA"/>
    <w:rsid w:val="0032073A"/>
    <w:rsid w:val="00320EB5"/>
    <w:rsid w:val="00320ED2"/>
    <w:rsid w:val="003214D8"/>
    <w:rsid w:val="00321A3F"/>
    <w:rsid w:val="00321D8E"/>
    <w:rsid w:val="00321F56"/>
    <w:rsid w:val="003235DD"/>
    <w:rsid w:val="00323FDB"/>
    <w:rsid w:val="003247DB"/>
    <w:rsid w:val="003265F5"/>
    <w:rsid w:val="00327026"/>
    <w:rsid w:val="00327B6C"/>
    <w:rsid w:val="00327DB5"/>
    <w:rsid w:val="00331157"/>
    <w:rsid w:val="003319A7"/>
    <w:rsid w:val="00332E0A"/>
    <w:rsid w:val="003346CF"/>
    <w:rsid w:val="003348D0"/>
    <w:rsid w:val="00334996"/>
    <w:rsid w:val="00334EF4"/>
    <w:rsid w:val="00336951"/>
    <w:rsid w:val="00336969"/>
    <w:rsid w:val="00336C52"/>
    <w:rsid w:val="00336D74"/>
    <w:rsid w:val="003374BD"/>
    <w:rsid w:val="00340BBC"/>
    <w:rsid w:val="00341B3E"/>
    <w:rsid w:val="00341B42"/>
    <w:rsid w:val="003430D0"/>
    <w:rsid w:val="00344458"/>
    <w:rsid w:val="00344FA3"/>
    <w:rsid w:val="00345154"/>
    <w:rsid w:val="00345497"/>
    <w:rsid w:val="0034560E"/>
    <w:rsid w:val="003457B2"/>
    <w:rsid w:val="0034684E"/>
    <w:rsid w:val="00347391"/>
    <w:rsid w:val="00347497"/>
    <w:rsid w:val="00347B26"/>
    <w:rsid w:val="00350523"/>
    <w:rsid w:val="0035078F"/>
    <w:rsid w:val="003507CA"/>
    <w:rsid w:val="00352975"/>
    <w:rsid w:val="00353454"/>
    <w:rsid w:val="0035392F"/>
    <w:rsid w:val="003539FA"/>
    <w:rsid w:val="00354541"/>
    <w:rsid w:val="003550FA"/>
    <w:rsid w:val="003560F8"/>
    <w:rsid w:val="00356868"/>
    <w:rsid w:val="00357582"/>
    <w:rsid w:val="00357B8F"/>
    <w:rsid w:val="00357EB1"/>
    <w:rsid w:val="003604E9"/>
    <w:rsid w:val="00360A53"/>
    <w:rsid w:val="00360DBB"/>
    <w:rsid w:val="00361263"/>
    <w:rsid w:val="00362903"/>
    <w:rsid w:val="00362CE1"/>
    <w:rsid w:val="003635C5"/>
    <w:rsid w:val="0036485B"/>
    <w:rsid w:val="003649FB"/>
    <w:rsid w:val="003666EC"/>
    <w:rsid w:val="003671D1"/>
    <w:rsid w:val="00367C64"/>
    <w:rsid w:val="00367EA5"/>
    <w:rsid w:val="003703FB"/>
    <w:rsid w:val="00370B4D"/>
    <w:rsid w:val="003716B3"/>
    <w:rsid w:val="00371D7D"/>
    <w:rsid w:val="003721E1"/>
    <w:rsid w:val="0037260B"/>
    <w:rsid w:val="00372D40"/>
    <w:rsid w:val="00373615"/>
    <w:rsid w:val="00373B0D"/>
    <w:rsid w:val="00375652"/>
    <w:rsid w:val="00376988"/>
    <w:rsid w:val="00376E1A"/>
    <w:rsid w:val="00377076"/>
    <w:rsid w:val="003771D0"/>
    <w:rsid w:val="00377432"/>
    <w:rsid w:val="00377DE2"/>
    <w:rsid w:val="00380BCB"/>
    <w:rsid w:val="00381A07"/>
    <w:rsid w:val="00381A72"/>
    <w:rsid w:val="003828A4"/>
    <w:rsid w:val="00383379"/>
    <w:rsid w:val="00383D0E"/>
    <w:rsid w:val="00384766"/>
    <w:rsid w:val="00386010"/>
    <w:rsid w:val="003868BF"/>
    <w:rsid w:val="003905C8"/>
    <w:rsid w:val="0039076C"/>
    <w:rsid w:val="00390813"/>
    <w:rsid w:val="00390E4C"/>
    <w:rsid w:val="003918A9"/>
    <w:rsid w:val="00391B5C"/>
    <w:rsid w:val="0039216F"/>
    <w:rsid w:val="003927A0"/>
    <w:rsid w:val="003928AF"/>
    <w:rsid w:val="00392B71"/>
    <w:rsid w:val="00393C6D"/>
    <w:rsid w:val="003940AF"/>
    <w:rsid w:val="00394461"/>
    <w:rsid w:val="003944A8"/>
    <w:rsid w:val="00394797"/>
    <w:rsid w:val="00394AD0"/>
    <w:rsid w:val="00395BA9"/>
    <w:rsid w:val="00395C42"/>
    <w:rsid w:val="00395E1F"/>
    <w:rsid w:val="003964D4"/>
    <w:rsid w:val="00396B8E"/>
    <w:rsid w:val="00397903"/>
    <w:rsid w:val="003A1665"/>
    <w:rsid w:val="003A1948"/>
    <w:rsid w:val="003A2750"/>
    <w:rsid w:val="003A2A88"/>
    <w:rsid w:val="003A2E80"/>
    <w:rsid w:val="003A3823"/>
    <w:rsid w:val="003A4DB8"/>
    <w:rsid w:val="003A5C4F"/>
    <w:rsid w:val="003A67C1"/>
    <w:rsid w:val="003A6B29"/>
    <w:rsid w:val="003B06B7"/>
    <w:rsid w:val="003B0A6A"/>
    <w:rsid w:val="003B0E7D"/>
    <w:rsid w:val="003B152A"/>
    <w:rsid w:val="003B2457"/>
    <w:rsid w:val="003B2DD3"/>
    <w:rsid w:val="003B2EC0"/>
    <w:rsid w:val="003B3257"/>
    <w:rsid w:val="003B34EC"/>
    <w:rsid w:val="003B545B"/>
    <w:rsid w:val="003B7962"/>
    <w:rsid w:val="003C0036"/>
    <w:rsid w:val="003C00C6"/>
    <w:rsid w:val="003C0C5B"/>
    <w:rsid w:val="003C102E"/>
    <w:rsid w:val="003C1D0B"/>
    <w:rsid w:val="003C2E40"/>
    <w:rsid w:val="003C3784"/>
    <w:rsid w:val="003C3856"/>
    <w:rsid w:val="003C3CB6"/>
    <w:rsid w:val="003C4B6D"/>
    <w:rsid w:val="003C529F"/>
    <w:rsid w:val="003C60E6"/>
    <w:rsid w:val="003C617F"/>
    <w:rsid w:val="003C6C50"/>
    <w:rsid w:val="003C6C92"/>
    <w:rsid w:val="003C74EF"/>
    <w:rsid w:val="003D1C35"/>
    <w:rsid w:val="003D1FA8"/>
    <w:rsid w:val="003D2833"/>
    <w:rsid w:val="003D2C3A"/>
    <w:rsid w:val="003D2F6E"/>
    <w:rsid w:val="003D3171"/>
    <w:rsid w:val="003D3EE9"/>
    <w:rsid w:val="003D56E7"/>
    <w:rsid w:val="003D577C"/>
    <w:rsid w:val="003D634D"/>
    <w:rsid w:val="003D6485"/>
    <w:rsid w:val="003D679F"/>
    <w:rsid w:val="003D69C1"/>
    <w:rsid w:val="003E0B8A"/>
    <w:rsid w:val="003E0FBD"/>
    <w:rsid w:val="003E22E8"/>
    <w:rsid w:val="003E2888"/>
    <w:rsid w:val="003E4504"/>
    <w:rsid w:val="003E53AE"/>
    <w:rsid w:val="003E5FA3"/>
    <w:rsid w:val="003E61AD"/>
    <w:rsid w:val="003E61F7"/>
    <w:rsid w:val="003E665D"/>
    <w:rsid w:val="003E6826"/>
    <w:rsid w:val="003E6F1F"/>
    <w:rsid w:val="003E7681"/>
    <w:rsid w:val="003F0809"/>
    <w:rsid w:val="003F097B"/>
    <w:rsid w:val="003F114A"/>
    <w:rsid w:val="003F1550"/>
    <w:rsid w:val="003F2E9E"/>
    <w:rsid w:val="003F3295"/>
    <w:rsid w:val="003F3DEE"/>
    <w:rsid w:val="003F490E"/>
    <w:rsid w:val="003F4EBF"/>
    <w:rsid w:val="003F611C"/>
    <w:rsid w:val="003F6B5D"/>
    <w:rsid w:val="003F6DE6"/>
    <w:rsid w:val="003F755C"/>
    <w:rsid w:val="003F787A"/>
    <w:rsid w:val="003F7C67"/>
    <w:rsid w:val="003F7D3B"/>
    <w:rsid w:val="00400027"/>
    <w:rsid w:val="0040052C"/>
    <w:rsid w:val="004005D7"/>
    <w:rsid w:val="00400F35"/>
    <w:rsid w:val="0040207E"/>
    <w:rsid w:val="00403556"/>
    <w:rsid w:val="00404271"/>
    <w:rsid w:val="00404326"/>
    <w:rsid w:val="00404BF4"/>
    <w:rsid w:val="004052D3"/>
    <w:rsid w:val="00406F01"/>
    <w:rsid w:val="004074D7"/>
    <w:rsid w:val="00411765"/>
    <w:rsid w:val="00411B36"/>
    <w:rsid w:val="004121D7"/>
    <w:rsid w:val="004125B5"/>
    <w:rsid w:val="00413A6B"/>
    <w:rsid w:val="0041422F"/>
    <w:rsid w:val="00414755"/>
    <w:rsid w:val="00414D10"/>
    <w:rsid w:val="00415F96"/>
    <w:rsid w:val="00416627"/>
    <w:rsid w:val="00416D50"/>
    <w:rsid w:val="00417772"/>
    <w:rsid w:val="00417F69"/>
    <w:rsid w:val="004208B5"/>
    <w:rsid w:val="00420E6A"/>
    <w:rsid w:val="00422908"/>
    <w:rsid w:val="00423652"/>
    <w:rsid w:val="00424035"/>
    <w:rsid w:val="004241DA"/>
    <w:rsid w:val="00425332"/>
    <w:rsid w:val="00425E2F"/>
    <w:rsid w:val="00427A21"/>
    <w:rsid w:val="00427A90"/>
    <w:rsid w:val="00427CF5"/>
    <w:rsid w:val="0043112E"/>
    <w:rsid w:val="0043124F"/>
    <w:rsid w:val="00432AAA"/>
    <w:rsid w:val="004332FE"/>
    <w:rsid w:val="00433A69"/>
    <w:rsid w:val="00433CA9"/>
    <w:rsid w:val="00433CC7"/>
    <w:rsid w:val="00433DC4"/>
    <w:rsid w:val="00433F6A"/>
    <w:rsid w:val="00434703"/>
    <w:rsid w:val="00434788"/>
    <w:rsid w:val="004347C6"/>
    <w:rsid w:val="00434F31"/>
    <w:rsid w:val="0043521D"/>
    <w:rsid w:val="00435699"/>
    <w:rsid w:val="00435EDA"/>
    <w:rsid w:val="004361C6"/>
    <w:rsid w:val="0043631E"/>
    <w:rsid w:val="00436AA3"/>
    <w:rsid w:val="00436AB5"/>
    <w:rsid w:val="00437667"/>
    <w:rsid w:val="00437873"/>
    <w:rsid w:val="00437D64"/>
    <w:rsid w:val="00437FCA"/>
    <w:rsid w:val="00441FED"/>
    <w:rsid w:val="00442024"/>
    <w:rsid w:val="0044254C"/>
    <w:rsid w:val="00442D1E"/>
    <w:rsid w:val="004430F1"/>
    <w:rsid w:val="00443CFF"/>
    <w:rsid w:val="00443F6A"/>
    <w:rsid w:val="00444B0A"/>
    <w:rsid w:val="00445BC4"/>
    <w:rsid w:val="0044658D"/>
    <w:rsid w:val="00447DF6"/>
    <w:rsid w:val="004502C1"/>
    <w:rsid w:val="00450A17"/>
    <w:rsid w:val="004518E1"/>
    <w:rsid w:val="00452E5A"/>
    <w:rsid w:val="0045402C"/>
    <w:rsid w:val="004540D4"/>
    <w:rsid w:val="004545FA"/>
    <w:rsid w:val="00454E32"/>
    <w:rsid w:val="00455717"/>
    <w:rsid w:val="0045614B"/>
    <w:rsid w:val="00456A29"/>
    <w:rsid w:val="00460702"/>
    <w:rsid w:val="004611E0"/>
    <w:rsid w:val="00461F55"/>
    <w:rsid w:val="00462148"/>
    <w:rsid w:val="0046224A"/>
    <w:rsid w:val="0046322B"/>
    <w:rsid w:val="004637D6"/>
    <w:rsid w:val="004660A4"/>
    <w:rsid w:val="00466321"/>
    <w:rsid w:val="00466B7B"/>
    <w:rsid w:val="004672AF"/>
    <w:rsid w:val="0046749B"/>
    <w:rsid w:val="004674D1"/>
    <w:rsid w:val="00467657"/>
    <w:rsid w:val="0046777A"/>
    <w:rsid w:val="00467E24"/>
    <w:rsid w:val="00470658"/>
    <w:rsid w:val="00471147"/>
    <w:rsid w:val="00471C65"/>
    <w:rsid w:val="00471EE8"/>
    <w:rsid w:val="0047207C"/>
    <w:rsid w:val="004727B0"/>
    <w:rsid w:val="004735CF"/>
    <w:rsid w:val="00474511"/>
    <w:rsid w:val="00475352"/>
    <w:rsid w:val="00475CEF"/>
    <w:rsid w:val="00476660"/>
    <w:rsid w:val="004766A4"/>
    <w:rsid w:val="00477BDB"/>
    <w:rsid w:val="00477EB7"/>
    <w:rsid w:val="00480247"/>
    <w:rsid w:val="0048081D"/>
    <w:rsid w:val="0048113B"/>
    <w:rsid w:val="0048117E"/>
    <w:rsid w:val="00481283"/>
    <w:rsid w:val="00481ADD"/>
    <w:rsid w:val="00481D5F"/>
    <w:rsid w:val="00482FFF"/>
    <w:rsid w:val="00483D3D"/>
    <w:rsid w:val="00483F8E"/>
    <w:rsid w:val="00484504"/>
    <w:rsid w:val="004855F6"/>
    <w:rsid w:val="00485738"/>
    <w:rsid w:val="00486C05"/>
    <w:rsid w:val="00486E8C"/>
    <w:rsid w:val="00486F0C"/>
    <w:rsid w:val="00486F66"/>
    <w:rsid w:val="00486F7A"/>
    <w:rsid w:val="004907E9"/>
    <w:rsid w:val="00490A23"/>
    <w:rsid w:val="00491360"/>
    <w:rsid w:val="00492542"/>
    <w:rsid w:val="0049291D"/>
    <w:rsid w:val="0049371D"/>
    <w:rsid w:val="00494670"/>
    <w:rsid w:val="004946B1"/>
    <w:rsid w:val="00494D4F"/>
    <w:rsid w:val="00495594"/>
    <w:rsid w:val="00496243"/>
    <w:rsid w:val="00496D19"/>
    <w:rsid w:val="004974BA"/>
    <w:rsid w:val="00497884"/>
    <w:rsid w:val="004A0EB4"/>
    <w:rsid w:val="004A0F2E"/>
    <w:rsid w:val="004A151D"/>
    <w:rsid w:val="004A159B"/>
    <w:rsid w:val="004A1AE0"/>
    <w:rsid w:val="004A3587"/>
    <w:rsid w:val="004A3823"/>
    <w:rsid w:val="004A4479"/>
    <w:rsid w:val="004A4C20"/>
    <w:rsid w:val="004A539D"/>
    <w:rsid w:val="004A577D"/>
    <w:rsid w:val="004A58E9"/>
    <w:rsid w:val="004A59BB"/>
    <w:rsid w:val="004A5A02"/>
    <w:rsid w:val="004A6B4F"/>
    <w:rsid w:val="004A78FB"/>
    <w:rsid w:val="004A7E3B"/>
    <w:rsid w:val="004B0890"/>
    <w:rsid w:val="004B17F4"/>
    <w:rsid w:val="004B1CBE"/>
    <w:rsid w:val="004B23E8"/>
    <w:rsid w:val="004B2B9B"/>
    <w:rsid w:val="004B3547"/>
    <w:rsid w:val="004B43A3"/>
    <w:rsid w:val="004B4C49"/>
    <w:rsid w:val="004B52A3"/>
    <w:rsid w:val="004B5424"/>
    <w:rsid w:val="004B58A5"/>
    <w:rsid w:val="004B5F9A"/>
    <w:rsid w:val="004B63D9"/>
    <w:rsid w:val="004B6AA0"/>
    <w:rsid w:val="004B6BB4"/>
    <w:rsid w:val="004B798F"/>
    <w:rsid w:val="004C007D"/>
    <w:rsid w:val="004C0882"/>
    <w:rsid w:val="004C0C6C"/>
    <w:rsid w:val="004C0D49"/>
    <w:rsid w:val="004C19B7"/>
    <w:rsid w:val="004C1F04"/>
    <w:rsid w:val="004C20C1"/>
    <w:rsid w:val="004C3A6C"/>
    <w:rsid w:val="004C55BE"/>
    <w:rsid w:val="004C5A4F"/>
    <w:rsid w:val="004C6AC2"/>
    <w:rsid w:val="004C6E4C"/>
    <w:rsid w:val="004C72C0"/>
    <w:rsid w:val="004D10DC"/>
    <w:rsid w:val="004D193B"/>
    <w:rsid w:val="004D1D75"/>
    <w:rsid w:val="004D235D"/>
    <w:rsid w:val="004D2501"/>
    <w:rsid w:val="004D2705"/>
    <w:rsid w:val="004D2C23"/>
    <w:rsid w:val="004D318C"/>
    <w:rsid w:val="004D35B4"/>
    <w:rsid w:val="004D3C99"/>
    <w:rsid w:val="004D4BBE"/>
    <w:rsid w:val="004D4D13"/>
    <w:rsid w:val="004D4F77"/>
    <w:rsid w:val="004D54A8"/>
    <w:rsid w:val="004D65A9"/>
    <w:rsid w:val="004D67B0"/>
    <w:rsid w:val="004D7362"/>
    <w:rsid w:val="004D7C30"/>
    <w:rsid w:val="004E020B"/>
    <w:rsid w:val="004E103E"/>
    <w:rsid w:val="004E22EA"/>
    <w:rsid w:val="004E35DB"/>
    <w:rsid w:val="004E3905"/>
    <w:rsid w:val="004E401D"/>
    <w:rsid w:val="004E42EB"/>
    <w:rsid w:val="004E4915"/>
    <w:rsid w:val="004E5368"/>
    <w:rsid w:val="004E53CD"/>
    <w:rsid w:val="004E5B30"/>
    <w:rsid w:val="004E664D"/>
    <w:rsid w:val="004E6CBC"/>
    <w:rsid w:val="004E7F63"/>
    <w:rsid w:val="004F0779"/>
    <w:rsid w:val="004F1230"/>
    <w:rsid w:val="004F155B"/>
    <w:rsid w:val="004F173F"/>
    <w:rsid w:val="004F177C"/>
    <w:rsid w:val="004F1B75"/>
    <w:rsid w:val="004F20B7"/>
    <w:rsid w:val="004F2DCE"/>
    <w:rsid w:val="004F2E70"/>
    <w:rsid w:val="004F3887"/>
    <w:rsid w:val="004F5080"/>
    <w:rsid w:val="004F53D5"/>
    <w:rsid w:val="004F64B3"/>
    <w:rsid w:val="004F73E0"/>
    <w:rsid w:val="00500E62"/>
    <w:rsid w:val="005019FE"/>
    <w:rsid w:val="00501F95"/>
    <w:rsid w:val="00502371"/>
    <w:rsid w:val="0050265A"/>
    <w:rsid w:val="00502BB3"/>
    <w:rsid w:val="00503982"/>
    <w:rsid w:val="005039CB"/>
    <w:rsid w:val="0050470B"/>
    <w:rsid w:val="005049DF"/>
    <w:rsid w:val="00504AD7"/>
    <w:rsid w:val="0050558F"/>
    <w:rsid w:val="005057E0"/>
    <w:rsid w:val="00506286"/>
    <w:rsid w:val="005066A5"/>
    <w:rsid w:val="00510813"/>
    <w:rsid w:val="00510B5D"/>
    <w:rsid w:val="0051183E"/>
    <w:rsid w:val="00511DE0"/>
    <w:rsid w:val="00513235"/>
    <w:rsid w:val="00515980"/>
    <w:rsid w:val="00517EAF"/>
    <w:rsid w:val="00517F02"/>
    <w:rsid w:val="005205D6"/>
    <w:rsid w:val="00521585"/>
    <w:rsid w:val="005222BC"/>
    <w:rsid w:val="00522D9E"/>
    <w:rsid w:val="00523205"/>
    <w:rsid w:val="005233D2"/>
    <w:rsid w:val="00523B31"/>
    <w:rsid w:val="00524547"/>
    <w:rsid w:val="00525185"/>
    <w:rsid w:val="005258A2"/>
    <w:rsid w:val="00526399"/>
    <w:rsid w:val="005265AF"/>
    <w:rsid w:val="00527CF0"/>
    <w:rsid w:val="0053094B"/>
    <w:rsid w:val="00530F7C"/>
    <w:rsid w:val="00531D10"/>
    <w:rsid w:val="0053301F"/>
    <w:rsid w:val="00533106"/>
    <w:rsid w:val="005337D1"/>
    <w:rsid w:val="00534567"/>
    <w:rsid w:val="00534DB2"/>
    <w:rsid w:val="00534F43"/>
    <w:rsid w:val="0053565A"/>
    <w:rsid w:val="005359BC"/>
    <w:rsid w:val="00535A84"/>
    <w:rsid w:val="00536889"/>
    <w:rsid w:val="005369A1"/>
    <w:rsid w:val="00537294"/>
    <w:rsid w:val="0053745C"/>
    <w:rsid w:val="00537A10"/>
    <w:rsid w:val="00540C1A"/>
    <w:rsid w:val="005415AB"/>
    <w:rsid w:val="0054164D"/>
    <w:rsid w:val="00541CA5"/>
    <w:rsid w:val="00542024"/>
    <w:rsid w:val="00542121"/>
    <w:rsid w:val="005423B9"/>
    <w:rsid w:val="005425D3"/>
    <w:rsid w:val="005428DE"/>
    <w:rsid w:val="00542B0D"/>
    <w:rsid w:val="00542E07"/>
    <w:rsid w:val="0054623F"/>
    <w:rsid w:val="005463E5"/>
    <w:rsid w:val="005473EC"/>
    <w:rsid w:val="0055008F"/>
    <w:rsid w:val="005505D7"/>
    <w:rsid w:val="00552075"/>
    <w:rsid w:val="005527D7"/>
    <w:rsid w:val="005535B6"/>
    <w:rsid w:val="00554A10"/>
    <w:rsid w:val="00554A7B"/>
    <w:rsid w:val="005556DE"/>
    <w:rsid w:val="0055572C"/>
    <w:rsid w:val="00555E14"/>
    <w:rsid w:val="005570BA"/>
    <w:rsid w:val="0055727F"/>
    <w:rsid w:val="0056064F"/>
    <w:rsid w:val="005608D9"/>
    <w:rsid w:val="0056158D"/>
    <w:rsid w:val="00561ABF"/>
    <w:rsid w:val="00561B84"/>
    <w:rsid w:val="00562D12"/>
    <w:rsid w:val="00562F0D"/>
    <w:rsid w:val="005632A8"/>
    <w:rsid w:val="00563523"/>
    <w:rsid w:val="0056398C"/>
    <w:rsid w:val="005639B6"/>
    <w:rsid w:val="0056418D"/>
    <w:rsid w:val="0056482C"/>
    <w:rsid w:val="005648EA"/>
    <w:rsid w:val="00564C0C"/>
    <w:rsid w:val="00564E1D"/>
    <w:rsid w:val="005660D9"/>
    <w:rsid w:val="00566613"/>
    <w:rsid w:val="00566861"/>
    <w:rsid w:val="00567625"/>
    <w:rsid w:val="00571D98"/>
    <w:rsid w:val="00571EE3"/>
    <w:rsid w:val="00571F10"/>
    <w:rsid w:val="005720AE"/>
    <w:rsid w:val="00572114"/>
    <w:rsid w:val="00573762"/>
    <w:rsid w:val="00574752"/>
    <w:rsid w:val="005750C1"/>
    <w:rsid w:val="0057532D"/>
    <w:rsid w:val="00575891"/>
    <w:rsid w:val="005758E7"/>
    <w:rsid w:val="005760DD"/>
    <w:rsid w:val="005765A4"/>
    <w:rsid w:val="00576BF4"/>
    <w:rsid w:val="005801EA"/>
    <w:rsid w:val="0058030D"/>
    <w:rsid w:val="0058072D"/>
    <w:rsid w:val="00580D4D"/>
    <w:rsid w:val="0058203A"/>
    <w:rsid w:val="00582045"/>
    <w:rsid w:val="005830B3"/>
    <w:rsid w:val="005847E2"/>
    <w:rsid w:val="00584F1B"/>
    <w:rsid w:val="0058542C"/>
    <w:rsid w:val="00585878"/>
    <w:rsid w:val="00585E74"/>
    <w:rsid w:val="0058662E"/>
    <w:rsid w:val="00586983"/>
    <w:rsid w:val="00587A54"/>
    <w:rsid w:val="00590AE3"/>
    <w:rsid w:val="005914EF"/>
    <w:rsid w:val="005917D3"/>
    <w:rsid w:val="005918F1"/>
    <w:rsid w:val="0059191F"/>
    <w:rsid w:val="00591DD2"/>
    <w:rsid w:val="00594790"/>
    <w:rsid w:val="005954F8"/>
    <w:rsid w:val="00595BC2"/>
    <w:rsid w:val="0059619D"/>
    <w:rsid w:val="00596B4D"/>
    <w:rsid w:val="005972E2"/>
    <w:rsid w:val="0059788D"/>
    <w:rsid w:val="00597C48"/>
    <w:rsid w:val="00597C94"/>
    <w:rsid w:val="005A06B7"/>
    <w:rsid w:val="005A072A"/>
    <w:rsid w:val="005A0C94"/>
    <w:rsid w:val="005A142D"/>
    <w:rsid w:val="005A1759"/>
    <w:rsid w:val="005A1847"/>
    <w:rsid w:val="005A1A81"/>
    <w:rsid w:val="005A2723"/>
    <w:rsid w:val="005A2F01"/>
    <w:rsid w:val="005A320B"/>
    <w:rsid w:val="005A39F3"/>
    <w:rsid w:val="005A3B97"/>
    <w:rsid w:val="005A4BB2"/>
    <w:rsid w:val="005A4D2C"/>
    <w:rsid w:val="005A54AE"/>
    <w:rsid w:val="005A6411"/>
    <w:rsid w:val="005A6BD8"/>
    <w:rsid w:val="005A6EAE"/>
    <w:rsid w:val="005A77A7"/>
    <w:rsid w:val="005A7800"/>
    <w:rsid w:val="005B1AFE"/>
    <w:rsid w:val="005B284C"/>
    <w:rsid w:val="005B4ECD"/>
    <w:rsid w:val="005B552D"/>
    <w:rsid w:val="005B558E"/>
    <w:rsid w:val="005B5C2F"/>
    <w:rsid w:val="005B60F3"/>
    <w:rsid w:val="005B76DC"/>
    <w:rsid w:val="005C06CD"/>
    <w:rsid w:val="005C103C"/>
    <w:rsid w:val="005C139F"/>
    <w:rsid w:val="005C1DC7"/>
    <w:rsid w:val="005C21BF"/>
    <w:rsid w:val="005C26D0"/>
    <w:rsid w:val="005C4608"/>
    <w:rsid w:val="005C5781"/>
    <w:rsid w:val="005C5C68"/>
    <w:rsid w:val="005C5EB8"/>
    <w:rsid w:val="005C6AA7"/>
    <w:rsid w:val="005C6EBD"/>
    <w:rsid w:val="005C783A"/>
    <w:rsid w:val="005D0369"/>
    <w:rsid w:val="005D1D32"/>
    <w:rsid w:val="005D3694"/>
    <w:rsid w:val="005D53FE"/>
    <w:rsid w:val="005D6496"/>
    <w:rsid w:val="005D7A0F"/>
    <w:rsid w:val="005E0438"/>
    <w:rsid w:val="005E080A"/>
    <w:rsid w:val="005E14C5"/>
    <w:rsid w:val="005E16FF"/>
    <w:rsid w:val="005E1791"/>
    <w:rsid w:val="005E2B26"/>
    <w:rsid w:val="005E2CE6"/>
    <w:rsid w:val="005E2F9B"/>
    <w:rsid w:val="005E3337"/>
    <w:rsid w:val="005E33A8"/>
    <w:rsid w:val="005E39DC"/>
    <w:rsid w:val="005E3F1D"/>
    <w:rsid w:val="005E453B"/>
    <w:rsid w:val="005E479D"/>
    <w:rsid w:val="005E49C4"/>
    <w:rsid w:val="005E4EF3"/>
    <w:rsid w:val="005E51EF"/>
    <w:rsid w:val="005E6324"/>
    <w:rsid w:val="005E6481"/>
    <w:rsid w:val="005E6495"/>
    <w:rsid w:val="005E65FA"/>
    <w:rsid w:val="005E6907"/>
    <w:rsid w:val="005E73BF"/>
    <w:rsid w:val="005E7CDC"/>
    <w:rsid w:val="005E7F3F"/>
    <w:rsid w:val="005F0F48"/>
    <w:rsid w:val="005F228B"/>
    <w:rsid w:val="005F27D0"/>
    <w:rsid w:val="005F29CD"/>
    <w:rsid w:val="005F2D66"/>
    <w:rsid w:val="005F2EF7"/>
    <w:rsid w:val="005F3D2F"/>
    <w:rsid w:val="005F3F83"/>
    <w:rsid w:val="005F4DFB"/>
    <w:rsid w:val="005F5D3D"/>
    <w:rsid w:val="005F5EA0"/>
    <w:rsid w:val="005F6260"/>
    <w:rsid w:val="005F64C3"/>
    <w:rsid w:val="005F6631"/>
    <w:rsid w:val="005F6767"/>
    <w:rsid w:val="005F6CC0"/>
    <w:rsid w:val="005F7245"/>
    <w:rsid w:val="00601970"/>
    <w:rsid w:val="00601D76"/>
    <w:rsid w:val="00601E7D"/>
    <w:rsid w:val="006030C7"/>
    <w:rsid w:val="00603C5F"/>
    <w:rsid w:val="00603E5B"/>
    <w:rsid w:val="0060412A"/>
    <w:rsid w:val="00604BC8"/>
    <w:rsid w:val="00605B37"/>
    <w:rsid w:val="00606115"/>
    <w:rsid w:val="00606D12"/>
    <w:rsid w:val="006107A7"/>
    <w:rsid w:val="006112FE"/>
    <w:rsid w:val="00611E84"/>
    <w:rsid w:val="00612363"/>
    <w:rsid w:val="0061315F"/>
    <w:rsid w:val="006139C3"/>
    <w:rsid w:val="006158C7"/>
    <w:rsid w:val="00615B4C"/>
    <w:rsid w:val="00615B5D"/>
    <w:rsid w:val="00616597"/>
    <w:rsid w:val="00617B0D"/>
    <w:rsid w:val="0062036F"/>
    <w:rsid w:val="00620546"/>
    <w:rsid w:val="006210FF"/>
    <w:rsid w:val="0062146F"/>
    <w:rsid w:val="00621F59"/>
    <w:rsid w:val="006234A9"/>
    <w:rsid w:val="00624555"/>
    <w:rsid w:val="0062619C"/>
    <w:rsid w:val="00626BF8"/>
    <w:rsid w:val="0062703D"/>
    <w:rsid w:val="006274E0"/>
    <w:rsid w:val="006307A7"/>
    <w:rsid w:val="00630825"/>
    <w:rsid w:val="00630D1C"/>
    <w:rsid w:val="00631124"/>
    <w:rsid w:val="00632208"/>
    <w:rsid w:val="00632D37"/>
    <w:rsid w:val="0063310E"/>
    <w:rsid w:val="00633498"/>
    <w:rsid w:val="006334E1"/>
    <w:rsid w:val="00633BF5"/>
    <w:rsid w:val="006343AF"/>
    <w:rsid w:val="00634748"/>
    <w:rsid w:val="00634AB3"/>
    <w:rsid w:val="00635FFC"/>
    <w:rsid w:val="00636281"/>
    <w:rsid w:val="0063634A"/>
    <w:rsid w:val="006369BE"/>
    <w:rsid w:val="00636C54"/>
    <w:rsid w:val="006374EE"/>
    <w:rsid w:val="006375E3"/>
    <w:rsid w:val="006410EE"/>
    <w:rsid w:val="00641163"/>
    <w:rsid w:val="0064177C"/>
    <w:rsid w:val="00641E35"/>
    <w:rsid w:val="00642088"/>
    <w:rsid w:val="0064250D"/>
    <w:rsid w:val="0064290B"/>
    <w:rsid w:val="00643BE3"/>
    <w:rsid w:val="0064415C"/>
    <w:rsid w:val="006441AD"/>
    <w:rsid w:val="00644AFB"/>
    <w:rsid w:val="00644BF6"/>
    <w:rsid w:val="0064527F"/>
    <w:rsid w:val="00646088"/>
    <w:rsid w:val="0064695C"/>
    <w:rsid w:val="006476D9"/>
    <w:rsid w:val="00647C5F"/>
    <w:rsid w:val="00652449"/>
    <w:rsid w:val="006535EB"/>
    <w:rsid w:val="00653BB5"/>
    <w:rsid w:val="006544F8"/>
    <w:rsid w:val="006556DA"/>
    <w:rsid w:val="00656DAF"/>
    <w:rsid w:val="00657507"/>
    <w:rsid w:val="00657A12"/>
    <w:rsid w:val="00657BA6"/>
    <w:rsid w:val="00660877"/>
    <w:rsid w:val="00661066"/>
    <w:rsid w:val="00663016"/>
    <w:rsid w:val="0066364D"/>
    <w:rsid w:val="006638D3"/>
    <w:rsid w:val="00664529"/>
    <w:rsid w:val="00664EBC"/>
    <w:rsid w:val="00665918"/>
    <w:rsid w:val="00665AF2"/>
    <w:rsid w:val="00670669"/>
    <w:rsid w:val="00670B10"/>
    <w:rsid w:val="00670D6B"/>
    <w:rsid w:val="00670FB8"/>
    <w:rsid w:val="00671186"/>
    <w:rsid w:val="00671672"/>
    <w:rsid w:val="0067223F"/>
    <w:rsid w:val="00672A49"/>
    <w:rsid w:val="00672C71"/>
    <w:rsid w:val="00672CC7"/>
    <w:rsid w:val="006731C5"/>
    <w:rsid w:val="006738E3"/>
    <w:rsid w:val="00673A0A"/>
    <w:rsid w:val="00674605"/>
    <w:rsid w:val="006748B8"/>
    <w:rsid w:val="006752A1"/>
    <w:rsid w:val="00675DBD"/>
    <w:rsid w:val="006761F8"/>
    <w:rsid w:val="00680281"/>
    <w:rsid w:val="006802A6"/>
    <w:rsid w:val="006803E5"/>
    <w:rsid w:val="006808C3"/>
    <w:rsid w:val="006814C0"/>
    <w:rsid w:val="00681C3F"/>
    <w:rsid w:val="00683138"/>
    <w:rsid w:val="00684802"/>
    <w:rsid w:val="0068535B"/>
    <w:rsid w:val="00686BEE"/>
    <w:rsid w:val="0068701C"/>
    <w:rsid w:val="0068736E"/>
    <w:rsid w:val="00687891"/>
    <w:rsid w:val="00690208"/>
    <w:rsid w:val="00690E54"/>
    <w:rsid w:val="00691521"/>
    <w:rsid w:val="0069290A"/>
    <w:rsid w:val="0069296E"/>
    <w:rsid w:val="0069492E"/>
    <w:rsid w:val="00695AE8"/>
    <w:rsid w:val="00696827"/>
    <w:rsid w:val="00697032"/>
    <w:rsid w:val="006970B5"/>
    <w:rsid w:val="006975AC"/>
    <w:rsid w:val="0069760E"/>
    <w:rsid w:val="0069793D"/>
    <w:rsid w:val="006A0B49"/>
    <w:rsid w:val="006A15FB"/>
    <w:rsid w:val="006A1AD8"/>
    <w:rsid w:val="006A1F36"/>
    <w:rsid w:val="006A2727"/>
    <w:rsid w:val="006A32F4"/>
    <w:rsid w:val="006A427B"/>
    <w:rsid w:val="006A49D6"/>
    <w:rsid w:val="006A508B"/>
    <w:rsid w:val="006A5395"/>
    <w:rsid w:val="006A5BAB"/>
    <w:rsid w:val="006A65D9"/>
    <w:rsid w:val="006A72BF"/>
    <w:rsid w:val="006A72FE"/>
    <w:rsid w:val="006A76F0"/>
    <w:rsid w:val="006B1386"/>
    <w:rsid w:val="006B3236"/>
    <w:rsid w:val="006B332A"/>
    <w:rsid w:val="006B33BD"/>
    <w:rsid w:val="006B363B"/>
    <w:rsid w:val="006B3AF8"/>
    <w:rsid w:val="006B459D"/>
    <w:rsid w:val="006B5223"/>
    <w:rsid w:val="006B5842"/>
    <w:rsid w:val="006B63A8"/>
    <w:rsid w:val="006B68B9"/>
    <w:rsid w:val="006C075F"/>
    <w:rsid w:val="006C0D73"/>
    <w:rsid w:val="006C14AE"/>
    <w:rsid w:val="006C1E62"/>
    <w:rsid w:val="006C2738"/>
    <w:rsid w:val="006C3592"/>
    <w:rsid w:val="006C3787"/>
    <w:rsid w:val="006C3F75"/>
    <w:rsid w:val="006C41C3"/>
    <w:rsid w:val="006C4B9D"/>
    <w:rsid w:val="006C4C78"/>
    <w:rsid w:val="006C4F5B"/>
    <w:rsid w:val="006C5478"/>
    <w:rsid w:val="006C573A"/>
    <w:rsid w:val="006C5894"/>
    <w:rsid w:val="006C6267"/>
    <w:rsid w:val="006C65DE"/>
    <w:rsid w:val="006C6AB5"/>
    <w:rsid w:val="006C6E53"/>
    <w:rsid w:val="006C6FAF"/>
    <w:rsid w:val="006C728D"/>
    <w:rsid w:val="006C751A"/>
    <w:rsid w:val="006C788E"/>
    <w:rsid w:val="006C7E39"/>
    <w:rsid w:val="006D170E"/>
    <w:rsid w:val="006D1F2D"/>
    <w:rsid w:val="006D1F69"/>
    <w:rsid w:val="006D45CC"/>
    <w:rsid w:val="006D4C98"/>
    <w:rsid w:val="006D65A4"/>
    <w:rsid w:val="006D7CD5"/>
    <w:rsid w:val="006E0254"/>
    <w:rsid w:val="006E0312"/>
    <w:rsid w:val="006E06AF"/>
    <w:rsid w:val="006E10E7"/>
    <w:rsid w:val="006E1E57"/>
    <w:rsid w:val="006E3E1A"/>
    <w:rsid w:val="006E4295"/>
    <w:rsid w:val="006E5E79"/>
    <w:rsid w:val="006E790D"/>
    <w:rsid w:val="006F0493"/>
    <w:rsid w:val="006F14BE"/>
    <w:rsid w:val="006F1789"/>
    <w:rsid w:val="006F256B"/>
    <w:rsid w:val="006F2593"/>
    <w:rsid w:val="006F3460"/>
    <w:rsid w:val="006F3CE6"/>
    <w:rsid w:val="006F3FEC"/>
    <w:rsid w:val="006F44CD"/>
    <w:rsid w:val="006F517A"/>
    <w:rsid w:val="006F610D"/>
    <w:rsid w:val="006F622F"/>
    <w:rsid w:val="006F6971"/>
    <w:rsid w:val="006F7033"/>
    <w:rsid w:val="006F77AA"/>
    <w:rsid w:val="006F7AD2"/>
    <w:rsid w:val="006F7EE5"/>
    <w:rsid w:val="007011DD"/>
    <w:rsid w:val="0070150C"/>
    <w:rsid w:val="00702CDB"/>
    <w:rsid w:val="00704140"/>
    <w:rsid w:val="00704172"/>
    <w:rsid w:val="00704232"/>
    <w:rsid w:val="0070569D"/>
    <w:rsid w:val="007059C4"/>
    <w:rsid w:val="00705D07"/>
    <w:rsid w:val="00706C5D"/>
    <w:rsid w:val="007070C6"/>
    <w:rsid w:val="0070770C"/>
    <w:rsid w:val="0071015F"/>
    <w:rsid w:val="007118E6"/>
    <w:rsid w:val="00712BF2"/>
    <w:rsid w:val="00712F18"/>
    <w:rsid w:val="00712FCE"/>
    <w:rsid w:val="007134EE"/>
    <w:rsid w:val="007137E5"/>
    <w:rsid w:val="00713D96"/>
    <w:rsid w:val="00714DBF"/>
    <w:rsid w:val="00715553"/>
    <w:rsid w:val="00715C5A"/>
    <w:rsid w:val="00716014"/>
    <w:rsid w:val="00716061"/>
    <w:rsid w:val="00716E09"/>
    <w:rsid w:val="00717542"/>
    <w:rsid w:val="0072016F"/>
    <w:rsid w:val="00720389"/>
    <w:rsid w:val="00720CA8"/>
    <w:rsid w:val="00721CD1"/>
    <w:rsid w:val="00721CF2"/>
    <w:rsid w:val="007225C9"/>
    <w:rsid w:val="007226A0"/>
    <w:rsid w:val="00722BAE"/>
    <w:rsid w:val="00723148"/>
    <w:rsid w:val="00723CC3"/>
    <w:rsid w:val="007243A4"/>
    <w:rsid w:val="00725A0B"/>
    <w:rsid w:val="0072751D"/>
    <w:rsid w:val="00727D8A"/>
    <w:rsid w:val="00727DC5"/>
    <w:rsid w:val="00727F5E"/>
    <w:rsid w:val="007318D7"/>
    <w:rsid w:val="00731B01"/>
    <w:rsid w:val="00732B7E"/>
    <w:rsid w:val="00733F38"/>
    <w:rsid w:val="00735B55"/>
    <w:rsid w:val="00735CD7"/>
    <w:rsid w:val="00736FA5"/>
    <w:rsid w:val="0073760B"/>
    <w:rsid w:val="007412D9"/>
    <w:rsid w:val="00745956"/>
    <w:rsid w:val="00746AA8"/>
    <w:rsid w:val="0074734F"/>
    <w:rsid w:val="00750417"/>
    <w:rsid w:val="0075094F"/>
    <w:rsid w:val="00750B96"/>
    <w:rsid w:val="00750D18"/>
    <w:rsid w:val="0075157E"/>
    <w:rsid w:val="00751D9B"/>
    <w:rsid w:val="00752A58"/>
    <w:rsid w:val="00754034"/>
    <w:rsid w:val="00754749"/>
    <w:rsid w:val="00754BF1"/>
    <w:rsid w:val="0075536A"/>
    <w:rsid w:val="00755A30"/>
    <w:rsid w:val="00755E1C"/>
    <w:rsid w:val="00756556"/>
    <w:rsid w:val="00756679"/>
    <w:rsid w:val="0075751B"/>
    <w:rsid w:val="00757FA6"/>
    <w:rsid w:val="0076132B"/>
    <w:rsid w:val="007623AE"/>
    <w:rsid w:val="00763417"/>
    <w:rsid w:val="0076359D"/>
    <w:rsid w:val="00764037"/>
    <w:rsid w:val="007644A4"/>
    <w:rsid w:val="0076486D"/>
    <w:rsid w:val="0076496A"/>
    <w:rsid w:val="00765A28"/>
    <w:rsid w:val="00766FCD"/>
    <w:rsid w:val="007674E6"/>
    <w:rsid w:val="0076797D"/>
    <w:rsid w:val="00770007"/>
    <w:rsid w:val="007703AF"/>
    <w:rsid w:val="0077042F"/>
    <w:rsid w:val="0077047F"/>
    <w:rsid w:val="0077057F"/>
    <w:rsid w:val="00770B19"/>
    <w:rsid w:val="00771442"/>
    <w:rsid w:val="007715DB"/>
    <w:rsid w:val="00771A61"/>
    <w:rsid w:val="00771F43"/>
    <w:rsid w:val="00772531"/>
    <w:rsid w:val="007730CD"/>
    <w:rsid w:val="007746D6"/>
    <w:rsid w:val="00774FA0"/>
    <w:rsid w:val="00775181"/>
    <w:rsid w:val="0077544F"/>
    <w:rsid w:val="007756A7"/>
    <w:rsid w:val="00776025"/>
    <w:rsid w:val="00776620"/>
    <w:rsid w:val="0077732F"/>
    <w:rsid w:val="007773B8"/>
    <w:rsid w:val="007775D1"/>
    <w:rsid w:val="00777875"/>
    <w:rsid w:val="00777B6D"/>
    <w:rsid w:val="00781A11"/>
    <w:rsid w:val="00781F5F"/>
    <w:rsid w:val="00782605"/>
    <w:rsid w:val="00782C78"/>
    <w:rsid w:val="00782E78"/>
    <w:rsid w:val="00783647"/>
    <w:rsid w:val="007841A8"/>
    <w:rsid w:val="00784855"/>
    <w:rsid w:val="00784F39"/>
    <w:rsid w:val="0078545C"/>
    <w:rsid w:val="007854B7"/>
    <w:rsid w:val="0078596D"/>
    <w:rsid w:val="007859F9"/>
    <w:rsid w:val="00785FE4"/>
    <w:rsid w:val="00786148"/>
    <w:rsid w:val="007861E9"/>
    <w:rsid w:val="00786DEC"/>
    <w:rsid w:val="00787357"/>
    <w:rsid w:val="00787889"/>
    <w:rsid w:val="00787B0D"/>
    <w:rsid w:val="007906C4"/>
    <w:rsid w:val="00791E98"/>
    <w:rsid w:val="0079313B"/>
    <w:rsid w:val="00793B06"/>
    <w:rsid w:val="007940EA"/>
    <w:rsid w:val="0079498C"/>
    <w:rsid w:val="007954A0"/>
    <w:rsid w:val="00795928"/>
    <w:rsid w:val="007967E8"/>
    <w:rsid w:val="00796B56"/>
    <w:rsid w:val="00796C8E"/>
    <w:rsid w:val="00797B36"/>
    <w:rsid w:val="00797F0B"/>
    <w:rsid w:val="007A1803"/>
    <w:rsid w:val="007A1A8C"/>
    <w:rsid w:val="007A2443"/>
    <w:rsid w:val="007A2CBE"/>
    <w:rsid w:val="007A2D35"/>
    <w:rsid w:val="007A2DC6"/>
    <w:rsid w:val="007A3945"/>
    <w:rsid w:val="007A4AB8"/>
    <w:rsid w:val="007A5368"/>
    <w:rsid w:val="007A5CDC"/>
    <w:rsid w:val="007A63F2"/>
    <w:rsid w:val="007A72A2"/>
    <w:rsid w:val="007A7BE1"/>
    <w:rsid w:val="007A7C99"/>
    <w:rsid w:val="007B087B"/>
    <w:rsid w:val="007B1282"/>
    <w:rsid w:val="007B13E7"/>
    <w:rsid w:val="007B2071"/>
    <w:rsid w:val="007B4750"/>
    <w:rsid w:val="007B5081"/>
    <w:rsid w:val="007B54D8"/>
    <w:rsid w:val="007B5B96"/>
    <w:rsid w:val="007B67B4"/>
    <w:rsid w:val="007B68DE"/>
    <w:rsid w:val="007B741A"/>
    <w:rsid w:val="007C0525"/>
    <w:rsid w:val="007C05F4"/>
    <w:rsid w:val="007C1041"/>
    <w:rsid w:val="007C1538"/>
    <w:rsid w:val="007C1857"/>
    <w:rsid w:val="007C362D"/>
    <w:rsid w:val="007C3758"/>
    <w:rsid w:val="007C3B45"/>
    <w:rsid w:val="007C4423"/>
    <w:rsid w:val="007C514F"/>
    <w:rsid w:val="007C63D6"/>
    <w:rsid w:val="007D06B9"/>
    <w:rsid w:val="007D0F95"/>
    <w:rsid w:val="007D278C"/>
    <w:rsid w:val="007D2F25"/>
    <w:rsid w:val="007D3854"/>
    <w:rsid w:val="007D451B"/>
    <w:rsid w:val="007D49E9"/>
    <w:rsid w:val="007D5656"/>
    <w:rsid w:val="007D5720"/>
    <w:rsid w:val="007D5E7D"/>
    <w:rsid w:val="007D61E2"/>
    <w:rsid w:val="007D682F"/>
    <w:rsid w:val="007D6C13"/>
    <w:rsid w:val="007D701D"/>
    <w:rsid w:val="007D7040"/>
    <w:rsid w:val="007D78D1"/>
    <w:rsid w:val="007D79B2"/>
    <w:rsid w:val="007D7ECB"/>
    <w:rsid w:val="007E0194"/>
    <w:rsid w:val="007E2136"/>
    <w:rsid w:val="007E244F"/>
    <w:rsid w:val="007E25A1"/>
    <w:rsid w:val="007E3741"/>
    <w:rsid w:val="007E3BD0"/>
    <w:rsid w:val="007E4803"/>
    <w:rsid w:val="007E4BD2"/>
    <w:rsid w:val="007E524F"/>
    <w:rsid w:val="007E5AFD"/>
    <w:rsid w:val="007E5CBD"/>
    <w:rsid w:val="007E6A58"/>
    <w:rsid w:val="007E6DF5"/>
    <w:rsid w:val="007E6E11"/>
    <w:rsid w:val="007E7145"/>
    <w:rsid w:val="007F00BD"/>
    <w:rsid w:val="007F0365"/>
    <w:rsid w:val="007F04BE"/>
    <w:rsid w:val="007F2443"/>
    <w:rsid w:val="007F3916"/>
    <w:rsid w:val="007F40D1"/>
    <w:rsid w:val="007F4679"/>
    <w:rsid w:val="007F4CFD"/>
    <w:rsid w:val="007F556B"/>
    <w:rsid w:val="007F7089"/>
    <w:rsid w:val="007F726C"/>
    <w:rsid w:val="0080085C"/>
    <w:rsid w:val="00801179"/>
    <w:rsid w:val="00801A8A"/>
    <w:rsid w:val="00801ED2"/>
    <w:rsid w:val="00802479"/>
    <w:rsid w:val="00802DC0"/>
    <w:rsid w:val="008037E3"/>
    <w:rsid w:val="008041E8"/>
    <w:rsid w:val="00804691"/>
    <w:rsid w:val="00805372"/>
    <w:rsid w:val="008054C9"/>
    <w:rsid w:val="0080586D"/>
    <w:rsid w:val="00805AC8"/>
    <w:rsid w:val="00805B7B"/>
    <w:rsid w:val="00805E74"/>
    <w:rsid w:val="008062D3"/>
    <w:rsid w:val="0080632D"/>
    <w:rsid w:val="008105EB"/>
    <w:rsid w:val="00810967"/>
    <w:rsid w:val="00810E24"/>
    <w:rsid w:val="008119DF"/>
    <w:rsid w:val="00812892"/>
    <w:rsid w:val="0081293E"/>
    <w:rsid w:val="00812E17"/>
    <w:rsid w:val="008130F4"/>
    <w:rsid w:val="00814EB7"/>
    <w:rsid w:val="00814FFB"/>
    <w:rsid w:val="00820277"/>
    <w:rsid w:val="00820568"/>
    <w:rsid w:val="00822C49"/>
    <w:rsid w:val="00823356"/>
    <w:rsid w:val="00823604"/>
    <w:rsid w:val="00823690"/>
    <w:rsid w:val="008242C0"/>
    <w:rsid w:val="00824BA7"/>
    <w:rsid w:val="008251C9"/>
    <w:rsid w:val="008258D3"/>
    <w:rsid w:val="008262CE"/>
    <w:rsid w:val="00826921"/>
    <w:rsid w:val="00826999"/>
    <w:rsid w:val="00826A01"/>
    <w:rsid w:val="0082715F"/>
    <w:rsid w:val="00827426"/>
    <w:rsid w:val="00827DD7"/>
    <w:rsid w:val="0083062C"/>
    <w:rsid w:val="008317DA"/>
    <w:rsid w:val="00831A80"/>
    <w:rsid w:val="0083209E"/>
    <w:rsid w:val="00832DFB"/>
    <w:rsid w:val="008332C8"/>
    <w:rsid w:val="00833743"/>
    <w:rsid w:val="008340A4"/>
    <w:rsid w:val="0083589D"/>
    <w:rsid w:val="00836799"/>
    <w:rsid w:val="00836FB6"/>
    <w:rsid w:val="00837028"/>
    <w:rsid w:val="00837131"/>
    <w:rsid w:val="00840069"/>
    <w:rsid w:val="00840A57"/>
    <w:rsid w:val="00841621"/>
    <w:rsid w:val="0084192D"/>
    <w:rsid w:val="00841EA1"/>
    <w:rsid w:val="0084205E"/>
    <w:rsid w:val="008429DA"/>
    <w:rsid w:val="00842B1B"/>
    <w:rsid w:val="008439B5"/>
    <w:rsid w:val="00844676"/>
    <w:rsid w:val="00844ED8"/>
    <w:rsid w:val="00845F57"/>
    <w:rsid w:val="008460D4"/>
    <w:rsid w:val="0084620C"/>
    <w:rsid w:val="00847ABF"/>
    <w:rsid w:val="00847B35"/>
    <w:rsid w:val="00847D1F"/>
    <w:rsid w:val="0085018C"/>
    <w:rsid w:val="008510D0"/>
    <w:rsid w:val="00851759"/>
    <w:rsid w:val="008521E0"/>
    <w:rsid w:val="008522D2"/>
    <w:rsid w:val="008525B0"/>
    <w:rsid w:val="0085286B"/>
    <w:rsid w:val="00853E07"/>
    <w:rsid w:val="008555D2"/>
    <w:rsid w:val="00855FA0"/>
    <w:rsid w:val="00856E31"/>
    <w:rsid w:val="00856F5A"/>
    <w:rsid w:val="00857AF5"/>
    <w:rsid w:val="00860F10"/>
    <w:rsid w:val="00861466"/>
    <w:rsid w:val="00862C49"/>
    <w:rsid w:val="008631EE"/>
    <w:rsid w:val="008632DF"/>
    <w:rsid w:val="00864530"/>
    <w:rsid w:val="00864D0F"/>
    <w:rsid w:val="008651BD"/>
    <w:rsid w:val="00866779"/>
    <w:rsid w:val="00866A19"/>
    <w:rsid w:val="00866CF9"/>
    <w:rsid w:val="0086750A"/>
    <w:rsid w:val="00867CBC"/>
    <w:rsid w:val="0087034F"/>
    <w:rsid w:val="00870395"/>
    <w:rsid w:val="0087041C"/>
    <w:rsid w:val="008707E3"/>
    <w:rsid w:val="00871202"/>
    <w:rsid w:val="0087170C"/>
    <w:rsid w:val="0087187D"/>
    <w:rsid w:val="008729CF"/>
    <w:rsid w:val="00872DA0"/>
    <w:rsid w:val="00873114"/>
    <w:rsid w:val="0087319A"/>
    <w:rsid w:val="0087560D"/>
    <w:rsid w:val="008759CD"/>
    <w:rsid w:val="0087620D"/>
    <w:rsid w:val="0087622C"/>
    <w:rsid w:val="00876C30"/>
    <w:rsid w:val="00877017"/>
    <w:rsid w:val="008773C0"/>
    <w:rsid w:val="00880364"/>
    <w:rsid w:val="00881839"/>
    <w:rsid w:val="00883045"/>
    <w:rsid w:val="00883C17"/>
    <w:rsid w:val="00884605"/>
    <w:rsid w:val="0088477C"/>
    <w:rsid w:val="0088699C"/>
    <w:rsid w:val="00886C4C"/>
    <w:rsid w:val="00887065"/>
    <w:rsid w:val="0088711C"/>
    <w:rsid w:val="0088797A"/>
    <w:rsid w:val="008879BB"/>
    <w:rsid w:val="008904B4"/>
    <w:rsid w:val="00891980"/>
    <w:rsid w:val="008923CA"/>
    <w:rsid w:val="00892ECF"/>
    <w:rsid w:val="00892F06"/>
    <w:rsid w:val="00892F38"/>
    <w:rsid w:val="0089376E"/>
    <w:rsid w:val="00894285"/>
    <w:rsid w:val="00895628"/>
    <w:rsid w:val="00895FB8"/>
    <w:rsid w:val="00896FBC"/>
    <w:rsid w:val="008978EE"/>
    <w:rsid w:val="00897CA3"/>
    <w:rsid w:val="008A1A15"/>
    <w:rsid w:val="008A1BE9"/>
    <w:rsid w:val="008A1DD3"/>
    <w:rsid w:val="008A2C57"/>
    <w:rsid w:val="008A2E5E"/>
    <w:rsid w:val="008A40AE"/>
    <w:rsid w:val="008A4782"/>
    <w:rsid w:val="008A485E"/>
    <w:rsid w:val="008A4E19"/>
    <w:rsid w:val="008A4FC0"/>
    <w:rsid w:val="008A62F5"/>
    <w:rsid w:val="008A67C5"/>
    <w:rsid w:val="008A6D29"/>
    <w:rsid w:val="008A728F"/>
    <w:rsid w:val="008A7752"/>
    <w:rsid w:val="008B1F0C"/>
    <w:rsid w:val="008B22E1"/>
    <w:rsid w:val="008B30AB"/>
    <w:rsid w:val="008B3C78"/>
    <w:rsid w:val="008B4468"/>
    <w:rsid w:val="008B4784"/>
    <w:rsid w:val="008B4AE9"/>
    <w:rsid w:val="008B4C05"/>
    <w:rsid w:val="008B4CFD"/>
    <w:rsid w:val="008B5223"/>
    <w:rsid w:val="008B531F"/>
    <w:rsid w:val="008B5699"/>
    <w:rsid w:val="008B65B4"/>
    <w:rsid w:val="008B683E"/>
    <w:rsid w:val="008B791C"/>
    <w:rsid w:val="008B7C77"/>
    <w:rsid w:val="008C007D"/>
    <w:rsid w:val="008C18A0"/>
    <w:rsid w:val="008C1ED2"/>
    <w:rsid w:val="008C2136"/>
    <w:rsid w:val="008C2E3D"/>
    <w:rsid w:val="008C30AD"/>
    <w:rsid w:val="008C38C6"/>
    <w:rsid w:val="008C3F34"/>
    <w:rsid w:val="008C40E1"/>
    <w:rsid w:val="008C51BA"/>
    <w:rsid w:val="008C5678"/>
    <w:rsid w:val="008C5952"/>
    <w:rsid w:val="008C689B"/>
    <w:rsid w:val="008C6C2F"/>
    <w:rsid w:val="008C74EC"/>
    <w:rsid w:val="008C74FB"/>
    <w:rsid w:val="008C7BC8"/>
    <w:rsid w:val="008D068E"/>
    <w:rsid w:val="008D0955"/>
    <w:rsid w:val="008D0F7A"/>
    <w:rsid w:val="008D1370"/>
    <w:rsid w:val="008D237A"/>
    <w:rsid w:val="008D2D1A"/>
    <w:rsid w:val="008D3504"/>
    <w:rsid w:val="008D4197"/>
    <w:rsid w:val="008D4E80"/>
    <w:rsid w:val="008D5F37"/>
    <w:rsid w:val="008D614B"/>
    <w:rsid w:val="008D63BE"/>
    <w:rsid w:val="008D69DD"/>
    <w:rsid w:val="008D75DD"/>
    <w:rsid w:val="008D780C"/>
    <w:rsid w:val="008E029B"/>
    <w:rsid w:val="008E0C60"/>
    <w:rsid w:val="008E0CFF"/>
    <w:rsid w:val="008E2CE9"/>
    <w:rsid w:val="008E2D4B"/>
    <w:rsid w:val="008E4746"/>
    <w:rsid w:val="008E59F5"/>
    <w:rsid w:val="008E5D6B"/>
    <w:rsid w:val="008E6815"/>
    <w:rsid w:val="008E689B"/>
    <w:rsid w:val="008E72FA"/>
    <w:rsid w:val="008E7358"/>
    <w:rsid w:val="008E76F0"/>
    <w:rsid w:val="008E7962"/>
    <w:rsid w:val="008E7FD6"/>
    <w:rsid w:val="008F0205"/>
    <w:rsid w:val="008F041A"/>
    <w:rsid w:val="008F047A"/>
    <w:rsid w:val="008F10C8"/>
    <w:rsid w:val="008F15FE"/>
    <w:rsid w:val="008F1D1D"/>
    <w:rsid w:val="008F1FFB"/>
    <w:rsid w:val="008F20CC"/>
    <w:rsid w:val="008F2A94"/>
    <w:rsid w:val="008F327A"/>
    <w:rsid w:val="008F4148"/>
    <w:rsid w:val="008F4C40"/>
    <w:rsid w:val="008F5187"/>
    <w:rsid w:val="008F5C8C"/>
    <w:rsid w:val="008F6F48"/>
    <w:rsid w:val="008F709C"/>
    <w:rsid w:val="008F77FE"/>
    <w:rsid w:val="008F7FB9"/>
    <w:rsid w:val="00900DCC"/>
    <w:rsid w:val="009021EF"/>
    <w:rsid w:val="00902C2A"/>
    <w:rsid w:val="0090312B"/>
    <w:rsid w:val="00903D8B"/>
    <w:rsid w:val="00904961"/>
    <w:rsid w:val="00906376"/>
    <w:rsid w:val="009065E8"/>
    <w:rsid w:val="00907516"/>
    <w:rsid w:val="009078FF"/>
    <w:rsid w:val="00907995"/>
    <w:rsid w:val="00907CC6"/>
    <w:rsid w:val="00907F03"/>
    <w:rsid w:val="009102D5"/>
    <w:rsid w:val="00910AB4"/>
    <w:rsid w:val="00912F90"/>
    <w:rsid w:val="00914EFE"/>
    <w:rsid w:val="00915B1A"/>
    <w:rsid w:val="00917111"/>
    <w:rsid w:val="0091736D"/>
    <w:rsid w:val="00922D40"/>
    <w:rsid w:val="00923D87"/>
    <w:rsid w:val="00923F0B"/>
    <w:rsid w:val="00923FA5"/>
    <w:rsid w:val="009245F5"/>
    <w:rsid w:val="00924E8A"/>
    <w:rsid w:val="0092663F"/>
    <w:rsid w:val="00926773"/>
    <w:rsid w:val="0092687C"/>
    <w:rsid w:val="00926DE0"/>
    <w:rsid w:val="009304CF"/>
    <w:rsid w:val="0093091F"/>
    <w:rsid w:val="00930ACC"/>
    <w:rsid w:val="00931001"/>
    <w:rsid w:val="00931373"/>
    <w:rsid w:val="009313D9"/>
    <w:rsid w:val="00931863"/>
    <w:rsid w:val="0093317A"/>
    <w:rsid w:val="00933524"/>
    <w:rsid w:val="00934769"/>
    <w:rsid w:val="00934EB1"/>
    <w:rsid w:val="00935258"/>
    <w:rsid w:val="00935462"/>
    <w:rsid w:val="00936E7F"/>
    <w:rsid w:val="00937ECD"/>
    <w:rsid w:val="0094080D"/>
    <w:rsid w:val="00940BBF"/>
    <w:rsid w:val="00941E04"/>
    <w:rsid w:val="009420F3"/>
    <w:rsid w:val="0094278D"/>
    <w:rsid w:val="00943138"/>
    <w:rsid w:val="009444B8"/>
    <w:rsid w:val="0094523E"/>
    <w:rsid w:val="0094560A"/>
    <w:rsid w:val="00945AB5"/>
    <w:rsid w:val="00945CAF"/>
    <w:rsid w:val="009461C9"/>
    <w:rsid w:val="0094637E"/>
    <w:rsid w:val="009464E8"/>
    <w:rsid w:val="009502DC"/>
    <w:rsid w:val="00951067"/>
    <w:rsid w:val="00951A04"/>
    <w:rsid w:val="00952F45"/>
    <w:rsid w:val="0095308A"/>
    <w:rsid w:val="00954162"/>
    <w:rsid w:val="00954C01"/>
    <w:rsid w:val="0095515B"/>
    <w:rsid w:val="00955168"/>
    <w:rsid w:val="009558B2"/>
    <w:rsid w:val="00955AEE"/>
    <w:rsid w:val="00956F14"/>
    <w:rsid w:val="00960848"/>
    <w:rsid w:val="00961592"/>
    <w:rsid w:val="009620FD"/>
    <w:rsid w:val="0096247A"/>
    <w:rsid w:val="00962A7A"/>
    <w:rsid w:val="00962E63"/>
    <w:rsid w:val="009632BD"/>
    <w:rsid w:val="009636FA"/>
    <w:rsid w:val="009647A0"/>
    <w:rsid w:val="009649B4"/>
    <w:rsid w:val="00964E1E"/>
    <w:rsid w:val="009652B8"/>
    <w:rsid w:val="00965894"/>
    <w:rsid w:val="00965A96"/>
    <w:rsid w:val="00965F4B"/>
    <w:rsid w:val="00966A63"/>
    <w:rsid w:val="009675EC"/>
    <w:rsid w:val="00967EA9"/>
    <w:rsid w:val="009700C5"/>
    <w:rsid w:val="00970F8A"/>
    <w:rsid w:val="009711A5"/>
    <w:rsid w:val="00971FB5"/>
    <w:rsid w:val="0097220C"/>
    <w:rsid w:val="00972D2A"/>
    <w:rsid w:val="00974DDE"/>
    <w:rsid w:val="00975021"/>
    <w:rsid w:val="00975199"/>
    <w:rsid w:val="00975CC5"/>
    <w:rsid w:val="00976328"/>
    <w:rsid w:val="009764DA"/>
    <w:rsid w:val="00976736"/>
    <w:rsid w:val="00976B4E"/>
    <w:rsid w:val="009774CB"/>
    <w:rsid w:val="00980503"/>
    <w:rsid w:val="0098104B"/>
    <w:rsid w:val="0098189B"/>
    <w:rsid w:val="0098345A"/>
    <w:rsid w:val="009835F6"/>
    <w:rsid w:val="00984458"/>
    <w:rsid w:val="0098488A"/>
    <w:rsid w:val="00985283"/>
    <w:rsid w:val="0098529E"/>
    <w:rsid w:val="009852DD"/>
    <w:rsid w:val="00986C5B"/>
    <w:rsid w:val="00987322"/>
    <w:rsid w:val="009878F8"/>
    <w:rsid w:val="0098797F"/>
    <w:rsid w:val="00987EAC"/>
    <w:rsid w:val="00990192"/>
    <w:rsid w:val="00992BB7"/>
    <w:rsid w:val="00992BE9"/>
    <w:rsid w:val="00992D45"/>
    <w:rsid w:val="00993744"/>
    <w:rsid w:val="00993CF4"/>
    <w:rsid w:val="00993EB4"/>
    <w:rsid w:val="00995F5D"/>
    <w:rsid w:val="00996182"/>
    <w:rsid w:val="00996400"/>
    <w:rsid w:val="0099648A"/>
    <w:rsid w:val="00996E7F"/>
    <w:rsid w:val="009970AD"/>
    <w:rsid w:val="009A0F3B"/>
    <w:rsid w:val="009A1D8F"/>
    <w:rsid w:val="009A359D"/>
    <w:rsid w:val="009A4054"/>
    <w:rsid w:val="009A4998"/>
    <w:rsid w:val="009A4B75"/>
    <w:rsid w:val="009A72C7"/>
    <w:rsid w:val="009A78A2"/>
    <w:rsid w:val="009B0897"/>
    <w:rsid w:val="009B2786"/>
    <w:rsid w:val="009B2DDE"/>
    <w:rsid w:val="009B304C"/>
    <w:rsid w:val="009B366A"/>
    <w:rsid w:val="009B37B8"/>
    <w:rsid w:val="009B4515"/>
    <w:rsid w:val="009B4A0F"/>
    <w:rsid w:val="009B5200"/>
    <w:rsid w:val="009B56B4"/>
    <w:rsid w:val="009B57E6"/>
    <w:rsid w:val="009B59F4"/>
    <w:rsid w:val="009B6299"/>
    <w:rsid w:val="009B71C5"/>
    <w:rsid w:val="009B747A"/>
    <w:rsid w:val="009B7895"/>
    <w:rsid w:val="009C028E"/>
    <w:rsid w:val="009C0D2F"/>
    <w:rsid w:val="009C1601"/>
    <w:rsid w:val="009C28BC"/>
    <w:rsid w:val="009C2B87"/>
    <w:rsid w:val="009C2E34"/>
    <w:rsid w:val="009C36BD"/>
    <w:rsid w:val="009C3C32"/>
    <w:rsid w:val="009C4A0E"/>
    <w:rsid w:val="009C63B8"/>
    <w:rsid w:val="009C679C"/>
    <w:rsid w:val="009C6E7E"/>
    <w:rsid w:val="009C78DF"/>
    <w:rsid w:val="009D00AB"/>
    <w:rsid w:val="009D048F"/>
    <w:rsid w:val="009D0852"/>
    <w:rsid w:val="009D0D0E"/>
    <w:rsid w:val="009D1273"/>
    <w:rsid w:val="009D1439"/>
    <w:rsid w:val="009D1FBF"/>
    <w:rsid w:val="009D3CC9"/>
    <w:rsid w:val="009D42EC"/>
    <w:rsid w:val="009D4A5F"/>
    <w:rsid w:val="009D54FA"/>
    <w:rsid w:val="009D5A68"/>
    <w:rsid w:val="009D69E7"/>
    <w:rsid w:val="009D723D"/>
    <w:rsid w:val="009E05A3"/>
    <w:rsid w:val="009E0792"/>
    <w:rsid w:val="009E0FF6"/>
    <w:rsid w:val="009E1E6D"/>
    <w:rsid w:val="009E2D67"/>
    <w:rsid w:val="009E3015"/>
    <w:rsid w:val="009E399C"/>
    <w:rsid w:val="009E3AA6"/>
    <w:rsid w:val="009E4102"/>
    <w:rsid w:val="009E43C1"/>
    <w:rsid w:val="009E5347"/>
    <w:rsid w:val="009E5957"/>
    <w:rsid w:val="009E5B32"/>
    <w:rsid w:val="009E6646"/>
    <w:rsid w:val="009E6CE7"/>
    <w:rsid w:val="009E7361"/>
    <w:rsid w:val="009E75BF"/>
    <w:rsid w:val="009E7E95"/>
    <w:rsid w:val="009F03B6"/>
    <w:rsid w:val="009F116F"/>
    <w:rsid w:val="009F17A5"/>
    <w:rsid w:val="009F1ACB"/>
    <w:rsid w:val="009F329E"/>
    <w:rsid w:val="009F34E9"/>
    <w:rsid w:val="009F3513"/>
    <w:rsid w:val="009F41D6"/>
    <w:rsid w:val="009F4CEB"/>
    <w:rsid w:val="009F4D80"/>
    <w:rsid w:val="009F561B"/>
    <w:rsid w:val="009F608F"/>
    <w:rsid w:val="009F6BC6"/>
    <w:rsid w:val="009F7ED3"/>
    <w:rsid w:val="009F7F7E"/>
    <w:rsid w:val="00A01383"/>
    <w:rsid w:val="00A02852"/>
    <w:rsid w:val="00A02866"/>
    <w:rsid w:val="00A02D1C"/>
    <w:rsid w:val="00A0302A"/>
    <w:rsid w:val="00A03492"/>
    <w:rsid w:val="00A03607"/>
    <w:rsid w:val="00A03745"/>
    <w:rsid w:val="00A047FF"/>
    <w:rsid w:val="00A04BF3"/>
    <w:rsid w:val="00A04FCD"/>
    <w:rsid w:val="00A04FEF"/>
    <w:rsid w:val="00A05BD3"/>
    <w:rsid w:val="00A06571"/>
    <w:rsid w:val="00A07A92"/>
    <w:rsid w:val="00A101A5"/>
    <w:rsid w:val="00A1038A"/>
    <w:rsid w:val="00A10D13"/>
    <w:rsid w:val="00A11111"/>
    <w:rsid w:val="00A1125B"/>
    <w:rsid w:val="00A11847"/>
    <w:rsid w:val="00A119F6"/>
    <w:rsid w:val="00A11F9F"/>
    <w:rsid w:val="00A122CD"/>
    <w:rsid w:val="00A12741"/>
    <w:rsid w:val="00A12A32"/>
    <w:rsid w:val="00A12D82"/>
    <w:rsid w:val="00A132EF"/>
    <w:rsid w:val="00A14248"/>
    <w:rsid w:val="00A14947"/>
    <w:rsid w:val="00A15E4D"/>
    <w:rsid w:val="00A16AD0"/>
    <w:rsid w:val="00A20543"/>
    <w:rsid w:val="00A2083C"/>
    <w:rsid w:val="00A21832"/>
    <w:rsid w:val="00A21929"/>
    <w:rsid w:val="00A21B2C"/>
    <w:rsid w:val="00A222F4"/>
    <w:rsid w:val="00A228BD"/>
    <w:rsid w:val="00A22CFE"/>
    <w:rsid w:val="00A23124"/>
    <w:rsid w:val="00A2327F"/>
    <w:rsid w:val="00A23DC5"/>
    <w:rsid w:val="00A25630"/>
    <w:rsid w:val="00A25862"/>
    <w:rsid w:val="00A2664C"/>
    <w:rsid w:val="00A26C78"/>
    <w:rsid w:val="00A3091A"/>
    <w:rsid w:val="00A30A4D"/>
    <w:rsid w:val="00A30F25"/>
    <w:rsid w:val="00A31292"/>
    <w:rsid w:val="00A316B0"/>
    <w:rsid w:val="00A3214E"/>
    <w:rsid w:val="00A3367B"/>
    <w:rsid w:val="00A33BBF"/>
    <w:rsid w:val="00A33D61"/>
    <w:rsid w:val="00A34028"/>
    <w:rsid w:val="00A341C8"/>
    <w:rsid w:val="00A35568"/>
    <w:rsid w:val="00A35977"/>
    <w:rsid w:val="00A362D6"/>
    <w:rsid w:val="00A3647C"/>
    <w:rsid w:val="00A3681B"/>
    <w:rsid w:val="00A36B8A"/>
    <w:rsid w:val="00A36D9F"/>
    <w:rsid w:val="00A37056"/>
    <w:rsid w:val="00A37D30"/>
    <w:rsid w:val="00A40B8D"/>
    <w:rsid w:val="00A40D2B"/>
    <w:rsid w:val="00A4268E"/>
    <w:rsid w:val="00A4285E"/>
    <w:rsid w:val="00A4358F"/>
    <w:rsid w:val="00A43945"/>
    <w:rsid w:val="00A43B3C"/>
    <w:rsid w:val="00A4499A"/>
    <w:rsid w:val="00A44C57"/>
    <w:rsid w:val="00A44D81"/>
    <w:rsid w:val="00A45094"/>
    <w:rsid w:val="00A451C8"/>
    <w:rsid w:val="00A459D1"/>
    <w:rsid w:val="00A46EC2"/>
    <w:rsid w:val="00A46F67"/>
    <w:rsid w:val="00A47C98"/>
    <w:rsid w:val="00A512A5"/>
    <w:rsid w:val="00A51A14"/>
    <w:rsid w:val="00A51ADB"/>
    <w:rsid w:val="00A523BB"/>
    <w:rsid w:val="00A529BF"/>
    <w:rsid w:val="00A52D7C"/>
    <w:rsid w:val="00A53355"/>
    <w:rsid w:val="00A537A5"/>
    <w:rsid w:val="00A53A50"/>
    <w:rsid w:val="00A54329"/>
    <w:rsid w:val="00A54769"/>
    <w:rsid w:val="00A54AA1"/>
    <w:rsid w:val="00A54BA1"/>
    <w:rsid w:val="00A559C3"/>
    <w:rsid w:val="00A55DB8"/>
    <w:rsid w:val="00A55FD8"/>
    <w:rsid w:val="00A5660A"/>
    <w:rsid w:val="00A568FF"/>
    <w:rsid w:val="00A56E2C"/>
    <w:rsid w:val="00A6057B"/>
    <w:rsid w:val="00A61496"/>
    <w:rsid w:val="00A616A4"/>
    <w:rsid w:val="00A61833"/>
    <w:rsid w:val="00A621E1"/>
    <w:rsid w:val="00A624C6"/>
    <w:rsid w:val="00A62C60"/>
    <w:rsid w:val="00A63A87"/>
    <w:rsid w:val="00A63CEC"/>
    <w:rsid w:val="00A63D87"/>
    <w:rsid w:val="00A673B3"/>
    <w:rsid w:val="00A67C3B"/>
    <w:rsid w:val="00A7031E"/>
    <w:rsid w:val="00A7190E"/>
    <w:rsid w:val="00A71B10"/>
    <w:rsid w:val="00A71B38"/>
    <w:rsid w:val="00A728B1"/>
    <w:rsid w:val="00A72CD7"/>
    <w:rsid w:val="00A74E00"/>
    <w:rsid w:val="00A76035"/>
    <w:rsid w:val="00A762D7"/>
    <w:rsid w:val="00A763DE"/>
    <w:rsid w:val="00A77172"/>
    <w:rsid w:val="00A803D6"/>
    <w:rsid w:val="00A803FD"/>
    <w:rsid w:val="00A80503"/>
    <w:rsid w:val="00A80815"/>
    <w:rsid w:val="00A81282"/>
    <w:rsid w:val="00A81DD8"/>
    <w:rsid w:val="00A82B3B"/>
    <w:rsid w:val="00A82FA8"/>
    <w:rsid w:val="00A83207"/>
    <w:rsid w:val="00A83A95"/>
    <w:rsid w:val="00A8468A"/>
    <w:rsid w:val="00A849B7"/>
    <w:rsid w:val="00A85ACB"/>
    <w:rsid w:val="00A863E1"/>
    <w:rsid w:val="00A8665D"/>
    <w:rsid w:val="00A8713F"/>
    <w:rsid w:val="00A87190"/>
    <w:rsid w:val="00A877A1"/>
    <w:rsid w:val="00A87946"/>
    <w:rsid w:val="00A87BAB"/>
    <w:rsid w:val="00A9050A"/>
    <w:rsid w:val="00A90DB5"/>
    <w:rsid w:val="00A91127"/>
    <w:rsid w:val="00A91167"/>
    <w:rsid w:val="00A9171C"/>
    <w:rsid w:val="00A91783"/>
    <w:rsid w:val="00A92FFD"/>
    <w:rsid w:val="00A93515"/>
    <w:rsid w:val="00A95178"/>
    <w:rsid w:val="00A9581E"/>
    <w:rsid w:val="00A95975"/>
    <w:rsid w:val="00A960AD"/>
    <w:rsid w:val="00A9708D"/>
    <w:rsid w:val="00AA034C"/>
    <w:rsid w:val="00AA2C17"/>
    <w:rsid w:val="00AA3068"/>
    <w:rsid w:val="00AA4172"/>
    <w:rsid w:val="00AA4592"/>
    <w:rsid w:val="00AA4B6E"/>
    <w:rsid w:val="00AA4E8D"/>
    <w:rsid w:val="00AA6389"/>
    <w:rsid w:val="00AA6817"/>
    <w:rsid w:val="00AA6B34"/>
    <w:rsid w:val="00AA6B9F"/>
    <w:rsid w:val="00AB0434"/>
    <w:rsid w:val="00AB0ADB"/>
    <w:rsid w:val="00AB0B96"/>
    <w:rsid w:val="00AB1914"/>
    <w:rsid w:val="00AB19CD"/>
    <w:rsid w:val="00AB35AC"/>
    <w:rsid w:val="00AB3842"/>
    <w:rsid w:val="00AB3F06"/>
    <w:rsid w:val="00AB46DD"/>
    <w:rsid w:val="00AB5330"/>
    <w:rsid w:val="00AB5F91"/>
    <w:rsid w:val="00AB7747"/>
    <w:rsid w:val="00AB778C"/>
    <w:rsid w:val="00AC2236"/>
    <w:rsid w:val="00AC23D4"/>
    <w:rsid w:val="00AC2532"/>
    <w:rsid w:val="00AC2BBE"/>
    <w:rsid w:val="00AC332A"/>
    <w:rsid w:val="00AC35DC"/>
    <w:rsid w:val="00AC376C"/>
    <w:rsid w:val="00AC3DFA"/>
    <w:rsid w:val="00AC5BAF"/>
    <w:rsid w:val="00AC5C5A"/>
    <w:rsid w:val="00AC63A7"/>
    <w:rsid w:val="00AC63D8"/>
    <w:rsid w:val="00AC6734"/>
    <w:rsid w:val="00AC70EA"/>
    <w:rsid w:val="00AC7693"/>
    <w:rsid w:val="00AD0133"/>
    <w:rsid w:val="00AD0396"/>
    <w:rsid w:val="00AD0D23"/>
    <w:rsid w:val="00AD1507"/>
    <w:rsid w:val="00AD2728"/>
    <w:rsid w:val="00AD2BC2"/>
    <w:rsid w:val="00AD3241"/>
    <w:rsid w:val="00AD3788"/>
    <w:rsid w:val="00AD4861"/>
    <w:rsid w:val="00AD575A"/>
    <w:rsid w:val="00AD5A2D"/>
    <w:rsid w:val="00AD5A70"/>
    <w:rsid w:val="00AD738B"/>
    <w:rsid w:val="00AE1131"/>
    <w:rsid w:val="00AE16CE"/>
    <w:rsid w:val="00AE1BF4"/>
    <w:rsid w:val="00AE4067"/>
    <w:rsid w:val="00AE4E0E"/>
    <w:rsid w:val="00AE4FD2"/>
    <w:rsid w:val="00AE5063"/>
    <w:rsid w:val="00AE547C"/>
    <w:rsid w:val="00AE5888"/>
    <w:rsid w:val="00AE5C5A"/>
    <w:rsid w:val="00AE5D97"/>
    <w:rsid w:val="00AE618D"/>
    <w:rsid w:val="00AE6794"/>
    <w:rsid w:val="00AE7636"/>
    <w:rsid w:val="00AF058B"/>
    <w:rsid w:val="00AF0691"/>
    <w:rsid w:val="00AF0834"/>
    <w:rsid w:val="00AF08A9"/>
    <w:rsid w:val="00AF1150"/>
    <w:rsid w:val="00AF135C"/>
    <w:rsid w:val="00AF3605"/>
    <w:rsid w:val="00AF3AC5"/>
    <w:rsid w:val="00AF5DE6"/>
    <w:rsid w:val="00AF6FB7"/>
    <w:rsid w:val="00AF71C6"/>
    <w:rsid w:val="00AF7BCE"/>
    <w:rsid w:val="00B0068D"/>
    <w:rsid w:val="00B00812"/>
    <w:rsid w:val="00B009C2"/>
    <w:rsid w:val="00B01110"/>
    <w:rsid w:val="00B01CA0"/>
    <w:rsid w:val="00B021A8"/>
    <w:rsid w:val="00B02262"/>
    <w:rsid w:val="00B02BF8"/>
    <w:rsid w:val="00B03CEC"/>
    <w:rsid w:val="00B056AB"/>
    <w:rsid w:val="00B0613D"/>
    <w:rsid w:val="00B0748C"/>
    <w:rsid w:val="00B07CCE"/>
    <w:rsid w:val="00B1139B"/>
    <w:rsid w:val="00B11BF5"/>
    <w:rsid w:val="00B1209F"/>
    <w:rsid w:val="00B128C3"/>
    <w:rsid w:val="00B12AD0"/>
    <w:rsid w:val="00B14090"/>
    <w:rsid w:val="00B14AF6"/>
    <w:rsid w:val="00B15B32"/>
    <w:rsid w:val="00B15DCD"/>
    <w:rsid w:val="00B172F6"/>
    <w:rsid w:val="00B174B5"/>
    <w:rsid w:val="00B20ACE"/>
    <w:rsid w:val="00B226A7"/>
    <w:rsid w:val="00B228A2"/>
    <w:rsid w:val="00B23D92"/>
    <w:rsid w:val="00B24184"/>
    <w:rsid w:val="00B2430E"/>
    <w:rsid w:val="00B244E1"/>
    <w:rsid w:val="00B246D0"/>
    <w:rsid w:val="00B24F30"/>
    <w:rsid w:val="00B26325"/>
    <w:rsid w:val="00B30AAB"/>
    <w:rsid w:val="00B30F27"/>
    <w:rsid w:val="00B315F0"/>
    <w:rsid w:val="00B31AAC"/>
    <w:rsid w:val="00B31ABF"/>
    <w:rsid w:val="00B31B0A"/>
    <w:rsid w:val="00B31DD4"/>
    <w:rsid w:val="00B32E91"/>
    <w:rsid w:val="00B335AE"/>
    <w:rsid w:val="00B341C3"/>
    <w:rsid w:val="00B345ED"/>
    <w:rsid w:val="00B3603D"/>
    <w:rsid w:val="00B36475"/>
    <w:rsid w:val="00B3698C"/>
    <w:rsid w:val="00B371B6"/>
    <w:rsid w:val="00B372DD"/>
    <w:rsid w:val="00B377CE"/>
    <w:rsid w:val="00B37CE1"/>
    <w:rsid w:val="00B40ACF"/>
    <w:rsid w:val="00B415E9"/>
    <w:rsid w:val="00B42323"/>
    <w:rsid w:val="00B42A20"/>
    <w:rsid w:val="00B43538"/>
    <w:rsid w:val="00B43738"/>
    <w:rsid w:val="00B43D34"/>
    <w:rsid w:val="00B44493"/>
    <w:rsid w:val="00B45465"/>
    <w:rsid w:val="00B46667"/>
    <w:rsid w:val="00B46BAA"/>
    <w:rsid w:val="00B46DB5"/>
    <w:rsid w:val="00B474E7"/>
    <w:rsid w:val="00B478A0"/>
    <w:rsid w:val="00B50B2D"/>
    <w:rsid w:val="00B50B5F"/>
    <w:rsid w:val="00B50BB7"/>
    <w:rsid w:val="00B51756"/>
    <w:rsid w:val="00B52B03"/>
    <w:rsid w:val="00B531A6"/>
    <w:rsid w:val="00B53622"/>
    <w:rsid w:val="00B53FF2"/>
    <w:rsid w:val="00B54128"/>
    <w:rsid w:val="00B5414C"/>
    <w:rsid w:val="00B54F12"/>
    <w:rsid w:val="00B55051"/>
    <w:rsid w:val="00B55826"/>
    <w:rsid w:val="00B56327"/>
    <w:rsid w:val="00B56857"/>
    <w:rsid w:val="00B56B56"/>
    <w:rsid w:val="00B57477"/>
    <w:rsid w:val="00B60426"/>
    <w:rsid w:val="00B617FE"/>
    <w:rsid w:val="00B61BCF"/>
    <w:rsid w:val="00B622DD"/>
    <w:rsid w:val="00B623AC"/>
    <w:rsid w:val="00B63136"/>
    <w:rsid w:val="00B6329D"/>
    <w:rsid w:val="00B633D6"/>
    <w:rsid w:val="00B63522"/>
    <w:rsid w:val="00B64538"/>
    <w:rsid w:val="00B65192"/>
    <w:rsid w:val="00B6558F"/>
    <w:rsid w:val="00B66F99"/>
    <w:rsid w:val="00B66FEA"/>
    <w:rsid w:val="00B677D6"/>
    <w:rsid w:val="00B67A5A"/>
    <w:rsid w:val="00B67CCA"/>
    <w:rsid w:val="00B70C77"/>
    <w:rsid w:val="00B70FFA"/>
    <w:rsid w:val="00B72870"/>
    <w:rsid w:val="00B73696"/>
    <w:rsid w:val="00B73740"/>
    <w:rsid w:val="00B7563C"/>
    <w:rsid w:val="00B76EBD"/>
    <w:rsid w:val="00B76F1D"/>
    <w:rsid w:val="00B77A43"/>
    <w:rsid w:val="00B77BD0"/>
    <w:rsid w:val="00B804B6"/>
    <w:rsid w:val="00B80831"/>
    <w:rsid w:val="00B8165F"/>
    <w:rsid w:val="00B81F90"/>
    <w:rsid w:val="00B8384F"/>
    <w:rsid w:val="00B83C0E"/>
    <w:rsid w:val="00B84064"/>
    <w:rsid w:val="00B84AEE"/>
    <w:rsid w:val="00B84FBA"/>
    <w:rsid w:val="00B85DFD"/>
    <w:rsid w:val="00B85EBA"/>
    <w:rsid w:val="00B86195"/>
    <w:rsid w:val="00B861F4"/>
    <w:rsid w:val="00B86D25"/>
    <w:rsid w:val="00B87327"/>
    <w:rsid w:val="00B87878"/>
    <w:rsid w:val="00B878A1"/>
    <w:rsid w:val="00B87D4C"/>
    <w:rsid w:val="00B91962"/>
    <w:rsid w:val="00B924F3"/>
    <w:rsid w:val="00B92A19"/>
    <w:rsid w:val="00B92F29"/>
    <w:rsid w:val="00B93B52"/>
    <w:rsid w:val="00B93C6B"/>
    <w:rsid w:val="00B93FAE"/>
    <w:rsid w:val="00B94671"/>
    <w:rsid w:val="00B94CDD"/>
    <w:rsid w:val="00B94EC8"/>
    <w:rsid w:val="00B9544C"/>
    <w:rsid w:val="00B95789"/>
    <w:rsid w:val="00B96018"/>
    <w:rsid w:val="00B966F5"/>
    <w:rsid w:val="00B969EE"/>
    <w:rsid w:val="00B96B83"/>
    <w:rsid w:val="00BA0A0F"/>
    <w:rsid w:val="00BA0F7E"/>
    <w:rsid w:val="00BA0FDF"/>
    <w:rsid w:val="00BA1C3B"/>
    <w:rsid w:val="00BA29E9"/>
    <w:rsid w:val="00BA3046"/>
    <w:rsid w:val="00BA34AA"/>
    <w:rsid w:val="00BA3E67"/>
    <w:rsid w:val="00BA4DAB"/>
    <w:rsid w:val="00BA4FCE"/>
    <w:rsid w:val="00BA553E"/>
    <w:rsid w:val="00BA5ECE"/>
    <w:rsid w:val="00BA7527"/>
    <w:rsid w:val="00BA7724"/>
    <w:rsid w:val="00BB0445"/>
    <w:rsid w:val="00BB0AC4"/>
    <w:rsid w:val="00BB1285"/>
    <w:rsid w:val="00BB2F54"/>
    <w:rsid w:val="00BB3000"/>
    <w:rsid w:val="00BB30D0"/>
    <w:rsid w:val="00BB3618"/>
    <w:rsid w:val="00BB3A4E"/>
    <w:rsid w:val="00BB45DD"/>
    <w:rsid w:val="00BB465B"/>
    <w:rsid w:val="00BB52BC"/>
    <w:rsid w:val="00BB7427"/>
    <w:rsid w:val="00BC0AD3"/>
    <w:rsid w:val="00BC0C9E"/>
    <w:rsid w:val="00BC13B9"/>
    <w:rsid w:val="00BC1B87"/>
    <w:rsid w:val="00BC2DF6"/>
    <w:rsid w:val="00BC2E1A"/>
    <w:rsid w:val="00BC32DC"/>
    <w:rsid w:val="00BC3EA0"/>
    <w:rsid w:val="00BC6466"/>
    <w:rsid w:val="00BC6861"/>
    <w:rsid w:val="00BC7958"/>
    <w:rsid w:val="00BC7A0C"/>
    <w:rsid w:val="00BC7F69"/>
    <w:rsid w:val="00BD0AE8"/>
    <w:rsid w:val="00BD0CB1"/>
    <w:rsid w:val="00BD1160"/>
    <w:rsid w:val="00BD199D"/>
    <w:rsid w:val="00BD1B51"/>
    <w:rsid w:val="00BD1E5D"/>
    <w:rsid w:val="00BD3BC4"/>
    <w:rsid w:val="00BD47F6"/>
    <w:rsid w:val="00BD4A98"/>
    <w:rsid w:val="00BD50B5"/>
    <w:rsid w:val="00BD51EC"/>
    <w:rsid w:val="00BD5C9F"/>
    <w:rsid w:val="00BD6823"/>
    <w:rsid w:val="00BD7166"/>
    <w:rsid w:val="00BD7A6D"/>
    <w:rsid w:val="00BE0AB1"/>
    <w:rsid w:val="00BE29AD"/>
    <w:rsid w:val="00BE29F6"/>
    <w:rsid w:val="00BE2EB3"/>
    <w:rsid w:val="00BE312D"/>
    <w:rsid w:val="00BE351F"/>
    <w:rsid w:val="00BE3AF0"/>
    <w:rsid w:val="00BE3BF1"/>
    <w:rsid w:val="00BE3FCA"/>
    <w:rsid w:val="00BE43BD"/>
    <w:rsid w:val="00BE531C"/>
    <w:rsid w:val="00BE57DB"/>
    <w:rsid w:val="00BE5EEC"/>
    <w:rsid w:val="00BE6ACF"/>
    <w:rsid w:val="00BE6B09"/>
    <w:rsid w:val="00BE6C85"/>
    <w:rsid w:val="00BE6D1D"/>
    <w:rsid w:val="00BE6DF2"/>
    <w:rsid w:val="00BE7375"/>
    <w:rsid w:val="00BE79EA"/>
    <w:rsid w:val="00BE7F79"/>
    <w:rsid w:val="00BF02FD"/>
    <w:rsid w:val="00BF0BCB"/>
    <w:rsid w:val="00BF219A"/>
    <w:rsid w:val="00BF35F6"/>
    <w:rsid w:val="00BF42A6"/>
    <w:rsid w:val="00BF42C2"/>
    <w:rsid w:val="00BF4DB7"/>
    <w:rsid w:val="00BF588F"/>
    <w:rsid w:val="00BF6A01"/>
    <w:rsid w:val="00BF72BE"/>
    <w:rsid w:val="00BF797B"/>
    <w:rsid w:val="00BF7B15"/>
    <w:rsid w:val="00BF7D03"/>
    <w:rsid w:val="00C00231"/>
    <w:rsid w:val="00C007DF"/>
    <w:rsid w:val="00C009E2"/>
    <w:rsid w:val="00C01257"/>
    <w:rsid w:val="00C016F1"/>
    <w:rsid w:val="00C03175"/>
    <w:rsid w:val="00C04999"/>
    <w:rsid w:val="00C04F13"/>
    <w:rsid w:val="00C053DF"/>
    <w:rsid w:val="00C05433"/>
    <w:rsid w:val="00C05719"/>
    <w:rsid w:val="00C05CA6"/>
    <w:rsid w:val="00C063E9"/>
    <w:rsid w:val="00C064DD"/>
    <w:rsid w:val="00C06DA2"/>
    <w:rsid w:val="00C07818"/>
    <w:rsid w:val="00C07CD5"/>
    <w:rsid w:val="00C10043"/>
    <w:rsid w:val="00C10489"/>
    <w:rsid w:val="00C10578"/>
    <w:rsid w:val="00C113BF"/>
    <w:rsid w:val="00C11469"/>
    <w:rsid w:val="00C115B2"/>
    <w:rsid w:val="00C12FEA"/>
    <w:rsid w:val="00C1544F"/>
    <w:rsid w:val="00C15E78"/>
    <w:rsid w:val="00C1735E"/>
    <w:rsid w:val="00C173F1"/>
    <w:rsid w:val="00C17441"/>
    <w:rsid w:val="00C17D62"/>
    <w:rsid w:val="00C17E07"/>
    <w:rsid w:val="00C17F88"/>
    <w:rsid w:val="00C2068B"/>
    <w:rsid w:val="00C21716"/>
    <w:rsid w:val="00C21A5B"/>
    <w:rsid w:val="00C21FDC"/>
    <w:rsid w:val="00C2213D"/>
    <w:rsid w:val="00C226E1"/>
    <w:rsid w:val="00C22C9D"/>
    <w:rsid w:val="00C22E95"/>
    <w:rsid w:val="00C24655"/>
    <w:rsid w:val="00C24688"/>
    <w:rsid w:val="00C24796"/>
    <w:rsid w:val="00C24EE7"/>
    <w:rsid w:val="00C2596A"/>
    <w:rsid w:val="00C259AD"/>
    <w:rsid w:val="00C26034"/>
    <w:rsid w:val="00C260E2"/>
    <w:rsid w:val="00C2639B"/>
    <w:rsid w:val="00C271BE"/>
    <w:rsid w:val="00C27425"/>
    <w:rsid w:val="00C30B64"/>
    <w:rsid w:val="00C31B2F"/>
    <w:rsid w:val="00C328FE"/>
    <w:rsid w:val="00C3314C"/>
    <w:rsid w:val="00C33A05"/>
    <w:rsid w:val="00C33CF6"/>
    <w:rsid w:val="00C33F50"/>
    <w:rsid w:val="00C35188"/>
    <w:rsid w:val="00C362D9"/>
    <w:rsid w:val="00C367D3"/>
    <w:rsid w:val="00C36BF1"/>
    <w:rsid w:val="00C3782E"/>
    <w:rsid w:val="00C379C0"/>
    <w:rsid w:val="00C4181A"/>
    <w:rsid w:val="00C420E6"/>
    <w:rsid w:val="00C42500"/>
    <w:rsid w:val="00C425F0"/>
    <w:rsid w:val="00C42AAC"/>
    <w:rsid w:val="00C43E47"/>
    <w:rsid w:val="00C4409D"/>
    <w:rsid w:val="00C44359"/>
    <w:rsid w:val="00C4445D"/>
    <w:rsid w:val="00C44745"/>
    <w:rsid w:val="00C44AE9"/>
    <w:rsid w:val="00C455BE"/>
    <w:rsid w:val="00C46269"/>
    <w:rsid w:val="00C50275"/>
    <w:rsid w:val="00C509A0"/>
    <w:rsid w:val="00C51E5F"/>
    <w:rsid w:val="00C520A1"/>
    <w:rsid w:val="00C522EF"/>
    <w:rsid w:val="00C5277E"/>
    <w:rsid w:val="00C528B1"/>
    <w:rsid w:val="00C532F9"/>
    <w:rsid w:val="00C543EC"/>
    <w:rsid w:val="00C54768"/>
    <w:rsid w:val="00C55284"/>
    <w:rsid w:val="00C559C7"/>
    <w:rsid w:val="00C564F7"/>
    <w:rsid w:val="00C57049"/>
    <w:rsid w:val="00C57A0E"/>
    <w:rsid w:val="00C57BED"/>
    <w:rsid w:val="00C61D5D"/>
    <w:rsid w:val="00C61E4B"/>
    <w:rsid w:val="00C6242D"/>
    <w:rsid w:val="00C625C1"/>
    <w:rsid w:val="00C626A2"/>
    <w:rsid w:val="00C62E3A"/>
    <w:rsid w:val="00C62F88"/>
    <w:rsid w:val="00C64028"/>
    <w:rsid w:val="00C64503"/>
    <w:rsid w:val="00C64A1F"/>
    <w:rsid w:val="00C64BFF"/>
    <w:rsid w:val="00C659E3"/>
    <w:rsid w:val="00C66077"/>
    <w:rsid w:val="00C6684F"/>
    <w:rsid w:val="00C70628"/>
    <w:rsid w:val="00C70E28"/>
    <w:rsid w:val="00C71242"/>
    <w:rsid w:val="00C71A3D"/>
    <w:rsid w:val="00C72737"/>
    <w:rsid w:val="00C72B5A"/>
    <w:rsid w:val="00C73557"/>
    <w:rsid w:val="00C74A73"/>
    <w:rsid w:val="00C75F2C"/>
    <w:rsid w:val="00C763C9"/>
    <w:rsid w:val="00C76D80"/>
    <w:rsid w:val="00C774C7"/>
    <w:rsid w:val="00C80057"/>
    <w:rsid w:val="00C80110"/>
    <w:rsid w:val="00C82C79"/>
    <w:rsid w:val="00C82D8C"/>
    <w:rsid w:val="00C8390F"/>
    <w:rsid w:val="00C83DA4"/>
    <w:rsid w:val="00C84753"/>
    <w:rsid w:val="00C8582F"/>
    <w:rsid w:val="00C865DB"/>
    <w:rsid w:val="00C86694"/>
    <w:rsid w:val="00C90467"/>
    <w:rsid w:val="00C91142"/>
    <w:rsid w:val="00C91611"/>
    <w:rsid w:val="00C9180F"/>
    <w:rsid w:val="00C91D9C"/>
    <w:rsid w:val="00C91E4C"/>
    <w:rsid w:val="00C934B2"/>
    <w:rsid w:val="00C93828"/>
    <w:rsid w:val="00C938CF"/>
    <w:rsid w:val="00C93A25"/>
    <w:rsid w:val="00C941AE"/>
    <w:rsid w:val="00C94629"/>
    <w:rsid w:val="00C951E3"/>
    <w:rsid w:val="00C95DE2"/>
    <w:rsid w:val="00C95F77"/>
    <w:rsid w:val="00C96BF4"/>
    <w:rsid w:val="00C97BB2"/>
    <w:rsid w:val="00C97C5D"/>
    <w:rsid w:val="00CA1104"/>
    <w:rsid w:val="00CA1522"/>
    <w:rsid w:val="00CA1CD6"/>
    <w:rsid w:val="00CA3108"/>
    <w:rsid w:val="00CA3294"/>
    <w:rsid w:val="00CA3585"/>
    <w:rsid w:val="00CA3D5A"/>
    <w:rsid w:val="00CA4C7C"/>
    <w:rsid w:val="00CA503F"/>
    <w:rsid w:val="00CA5998"/>
    <w:rsid w:val="00CA5C01"/>
    <w:rsid w:val="00CA7B12"/>
    <w:rsid w:val="00CA7E46"/>
    <w:rsid w:val="00CB0183"/>
    <w:rsid w:val="00CB08B4"/>
    <w:rsid w:val="00CB0EC0"/>
    <w:rsid w:val="00CB1EA3"/>
    <w:rsid w:val="00CB2718"/>
    <w:rsid w:val="00CB3909"/>
    <w:rsid w:val="00CB3AC4"/>
    <w:rsid w:val="00CB3EAB"/>
    <w:rsid w:val="00CB414E"/>
    <w:rsid w:val="00CB4F24"/>
    <w:rsid w:val="00CB552C"/>
    <w:rsid w:val="00CB5848"/>
    <w:rsid w:val="00CB5A91"/>
    <w:rsid w:val="00CB6A9E"/>
    <w:rsid w:val="00CB6BD5"/>
    <w:rsid w:val="00CB7002"/>
    <w:rsid w:val="00CB702B"/>
    <w:rsid w:val="00CB7609"/>
    <w:rsid w:val="00CC0C19"/>
    <w:rsid w:val="00CC0C2E"/>
    <w:rsid w:val="00CC294B"/>
    <w:rsid w:val="00CC2F34"/>
    <w:rsid w:val="00CC311E"/>
    <w:rsid w:val="00CC31D1"/>
    <w:rsid w:val="00CC3834"/>
    <w:rsid w:val="00CC3C25"/>
    <w:rsid w:val="00CC490B"/>
    <w:rsid w:val="00CC4CDB"/>
    <w:rsid w:val="00CC4F4D"/>
    <w:rsid w:val="00CC6012"/>
    <w:rsid w:val="00CC6181"/>
    <w:rsid w:val="00CC69CB"/>
    <w:rsid w:val="00CC6C20"/>
    <w:rsid w:val="00CC7DF1"/>
    <w:rsid w:val="00CD01CF"/>
    <w:rsid w:val="00CD09C7"/>
    <w:rsid w:val="00CD1CAA"/>
    <w:rsid w:val="00CD2150"/>
    <w:rsid w:val="00CD2BCD"/>
    <w:rsid w:val="00CD36AA"/>
    <w:rsid w:val="00CD3791"/>
    <w:rsid w:val="00CD631F"/>
    <w:rsid w:val="00CD635D"/>
    <w:rsid w:val="00CD6478"/>
    <w:rsid w:val="00CD65B0"/>
    <w:rsid w:val="00CD6810"/>
    <w:rsid w:val="00CD6CD8"/>
    <w:rsid w:val="00CD7370"/>
    <w:rsid w:val="00CD7A13"/>
    <w:rsid w:val="00CE02CD"/>
    <w:rsid w:val="00CE0487"/>
    <w:rsid w:val="00CE10E9"/>
    <w:rsid w:val="00CE1A43"/>
    <w:rsid w:val="00CE200F"/>
    <w:rsid w:val="00CE2776"/>
    <w:rsid w:val="00CE304B"/>
    <w:rsid w:val="00CE4037"/>
    <w:rsid w:val="00CE7316"/>
    <w:rsid w:val="00CE7736"/>
    <w:rsid w:val="00CE7896"/>
    <w:rsid w:val="00CE7B5A"/>
    <w:rsid w:val="00CE7C5E"/>
    <w:rsid w:val="00CE7FE5"/>
    <w:rsid w:val="00CF0638"/>
    <w:rsid w:val="00CF085A"/>
    <w:rsid w:val="00CF0D4B"/>
    <w:rsid w:val="00CF1413"/>
    <w:rsid w:val="00CF209C"/>
    <w:rsid w:val="00CF2683"/>
    <w:rsid w:val="00CF30BE"/>
    <w:rsid w:val="00CF3C28"/>
    <w:rsid w:val="00CF4F5C"/>
    <w:rsid w:val="00CF5B16"/>
    <w:rsid w:val="00D0072E"/>
    <w:rsid w:val="00D008FA"/>
    <w:rsid w:val="00D00C60"/>
    <w:rsid w:val="00D03000"/>
    <w:rsid w:val="00D0480B"/>
    <w:rsid w:val="00D04AEF"/>
    <w:rsid w:val="00D05654"/>
    <w:rsid w:val="00D06EB9"/>
    <w:rsid w:val="00D072E4"/>
    <w:rsid w:val="00D074CA"/>
    <w:rsid w:val="00D105E8"/>
    <w:rsid w:val="00D10D21"/>
    <w:rsid w:val="00D10F57"/>
    <w:rsid w:val="00D11157"/>
    <w:rsid w:val="00D1230D"/>
    <w:rsid w:val="00D12A2A"/>
    <w:rsid w:val="00D140F5"/>
    <w:rsid w:val="00D144B8"/>
    <w:rsid w:val="00D147FF"/>
    <w:rsid w:val="00D15607"/>
    <w:rsid w:val="00D15727"/>
    <w:rsid w:val="00D15AD9"/>
    <w:rsid w:val="00D16332"/>
    <w:rsid w:val="00D164E3"/>
    <w:rsid w:val="00D17430"/>
    <w:rsid w:val="00D1744B"/>
    <w:rsid w:val="00D1773E"/>
    <w:rsid w:val="00D17B7D"/>
    <w:rsid w:val="00D17E60"/>
    <w:rsid w:val="00D20469"/>
    <w:rsid w:val="00D204B0"/>
    <w:rsid w:val="00D22191"/>
    <w:rsid w:val="00D22268"/>
    <w:rsid w:val="00D22B04"/>
    <w:rsid w:val="00D22E54"/>
    <w:rsid w:val="00D232EC"/>
    <w:rsid w:val="00D23F7B"/>
    <w:rsid w:val="00D24972"/>
    <w:rsid w:val="00D2515E"/>
    <w:rsid w:val="00D261A3"/>
    <w:rsid w:val="00D27D2C"/>
    <w:rsid w:val="00D302E1"/>
    <w:rsid w:val="00D30789"/>
    <w:rsid w:val="00D308ED"/>
    <w:rsid w:val="00D319FC"/>
    <w:rsid w:val="00D31EFE"/>
    <w:rsid w:val="00D31FEC"/>
    <w:rsid w:val="00D33224"/>
    <w:rsid w:val="00D335C1"/>
    <w:rsid w:val="00D339E2"/>
    <w:rsid w:val="00D33B0B"/>
    <w:rsid w:val="00D33FAA"/>
    <w:rsid w:val="00D355DA"/>
    <w:rsid w:val="00D35DCF"/>
    <w:rsid w:val="00D36F53"/>
    <w:rsid w:val="00D36FB0"/>
    <w:rsid w:val="00D36FC5"/>
    <w:rsid w:val="00D4067B"/>
    <w:rsid w:val="00D41888"/>
    <w:rsid w:val="00D41B8E"/>
    <w:rsid w:val="00D41EB8"/>
    <w:rsid w:val="00D434C0"/>
    <w:rsid w:val="00D439FA"/>
    <w:rsid w:val="00D44D41"/>
    <w:rsid w:val="00D4546A"/>
    <w:rsid w:val="00D46808"/>
    <w:rsid w:val="00D50357"/>
    <w:rsid w:val="00D50A9C"/>
    <w:rsid w:val="00D51223"/>
    <w:rsid w:val="00D51A27"/>
    <w:rsid w:val="00D52491"/>
    <w:rsid w:val="00D52AE4"/>
    <w:rsid w:val="00D53C10"/>
    <w:rsid w:val="00D5418F"/>
    <w:rsid w:val="00D543F0"/>
    <w:rsid w:val="00D5454C"/>
    <w:rsid w:val="00D546F5"/>
    <w:rsid w:val="00D5549C"/>
    <w:rsid w:val="00D55B44"/>
    <w:rsid w:val="00D55E8D"/>
    <w:rsid w:val="00D56178"/>
    <w:rsid w:val="00D56CF0"/>
    <w:rsid w:val="00D56F5C"/>
    <w:rsid w:val="00D5768C"/>
    <w:rsid w:val="00D57974"/>
    <w:rsid w:val="00D60DFD"/>
    <w:rsid w:val="00D61A26"/>
    <w:rsid w:val="00D63C8F"/>
    <w:rsid w:val="00D64CB8"/>
    <w:rsid w:val="00D662D4"/>
    <w:rsid w:val="00D66569"/>
    <w:rsid w:val="00D67391"/>
    <w:rsid w:val="00D70213"/>
    <w:rsid w:val="00D704B1"/>
    <w:rsid w:val="00D70B63"/>
    <w:rsid w:val="00D7105A"/>
    <w:rsid w:val="00D71319"/>
    <w:rsid w:val="00D71641"/>
    <w:rsid w:val="00D72B92"/>
    <w:rsid w:val="00D72ED4"/>
    <w:rsid w:val="00D7371F"/>
    <w:rsid w:val="00D73F61"/>
    <w:rsid w:val="00D740F7"/>
    <w:rsid w:val="00D7438A"/>
    <w:rsid w:val="00D74D75"/>
    <w:rsid w:val="00D754C0"/>
    <w:rsid w:val="00D75A4E"/>
    <w:rsid w:val="00D75AA1"/>
    <w:rsid w:val="00D75C12"/>
    <w:rsid w:val="00D765FD"/>
    <w:rsid w:val="00D775B6"/>
    <w:rsid w:val="00D776A2"/>
    <w:rsid w:val="00D778DA"/>
    <w:rsid w:val="00D801C4"/>
    <w:rsid w:val="00D83653"/>
    <w:rsid w:val="00D83812"/>
    <w:rsid w:val="00D83F18"/>
    <w:rsid w:val="00D859D2"/>
    <w:rsid w:val="00D85CC4"/>
    <w:rsid w:val="00D86539"/>
    <w:rsid w:val="00D86AB5"/>
    <w:rsid w:val="00D9005C"/>
    <w:rsid w:val="00D902A9"/>
    <w:rsid w:val="00D90836"/>
    <w:rsid w:val="00D91337"/>
    <w:rsid w:val="00D914FA"/>
    <w:rsid w:val="00D91C61"/>
    <w:rsid w:val="00D92501"/>
    <w:rsid w:val="00D92A9C"/>
    <w:rsid w:val="00D92AFE"/>
    <w:rsid w:val="00D93134"/>
    <w:rsid w:val="00D94138"/>
    <w:rsid w:val="00D95896"/>
    <w:rsid w:val="00D95AC6"/>
    <w:rsid w:val="00D95CC6"/>
    <w:rsid w:val="00D96106"/>
    <w:rsid w:val="00D9615D"/>
    <w:rsid w:val="00D964B8"/>
    <w:rsid w:val="00DA0355"/>
    <w:rsid w:val="00DA0FE9"/>
    <w:rsid w:val="00DA10D8"/>
    <w:rsid w:val="00DA1DCD"/>
    <w:rsid w:val="00DA1DED"/>
    <w:rsid w:val="00DA2DA3"/>
    <w:rsid w:val="00DA307B"/>
    <w:rsid w:val="00DA387F"/>
    <w:rsid w:val="00DA5C65"/>
    <w:rsid w:val="00DA602B"/>
    <w:rsid w:val="00DA6259"/>
    <w:rsid w:val="00DA6615"/>
    <w:rsid w:val="00DA6AF8"/>
    <w:rsid w:val="00DA6B7A"/>
    <w:rsid w:val="00DA76AE"/>
    <w:rsid w:val="00DA78F3"/>
    <w:rsid w:val="00DB0576"/>
    <w:rsid w:val="00DB10F6"/>
    <w:rsid w:val="00DB181E"/>
    <w:rsid w:val="00DB1988"/>
    <w:rsid w:val="00DB1A01"/>
    <w:rsid w:val="00DB1C7A"/>
    <w:rsid w:val="00DB1EF2"/>
    <w:rsid w:val="00DB221B"/>
    <w:rsid w:val="00DB2983"/>
    <w:rsid w:val="00DB2A48"/>
    <w:rsid w:val="00DB343D"/>
    <w:rsid w:val="00DB4E82"/>
    <w:rsid w:val="00DB50F6"/>
    <w:rsid w:val="00DB5579"/>
    <w:rsid w:val="00DB5CFE"/>
    <w:rsid w:val="00DB6205"/>
    <w:rsid w:val="00DB666A"/>
    <w:rsid w:val="00DB6AF0"/>
    <w:rsid w:val="00DB7137"/>
    <w:rsid w:val="00DB74C5"/>
    <w:rsid w:val="00DB7A0A"/>
    <w:rsid w:val="00DC0D65"/>
    <w:rsid w:val="00DC109B"/>
    <w:rsid w:val="00DC15B7"/>
    <w:rsid w:val="00DC3011"/>
    <w:rsid w:val="00DC3A06"/>
    <w:rsid w:val="00DC4161"/>
    <w:rsid w:val="00DC4255"/>
    <w:rsid w:val="00DC4F7C"/>
    <w:rsid w:val="00DC6FCD"/>
    <w:rsid w:val="00DC72A6"/>
    <w:rsid w:val="00DC752F"/>
    <w:rsid w:val="00DD09EB"/>
    <w:rsid w:val="00DD0F59"/>
    <w:rsid w:val="00DD1691"/>
    <w:rsid w:val="00DD2113"/>
    <w:rsid w:val="00DD265E"/>
    <w:rsid w:val="00DD3228"/>
    <w:rsid w:val="00DD3F85"/>
    <w:rsid w:val="00DD492B"/>
    <w:rsid w:val="00DD660B"/>
    <w:rsid w:val="00DD6901"/>
    <w:rsid w:val="00DD75EE"/>
    <w:rsid w:val="00DE0607"/>
    <w:rsid w:val="00DE07FC"/>
    <w:rsid w:val="00DE0ECE"/>
    <w:rsid w:val="00DE1108"/>
    <w:rsid w:val="00DE29BC"/>
    <w:rsid w:val="00DE31FA"/>
    <w:rsid w:val="00DE37F3"/>
    <w:rsid w:val="00DE3F4A"/>
    <w:rsid w:val="00DE55A1"/>
    <w:rsid w:val="00DE6398"/>
    <w:rsid w:val="00DE678C"/>
    <w:rsid w:val="00DE6FCC"/>
    <w:rsid w:val="00DF011A"/>
    <w:rsid w:val="00DF10D9"/>
    <w:rsid w:val="00DF140D"/>
    <w:rsid w:val="00DF1930"/>
    <w:rsid w:val="00DF2BC1"/>
    <w:rsid w:val="00DF34D0"/>
    <w:rsid w:val="00DF3D08"/>
    <w:rsid w:val="00DF3FA1"/>
    <w:rsid w:val="00DF511D"/>
    <w:rsid w:val="00DF514A"/>
    <w:rsid w:val="00DF5564"/>
    <w:rsid w:val="00DF5932"/>
    <w:rsid w:val="00DF5D6A"/>
    <w:rsid w:val="00DF6364"/>
    <w:rsid w:val="00DF71B5"/>
    <w:rsid w:val="00DF76A5"/>
    <w:rsid w:val="00E009C0"/>
    <w:rsid w:val="00E00F50"/>
    <w:rsid w:val="00E01571"/>
    <w:rsid w:val="00E01E02"/>
    <w:rsid w:val="00E021FC"/>
    <w:rsid w:val="00E030E7"/>
    <w:rsid w:val="00E0358D"/>
    <w:rsid w:val="00E041E4"/>
    <w:rsid w:val="00E043F8"/>
    <w:rsid w:val="00E047D0"/>
    <w:rsid w:val="00E06327"/>
    <w:rsid w:val="00E076DA"/>
    <w:rsid w:val="00E07B4D"/>
    <w:rsid w:val="00E07BF9"/>
    <w:rsid w:val="00E07FD0"/>
    <w:rsid w:val="00E10AF6"/>
    <w:rsid w:val="00E10CF6"/>
    <w:rsid w:val="00E115B1"/>
    <w:rsid w:val="00E11FFF"/>
    <w:rsid w:val="00E142CE"/>
    <w:rsid w:val="00E148D6"/>
    <w:rsid w:val="00E1515E"/>
    <w:rsid w:val="00E15A65"/>
    <w:rsid w:val="00E15B87"/>
    <w:rsid w:val="00E165C8"/>
    <w:rsid w:val="00E16815"/>
    <w:rsid w:val="00E16EC6"/>
    <w:rsid w:val="00E1783D"/>
    <w:rsid w:val="00E2064B"/>
    <w:rsid w:val="00E21121"/>
    <w:rsid w:val="00E21978"/>
    <w:rsid w:val="00E22812"/>
    <w:rsid w:val="00E22C64"/>
    <w:rsid w:val="00E22D6D"/>
    <w:rsid w:val="00E23ACE"/>
    <w:rsid w:val="00E23BAE"/>
    <w:rsid w:val="00E24997"/>
    <w:rsid w:val="00E24CF8"/>
    <w:rsid w:val="00E25239"/>
    <w:rsid w:val="00E25947"/>
    <w:rsid w:val="00E26172"/>
    <w:rsid w:val="00E2643F"/>
    <w:rsid w:val="00E265B1"/>
    <w:rsid w:val="00E275B0"/>
    <w:rsid w:val="00E301C7"/>
    <w:rsid w:val="00E33BFC"/>
    <w:rsid w:val="00E345C4"/>
    <w:rsid w:val="00E34733"/>
    <w:rsid w:val="00E351E8"/>
    <w:rsid w:val="00E35EB6"/>
    <w:rsid w:val="00E373A1"/>
    <w:rsid w:val="00E379B2"/>
    <w:rsid w:val="00E40002"/>
    <w:rsid w:val="00E40546"/>
    <w:rsid w:val="00E40A33"/>
    <w:rsid w:val="00E40C01"/>
    <w:rsid w:val="00E412D0"/>
    <w:rsid w:val="00E41A29"/>
    <w:rsid w:val="00E41DDD"/>
    <w:rsid w:val="00E438EC"/>
    <w:rsid w:val="00E43C0D"/>
    <w:rsid w:val="00E44310"/>
    <w:rsid w:val="00E44D4C"/>
    <w:rsid w:val="00E4591C"/>
    <w:rsid w:val="00E45C4D"/>
    <w:rsid w:val="00E4600B"/>
    <w:rsid w:val="00E462F5"/>
    <w:rsid w:val="00E47CDB"/>
    <w:rsid w:val="00E50BBA"/>
    <w:rsid w:val="00E50F89"/>
    <w:rsid w:val="00E514CC"/>
    <w:rsid w:val="00E51965"/>
    <w:rsid w:val="00E524BF"/>
    <w:rsid w:val="00E526C9"/>
    <w:rsid w:val="00E532DB"/>
    <w:rsid w:val="00E566BC"/>
    <w:rsid w:val="00E574F1"/>
    <w:rsid w:val="00E608C4"/>
    <w:rsid w:val="00E60982"/>
    <w:rsid w:val="00E60C8D"/>
    <w:rsid w:val="00E6162F"/>
    <w:rsid w:val="00E61AA2"/>
    <w:rsid w:val="00E62224"/>
    <w:rsid w:val="00E625CE"/>
    <w:rsid w:val="00E62D12"/>
    <w:rsid w:val="00E6311B"/>
    <w:rsid w:val="00E6336E"/>
    <w:rsid w:val="00E63608"/>
    <w:rsid w:val="00E63C77"/>
    <w:rsid w:val="00E649E8"/>
    <w:rsid w:val="00E65D97"/>
    <w:rsid w:val="00E6646C"/>
    <w:rsid w:val="00E66BA8"/>
    <w:rsid w:val="00E6736A"/>
    <w:rsid w:val="00E678CB"/>
    <w:rsid w:val="00E67CD3"/>
    <w:rsid w:val="00E67E86"/>
    <w:rsid w:val="00E67EFD"/>
    <w:rsid w:val="00E702DC"/>
    <w:rsid w:val="00E704E7"/>
    <w:rsid w:val="00E70517"/>
    <w:rsid w:val="00E70526"/>
    <w:rsid w:val="00E714AC"/>
    <w:rsid w:val="00E7153C"/>
    <w:rsid w:val="00E71AD9"/>
    <w:rsid w:val="00E71FFB"/>
    <w:rsid w:val="00E72C86"/>
    <w:rsid w:val="00E73A1A"/>
    <w:rsid w:val="00E74C33"/>
    <w:rsid w:val="00E74DE6"/>
    <w:rsid w:val="00E75107"/>
    <w:rsid w:val="00E75364"/>
    <w:rsid w:val="00E7594E"/>
    <w:rsid w:val="00E76B84"/>
    <w:rsid w:val="00E76D1D"/>
    <w:rsid w:val="00E77333"/>
    <w:rsid w:val="00E774A6"/>
    <w:rsid w:val="00E80113"/>
    <w:rsid w:val="00E806F8"/>
    <w:rsid w:val="00E80D71"/>
    <w:rsid w:val="00E80E5C"/>
    <w:rsid w:val="00E81A50"/>
    <w:rsid w:val="00E81F21"/>
    <w:rsid w:val="00E826C6"/>
    <w:rsid w:val="00E82A93"/>
    <w:rsid w:val="00E832B0"/>
    <w:rsid w:val="00E83492"/>
    <w:rsid w:val="00E84B5A"/>
    <w:rsid w:val="00E84BA8"/>
    <w:rsid w:val="00E8520A"/>
    <w:rsid w:val="00E85610"/>
    <w:rsid w:val="00E86476"/>
    <w:rsid w:val="00E86667"/>
    <w:rsid w:val="00E869D9"/>
    <w:rsid w:val="00E86A0D"/>
    <w:rsid w:val="00E87297"/>
    <w:rsid w:val="00E87591"/>
    <w:rsid w:val="00E87752"/>
    <w:rsid w:val="00E8793B"/>
    <w:rsid w:val="00E907EB"/>
    <w:rsid w:val="00E90CFA"/>
    <w:rsid w:val="00E90F81"/>
    <w:rsid w:val="00E91A6D"/>
    <w:rsid w:val="00E91AB4"/>
    <w:rsid w:val="00E91CA9"/>
    <w:rsid w:val="00E91D10"/>
    <w:rsid w:val="00E91E66"/>
    <w:rsid w:val="00E92384"/>
    <w:rsid w:val="00E9242D"/>
    <w:rsid w:val="00E92433"/>
    <w:rsid w:val="00E92926"/>
    <w:rsid w:val="00E93148"/>
    <w:rsid w:val="00E937F9"/>
    <w:rsid w:val="00E93841"/>
    <w:rsid w:val="00E93A1B"/>
    <w:rsid w:val="00E94C20"/>
    <w:rsid w:val="00E94D21"/>
    <w:rsid w:val="00E94FD6"/>
    <w:rsid w:val="00E95053"/>
    <w:rsid w:val="00E961B4"/>
    <w:rsid w:val="00E97477"/>
    <w:rsid w:val="00E97713"/>
    <w:rsid w:val="00E97806"/>
    <w:rsid w:val="00E97902"/>
    <w:rsid w:val="00EA02B4"/>
    <w:rsid w:val="00EA1352"/>
    <w:rsid w:val="00EA1C36"/>
    <w:rsid w:val="00EA2C1F"/>
    <w:rsid w:val="00EA3FA3"/>
    <w:rsid w:val="00EA6310"/>
    <w:rsid w:val="00EA653B"/>
    <w:rsid w:val="00EA6AA7"/>
    <w:rsid w:val="00EA6D4D"/>
    <w:rsid w:val="00EA747F"/>
    <w:rsid w:val="00EA7D91"/>
    <w:rsid w:val="00EA7F24"/>
    <w:rsid w:val="00EB041C"/>
    <w:rsid w:val="00EB0B14"/>
    <w:rsid w:val="00EB0BA4"/>
    <w:rsid w:val="00EB0D31"/>
    <w:rsid w:val="00EB16B6"/>
    <w:rsid w:val="00EB1CC0"/>
    <w:rsid w:val="00EB26CC"/>
    <w:rsid w:val="00EB338B"/>
    <w:rsid w:val="00EB486B"/>
    <w:rsid w:val="00EB4C81"/>
    <w:rsid w:val="00EB5219"/>
    <w:rsid w:val="00EB56C7"/>
    <w:rsid w:val="00EB5971"/>
    <w:rsid w:val="00EB5E90"/>
    <w:rsid w:val="00EB6410"/>
    <w:rsid w:val="00EB6799"/>
    <w:rsid w:val="00EB6A14"/>
    <w:rsid w:val="00EB6B9F"/>
    <w:rsid w:val="00EB6DED"/>
    <w:rsid w:val="00EB7B7F"/>
    <w:rsid w:val="00EB7BFC"/>
    <w:rsid w:val="00EC0525"/>
    <w:rsid w:val="00EC0C22"/>
    <w:rsid w:val="00EC32AF"/>
    <w:rsid w:val="00EC514A"/>
    <w:rsid w:val="00EC5874"/>
    <w:rsid w:val="00EC5970"/>
    <w:rsid w:val="00EC5D65"/>
    <w:rsid w:val="00EC62D7"/>
    <w:rsid w:val="00EC7146"/>
    <w:rsid w:val="00ED192D"/>
    <w:rsid w:val="00ED23ED"/>
    <w:rsid w:val="00ED30B4"/>
    <w:rsid w:val="00ED31F5"/>
    <w:rsid w:val="00ED4144"/>
    <w:rsid w:val="00ED46CE"/>
    <w:rsid w:val="00ED501D"/>
    <w:rsid w:val="00ED595C"/>
    <w:rsid w:val="00ED5B73"/>
    <w:rsid w:val="00ED5DCB"/>
    <w:rsid w:val="00ED5E47"/>
    <w:rsid w:val="00ED71B4"/>
    <w:rsid w:val="00ED76B1"/>
    <w:rsid w:val="00ED791E"/>
    <w:rsid w:val="00ED7A18"/>
    <w:rsid w:val="00EE002A"/>
    <w:rsid w:val="00EE0F43"/>
    <w:rsid w:val="00EE1499"/>
    <w:rsid w:val="00EE2068"/>
    <w:rsid w:val="00EE252C"/>
    <w:rsid w:val="00EE3B58"/>
    <w:rsid w:val="00EE3E51"/>
    <w:rsid w:val="00EE4AB7"/>
    <w:rsid w:val="00EE61FC"/>
    <w:rsid w:val="00EE7047"/>
    <w:rsid w:val="00EE78D7"/>
    <w:rsid w:val="00EE79D2"/>
    <w:rsid w:val="00EE7D50"/>
    <w:rsid w:val="00EF24FE"/>
    <w:rsid w:val="00EF2759"/>
    <w:rsid w:val="00EF45EB"/>
    <w:rsid w:val="00EF482D"/>
    <w:rsid w:val="00EF48F2"/>
    <w:rsid w:val="00EF505D"/>
    <w:rsid w:val="00EF5099"/>
    <w:rsid w:val="00EF5B41"/>
    <w:rsid w:val="00EF5E33"/>
    <w:rsid w:val="00F00075"/>
    <w:rsid w:val="00F00BD0"/>
    <w:rsid w:val="00F016AC"/>
    <w:rsid w:val="00F0249A"/>
    <w:rsid w:val="00F025AC"/>
    <w:rsid w:val="00F0288E"/>
    <w:rsid w:val="00F03530"/>
    <w:rsid w:val="00F03B65"/>
    <w:rsid w:val="00F03FA1"/>
    <w:rsid w:val="00F04600"/>
    <w:rsid w:val="00F055DD"/>
    <w:rsid w:val="00F05CA3"/>
    <w:rsid w:val="00F05F7C"/>
    <w:rsid w:val="00F06882"/>
    <w:rsid w:val="00F06935"/>
    <w:rsid w:val="00F07645"/>
    <w:rsid w:val="00F07822"/>
    <w:rsid w:val="00F079F0"/>
    <w:rsid w:val="00F10374"/>
    <w:rsid w:val="00F10549"/>
    <w:rsid w:val="00F106B4"/>
    <w:rsid w:val="00F12869"/>
    <w:rsid w:val="00F1368C"/>
    <w:rsid w:val="00F1467B"/>
    <w:rsid w:val="00F14A0D"/>
    <w:rsid w:val="00F14C98"/>
    <w:rsid w:val="00F14E30"/>
    <w:rsid w:val="00F1532A"/>
    <w:rsid w:val="00F156FC"/>
    <w:rsid w:val="00F15AEF"/>
    <w:rsid w:val="00F15C95"/>
    <w:rsid w:val="00F210E6"/>
    <w:rsid w:val="00F22769"/>
    <w:rsid w:val="00F22985"/>
    <w:rsid w:val="00F241AB"/>
    <w:rsid w:val="00F2436F"/>
    <w:rsid w:val="00F246CD"/>
    <w:rsid w:val="00F25D0B"/>
    <w:rsid w:val="00F2606C"/>
    <w:rsid w:val="00F26429"/>
    <w:rsid w:val="00F2646C"/>
    <w:rsid w:val="00F267B1"/>
    <w:rsid w:val="00F26D8F"/>
    <w:rsid w:val="00F27795"/>
    <w:rsid w:val="00F27918"/>
    <w:rsid w:val="00F30AA4"/>
    <w:rsid w:val="00F31382"/>
    <w:rsid w:val="00F314D4"/>
    <w:rsid w:val="00F31D08"/>
    <w:rsid w:val="00F31E71"/>
    <w:rsid w:val="00F32084"/>
    <w:rsid w:val="00F32549"/>
    <w:rsid w:val="00F3316C"/>
    <w:rsid w:val="00F34165"/>
    <w:rsid w:val="00F34900"/>
    <w:rsid w:val="00F34A43"/>
    <w:rsid w:val="00F34EBC"/>
    <w:rsid w:val="00F354DF"/>
    <w:rsid w:val="00F35829"/>
    <w:rsid w:val="00F36ED1"/>
    <w:rsid w:val="00F36FDE"/>
    <w:rsid w:val="00F403C6"/>
    <w:rsid w:val="00F4145C"/>
    <w:rsid w:val="00F41863"/>
    <w:rsid w:val="00F41C7C"/>
    <w:rsid w:val="00F41FD8"/>
    <w:rsid w:val="00F42868"/>
    <w:rsid w:val="00F42C68"/>
    <w:rsid w:val="00F431F0"/>
    <w:rsid w:val="00F44000"/>
    <w:rsid w:val="00F452BA"/>
    <w:rsid w:val="00F45CDD"/>
    <w:rsid w:val="00F45E33"/>
    <w:rsid w:val="00F463E4"/>
    <w:rsid w:val="00F465A7"/>
    <w:rsid w:val="00F46EBF"/>
    <w:rsid w:val="00F47755"/>
    <w:rsid w:val="00F505FB"/>
    <w:rsid w:val="00F50984"/>
    <w:rsid w:val="00F50B7C"/>
    <w:rsid w:val="00F5191B"/>
    <w:rsid w:val="00F51920"/>
    <w:rsid w:val="00F5202D"/>
    <w:rsid w:val="00F52560"/>
    <w:rsid w:val="00F52CF6"/>
    <w:rsid w:val="00F54496"/>
    <w:rsid w:val="00F55A36"/>
    <w:rsid w:val="00F56A59"/>
    <w:rsid w:val="00F60188"/>
    <w:rsid w:val="00F61097"/>
    <w:rsid w:val="00F624E0"/>
    <w:rsid w:val="00F6256F"/>
    <w:rsid w:val="00F62DCC"/>
    <w:rsid w:val="00F6305E"/>
    <w:rsid w:val="00F64D8D"/>
    <w:rsid w:val="00F64FA3"/>
    <w:rsid w:val="00F66D07"/>
    <w:rsid w:val="00F66D8E"/>
    <w:rsid w:val="00F672D9"/>
    <w:rsid w:val="00F70057"/>
    <w:rsid w:val="00F701BD"/>
    <w:rsid w:val="00F701D1"/>
    <w:rsid w:val="00F70C34"/>
    <w:rsid w:val="00F716E4"/>
    <w:rsid w:val="00F7175E"/>
    <w:rsid w:val="00F71A7D"/>
    <w:rsid w:val="00F73641"/>
    <w:rsid w:val="00F74142"/>
    <w:rsid w:val="00F74345"/>
    <w:rsid w:val="00F74441"/>
    <w:rsid w:val="00F77C8B"/>
    <w:rsid w:val="00F77F30"/>
    <w:rsid w:val="00F80588"/>
    <w:rsid w:val="00F8059D"/>
    <w:rsid w:val="00F80801"/>
    <w:rsid w:val="00F8149C"/>
    <w:rsid w:val="00F82460"/>
    <w:rsid w:val="00F82589"/>
    <w:rsid w:val="00F82B19"/>
    <w:rsid w:val="00F82BD8"/>
    <w:rsid w:val="00F8371D"/>
    <w:rsid w:val="00F846FE"/>
    <w:rsid w:val="00F858B7"/>
    <w:rsid w:val="00F85DEE"/>
    <w:rsid w:val="00F870B7"/>
    <w:rsid w:val="00F87804"/>
    <w:rsid w:val="00F90A35"/>
    <w:rsid w:val="00F90AA7"/>
    <w:rsid w:val="00F913CC"/>
    <w:rsid w:val="00F91561"/>
    <w:rsid w:val="00F91AA6"/>
    <w:rsid w:val="00F91B9E"/>
    <w:rsid w:val="00F91C76"/>
    <w:rsid w:val="00F91FA6"/>
    <w:rsid w:val="00F9212D"/>
    <w:rsid w:val="00F93193"/>
    <w:rsid w:val="00F9352D"/>
    <w:rsid w:val="00F940A0"/>
    <w:rsid w:val="00F945AE"/>
    <w:rsid w:val="00F94E36"/>
    <w:rsid w:val="00F95B29"/>
    <w:rsid w:val="00F962C7"/>
    <w:rsid w:val="00F9652F"/>
    <w:rsid w:val="00F96AA3"/>
    <w:rsid w:val="00F974AA"/>
    <w:rsid w:val="00F975F2"/>
    <w:rsid w:val="00FA03C6"/>
    <w:rsid w:val="00FA0DED"/>
    <w:rsid w:val="00FA0F3C"/>
    <w:rsid w:val="00FA12C7"/>
    <w:rsid w:val="00FA1520"/>
    <w:rsid w:val="00FA1EEB"/>
    <w:rsid w:val="00FA213B"/>
    <w:rsid w:val="00FA301A"/>
    <w:rsid w:val="00FA406A"/>
    <w:rsid w:val="00FA4B8F"/>
    <w:rsid w:val="00FA4D03"/>
    <w:rsid w:val="00FA4D94"/>
    <w:rsid w:val="00FA4F7A"/>
    <w:rsid w:val="00FA503B"/>
    <w:rsid w:val="00FA58AA"/>
    <w:rsid w:val="00FA5CB6"/>
    <w:rsid w:val="00FA63AA"/>
    <w:rsid w:val="00FA77A8"/>
    <w:rsid w:val="00FB0247"/>
    <w:rsid w:val="00FB0C71"/>
    <w:rsid w:val="00FB16A6"/>
    <w:rsid w:val="00FB24C2"/>
    <w:rsid w:val="00FB2BD1"/>
    <w:rsid w:val="00FB47B8"/>
    <w:rsid w:val="00FB6D04"/>
    <w:rsid w:val="00FB7BEF"/>
    <w:rsid w:val="00FB7F40"/>
    <w:rsid w:val="00FC1288"/>
    <w:rsid w:val="00FC1974"/>
    <w:rsid w:val="00FC20A4"/>
    <w:rsid w:val="00FC23E9"/>
    <w:rsid w:val="00FC3000"/>
    <w:rsid w:val="00FC31AD"/>
    <w:rsid w:val="00FC3921"/>
    <w:rsid w:val="00FC3985"/>
    <w:rsid w:val="00FC3CEF"/>
    <w:rsid w:val="00FC49DE"/>
    <w:rsid w:val="00FC4CA9"/>
    <w:rsid w:val="00FC4CF9"/>
    <w:rsid w:val="00FC4DB5"/>
    <w:rsid w:val="00FC51F1"/>
    <w:rsid w:val="00FC66AC"/>
    <w:rsid w:val="00FC6BEF"/>
    <w:rsid w:val="00FC6C30"/>
    <w:rsid w:val="00FC6FA0"/>
    <w:rsid w:val="00FC7B48"/>
    <w:rsid w:val="00FC7C9B"/>
    <w:rsid w:val="00FC7D4A"/>
    <w:rsid w:val="00FD080A"/>
    <w:rsid w:val="00FD1067"/>
    <w:rsid w:val="00FD18F4"/>
    <w:rsid w:val="00FD201D"/>
    <w:rsid w:val="00FD2763"/>
    <w:rsid w:val="00FD2A0F"/>
    <w:rsid w:val="00FD35CF"/>
    <w:rsid w:val="00FD39AE"/>
    <w:rsid w:val="00FD3B06"/>
    <w:rsid w:val="00FD530B"/>
    <w:rsid w:val="00FD5FE4"/>
    <w:rsid w:val="00FD6B2C"/>
    <w:rsid w:val="00FD6B5F"/>
    <w:rsid w:val="00FD74B4"/>
    <w:rsid w:val="00FE0A23"/>
    <w:rsid w:val="00FE14D6"/>
    <w:rsid w:val="00FE1B60"/>
    <w:rsid w:val="00FE1BA0"/>
    <w:rsid w:val="00FE234F"/>
    <w:rsid w:val="00FE2C19"/>
    <w:rsid w:val="00FE3AE0"/>
    <w:rsid w:val="00FE3B39"/>
    <w:rsid w:val="00FE45EA"/>
    <w:rsid w:val="00FE46AD"/>
    <w:rsid w:val="00FE4EC7"/>
    <w:rsid w:val="00FE50C1"/>
    <w:rsid w:val="00FF0526"/>
    <w:rsid w:val="00FF0C7B"/>
    <w:rsid w:val="00FF1549"/>
    <w:rsid w:val="00FF1C0C"/>
    <w:rsid w:val="00FF1E31"/>
    <w:rsid w:val="00FF2E0B"/>
    <w:rsid w:val="00FF3112"/>
    <w:rsid w:val="00FF3A71"/>
    <w:rsid w:val="00FF3CAC"/>
    <w:rsid w:val="00FF3F13"/>
    <w:rsid w:val="00FF45A9"/>
    <w:rsid w:val="00FF509F"/>
    <w:rsid w:val="00FF58CA"/>
    <w:rsid w:val="00FF60CA"/>
    <w:rsid w:val="00FF6AEC"/>
    <w:rsid w:val="00FF6FCE"/>
    <w:rsid w:val="00FF7518"/>
    <w:rsid w:val="00FF7A6B"/>
    <w:rsid w:val="00FF7BD0"/>
    <w:rsid w:val="00FF7FD8"/>
    <w:rsid w:val="012810B4"/>
    <w:rsid w:val="01303AC5"/>
    <w:rsid w:val="013435B5"/>
    <w:rsid w:val="014C6B51"/>
    <w:rsid w:val="01600ABF"/>
    <w:rsid w:val="016224E1"/>
    <w:rsid w:val="01722330"/>
    <w:rsid w:val="017442FA"/>
    <w:rsid w:val="01AA1AC9"/>
    <w:rsid w:val="01B42948"/>
    <w:rsid w:val="01C0753F"/>
    <w:rsid w:val="01C40DDD"/>
    <w:rsid w:val="01CE57B8"/>
    <w:rsid w:val="020E6C8E"/>
    <w:rsid w:val="02151639"/>
    <w:rsid w:val="0227311A"/>
    <w:rsid w:val="022950E4"/>
    <w:rsid w:val="022E44A8"/>
    <w:rsid w:val="023D46EC"/>
    <w:rsid w:val="02513652"/>
    <w:rsid w:val="026D3223"/>
    <w:rsid w:val="02713DE6"/>
    <w:rsid w:val="027748AE"/>
    <w:rsid w:val="02775E4F"/>
    <w:rsid w:val="029D33DC"/>
    <w:rsid w:val="02A72075"/>
    <w:rsid w:val="02BE3A7E"/>
    <w:rsid w:val="02C14C7E"/>
    <w:rsid w:val="02C72207"/>
    <w:rsid w:val="02D87FE7"/>
    <w:rsid w:val="02DB1926"/>
    <w:rsid w:val="02DB4C63"/>
    <w:rsid w:val="02ED12BC"/>
    <w:rsid w:val="02EE3C38"/>
    <w:rsid w:val="02FE031F"/>
    <w:rsid w:val="0306659A"/>
    <w:rsid w:val="0308110D"/>
    <w:rsid w:val="032A2EC2"/>
    <w:rsid w:val="032C4E8C"/>
    <w:rsid w:val="034A3564"/>
    <w:rsid w:val="03836A76"/>
    <w:rsid w:val="03A11C8C"/>
    <w:rsid w:val="03DD6FCF"/>
    <w:rsid w:val="03E01F6E"/>
    <w:rsid w:val="03E07A24"/>
    <w:rsid w:val="03E56DE9"/>
    <w:rsid w:val="03E72B61"/>
    <w:rsid w:val="03FA6D38"/>
    <w:rsid w:val="03FD05D6"/>
    <w:rsid w:val="04090D29"/>
    <w:rsid w:val="04267B2D"/>
    <w:rsid w:val="04323E37"/>
    <w:rsid w:val="043D1D6E"/>
    <w:rsid w:val="043D4E77"/>
    <w:rsid w:val="04483997"/>
    <w:rsid w:val="04536448"/>
    <w:rsid w:val="0458580D"/>
    <w:rsid w:val="045A1585"/>
    <w:rsid w:val="04625B6F"/>
    <w:rsid w:val="04781A0B"/>
    <w:rsid w:val="04936845"/>
    <w:rsid w:val="04A40A52"/>
    <w:rsid w:val="04AB0032"/>
    <w:rsid w:val="04B844FD"/>
    <w:rsid w:val="04CC70C5"/>
    <w:rsid w:val="04D37589"/>
    <w:rsid w:val="04F31C09"/>
    <w:rsid w:val="04F55751"/>
    <w:rsid w:val="04FC007E"/>
    <w:rsid w:val="05031C1C"/>
    <w:rsid w:val="050D6CCC"/>
    <w:rsid w:val="051300AE"/>
    <w:rsid w:val="0537167E"/>
    <w:rsid w:val="053C512E"/>
    <w:rsid w:val="05502988"/>
    <w:rsid w:val="05715C7A"/>
    <w:rsid w:val="0573412F"/>
    <w:rsid w:val="05742AC8"/>
    <w:rsid w:val="058D2D8B"/>
    <w:rsid w:val="059C6E62"/>
    <w:rsid w:val="05C018BB"/>
    <w:rsid w:val="05C25634"/>
    <w:rsid w:val="05C72C4A"/>
    <w:rsid w:val="05D15877"/>
    <w:rsid w:val="05DD246D"/>
    <w:rsid w:val="05E01F5E"/>
    <w:rsid w:val="05F91FC1"/>
    <w:rsid w:val="0600615C"/>
    <w:rsid w:val="060C2D53"/>
    <w:rsid w:val="061F28BB"/>
    <w:rsid w:val="062169F2"/>
    <w:rsid w:val="06352F05"/>
    <w:rsid w:val="063E7D85"/>
    <w:rsid w:val="065564A8"/>
    <w:rsid w:val="067803E8"/>
    <w:rsid w:val="067F7EC9"/>
    <w:rsid w:val="06824DC3"/>
    <w:rsid w:val="068943A3"/>
    <w:rsid w:val="06896151"/>
    <w:rsid w:val="06915006"/>
    <w:rsid w:val="069A3B08"/>
    <w:rsid w:val="069B5E85"/>
    <w:rsid w:val="069C687F"/>
    <w:rsid w:val="06A92994"/>
    <w:rsid w:val="06B01930"/>
    <w:rsid w:val="06DF5D71"/>
    <w:rsid w:val="06E93094"/>
    <w:rsid w:val="06F4706F"/>
    <w:rsid w:val="070332B8"/>
    <w:rsid w:val="070752C8"/>
    <w:rsid w:val="070875E0"/>
    <w:rsid w:val="070E2DD2"/>
    <w:rsid w:val="07253325"/>
    <w:rsid w:val="07293586"/>
    <w:rsid w:val="07295285"/>
    <w:rsid w:val="072F0CCD"/>
    <w:rsid w:val="072F471A"/>
    <w:rsid w:val="07357ABF"/>
    <w:rsid w:val="07391925"/>
    <w:rsid w:val="07397B77"/>
    <w:rsid w:val="0742420A"/>
    <w:rsid w:val="075E138C"/>
    <w:rsid w:val="07660241"/>
    <w:rsid w:val="07676C21"/>
    <w:rsid w:val="07770C56"/>
    <w:rsid w:val="078B7CA7"/>
    <w:rsid w:val="079B438E"/>
    <w:rsid w:val="07B45450"/>
    <w:rsid w:val="07CE0B84"/>
    <w:rsid w:val="07CE68C8"/>
    <w:rsid w:val="07CF31BA"/>
    <w:rsid w:val="07DB478B"/>
    <w:rsid w:val="07E13D6B"/>
    <w:rsid w:val="07E9507F"/>
    <w:rsid w:val="07F615C4"/>
    <w:rsid w:val="07FE2B6F"/>
    <w:rsid w:val="08202AE5"/>
    <w:rsid w:val="08256BE2"/>
    <w:rsid w:val="082D6FB0"/>
    <w:rsid w:val="08444A26"/>
    <w:rsid w:val="085670DA"/>
    <w:rsid w:val="085E13DC"/>
    <w:rsid w:val="085F360E"/>
    <w:rsid w:val="086E5A65"/>
    <w:rsid w:val="0870581B"/>
    <w:rsid w:val="087A28D8"/>
    <w:rsid w:val="08836BD0"/>
    <w:rsid w:val="089A2A12"/>
    <w:rsid w:val="08AD13DA"/>
    <w:rsid w:val="08AF79C5"/>
    <w:rsid w:val="08C47915"/>
    <w:rsid w:val="08EC29C7"/>
    <w:rsid w:val="08FA6E92"/>
    <w:rsid w:val="09057E1A"/>
    <w:rsid w:val="09073595"/>
    <w:rsid w:val="090C4AD6"/>
    <w:rsid w:val="090D4A78"/>
    <w:rsid w:val="092217DD"/>
    <w:rsid w:val="09335EBD"/>
    <w:rsid w:val="093A7294"/>
    <w:rsid w:val="093E2BBB"/>
    <w:rsid w:val="094E71DE"/>
    <w:rsid w:val="09502F56"/>
    <w:rsid w:val="095063E2"/>
    <w:rsid w:val="095C18FB"/>
    <w:rsid w:val="096C0522"/>
    <w:rsid w:val="09815806"/>
    <w:rsid w:val="098D41AA"/>
    <w:rsid w:val="098F1CD1"/>
    <w:rsid w:val="09921684"/>
    <w:rsid w:val="099D3B73"/>
    <w:rsid w:val="09BA02A1"/>
    <w:rsid w:val="09C000DC"/>
    <w:rsid w:val="09CB082F"/>
    <w:rsid w:val="09D66EF6"/>
    <w:rsid w:val="09E638BB"/>
    <w:rsid w:val="09F4422A"/>
    <w:rsid w:val="09F824A4"/>
    <w:rsid w:val="0A0244D1"/>
    <w:rsid w:val="0A1E12A6"/>
    <w:rsid w:val="0A1E4E03"/>
    <w:rsid w:val="0A23066B"/>
    <w:rsid w:val="0A2379CC"/>
    <w:rsid w:val="0A2543E3"/>
    <w:rsid w:val="0A4725AB"/>
    <w:rsid w:val="0A4B7CC0"/>
    <w:rsid w:val="0A4D2013"/>
    <w:rsid w:val="0A4D7496"/>
    <w:rsid w:val="0A740EC6"/>
    <w:rsid w:val="0A7669ED"/>
    <w:rsid w:val="0A7E1736"/>
    <w:rsid w:val="0AA61249"/>
    <w:rsid w:val="0AB94B2B"/>
    <w:rsid w:val="0ACA0AE6"/>
    <w:rsid w:val="0ACE05D7"/>
    <w:rsid w:val="0AD6392F"/>
    <w:rsid w:val="0ADF27E4"/>
    <w:rsid w:val="0AEB0F5B"/>
    <w:rsid w:val="0AEF054D"/>
    <w:rsid w:val="0AF618DB"/>
    <w:rsid w:val="0AF87E7B"/>
    <w:rsid w:val="0B0650AD"/>
    <w:rsid w:val="0B1F443B"/>
    <w:rsid w:val="0B553896"/>
    <w:rsid w:val="0B7C0033"/>
    <w:rsid w:val="0B7C3857"/>
    <w:rsid w:val="0B9227CA"/>
    <w:rsid w:val="0B9A670B"/>
    <w:rsid w:val="0BAD4690"/>
    <w:rsid w:val="0BAD643E"/>
    <w:rsid w:val="0BB84DE3"/>
    <w:rsid w:val="0BD27BF6"/>
    <w:rsid w:val="0BDE6F3F"/>
    <w:rsid w:val="0BE36304"/>
    <w:rsid w:val="0BE502CE"/>
    <w:rsid w:val="0BE9344F"/>
    <w:rsid w:val="0BED2CDE"/>
    <w:rsid w:val="0BF40AD5"/>
    <w:rsid w:val="0C232BA4"/>
    <w:rsid w:val="0C2E2BCB"/>
    <w:rsid w:val="0C3923C8"/>
    <w:rsid w:val="0C7E427E"/>
    <w:rsid w:val="0CC46135"/>
    <w:rsid w:val="0CC779D3"/>
    <w:rsid w:val="0CD2030C"/>
    <w:rsid w:val="0CD82E63"/>
    <w:rsid w:val="0CEB1914"/>
    <w:rsid w:val="0D08640F"/>
    <w:rsid w:val="0D1441BC"/>
    <w:rsid w:val="0D231A64"/>
    <w:rsid w:val="0D242020"/>
    <w:rsid w:val="0D3B3F1D"/>
    <w:rsid w:val="0D3D30EB"/>
    <w:rsid w:val="0D411534"/>
    <w:rsid w:val="0D4234FE"/>
    <w:rsid w:val="0D4E59FF"/>
    <w:rsid w:val="0D5A0848"/>
    <w:rsid w:val="0D6214AA"/>
    <w:rsid w:val="0D6E0660"/>
    <w:rsid w:val="0D970709"/>
    <w:rsid w:val="0D9A6E96"/>
    <w:rsid w:val="0DC43F13"/>
    <w:rsid w:val="0DCC5C79"/>
    <w:rsid w:val="0DCC6C94"/>
    <w:rsid w:val="0DCF03FB"/>
    <w:rsid w:val="0DDC74AE"/>
    <w:rsid w:val="0DDE4FD5"/>
    <w:rsid w:val="0DE85E53"/>
    <w:rsid w:val="0DF77E44"/>
    <w:rsid w:val="0DFF3C84"/>
    <w:rsid w:val="0E110D06"/>
    <w:rsid w:val="0E172295"/>
    <w:rsid w:val="0E236E8B"/>
    <w:rsid w:val="0E342E47"/>
    <w:rsid w:val="0E4517EC"/>
    <w:rsid w:val="0E6B25E0"/>
    <w:rsid w:val="0E7B6CC7"/>
    <w:rsid w:val="0E84319E"/>
    <w:rsid w:val="0E9246B3"/>
    <w:rsid w:val="0EA9239C"/>
    <w:rsid w:val="0EBB70C4"/>
    <w:rsid w:val="0EC5310D"/>
    <w:rsid w:val="0EC73CBB"/>
    <w:rsid w:val="0EDF7256"/>
    <w:rsid w:val="0EEC1973"/>
    <w:rsid w:val="0EEF3211"/>
    <w:rsid w:val="0EF6634E"/>
    <w:rsid w:val="0EF67916"/>
    <w:rsid w:val="0EF80318"/>
    <w:rsid w:val="0EFC26D1"/>
    <w:rsid w:val="0F13775A"/>
    <w:rsid w:val="0F16079E"/>
    <w:rsid w:val="0F1D38DB"/>
    <w:rsid w:val="0F264E85"/>
    <w:rsid w:val="0F380715"/>
    <w:rsid w:val="0F3F7CF5"/>
    <w:rsid w:val="0F563291"/>
    <w:rsid w:val="0F706100"/>
    <w:rsid w:val="0F8B2F3A"/>
    <w:rsid w:val="0F8B766A"/>
    <w:rsid w:val="0F917E25"/>
    <w:rsid w:val="0F9A112B"/>
    <w:rsid w:val="0FAD1102"/>
    <w:rsid w:val="0FAE4E7B"/>
    <w:rsid w:val="0FCB77DB"/>
    <w:rsid w:val="0FD06B9F"/>
    <w:rsid w:val="0FD30D4A"/>
    <w:rsid w:val="0FD52407"/>
    <w:rsid w:val="0FE34B24"/>
    <w:rsid w:val="0FE73EE9"/>
    <w:rsid w:val="0FFB311B"/>
    <w:rsid w:val="100131FC"/>
    <w:rsid w:val="101E3DAE"/>
    <w:rsid w:val="102A2753"/>
    <w:rsid w:val="102B2027"/>
    <w:rsid w:val="103510F8"/>
    <w:rsid w:val="10505F32"/>
    <w:rsid w:val="10615A49"/>
    <w:rsid w:val="10634FAD"/>
    <w:rsid w:val="106D2F64"/>
    <w:rsid w:val="108A4FA0"/>
    <w:rsid w:val="10A342B4"/>
    <w:rsid w:val="10B63710"/>
    <w:rsid w:val="10B66683"/>
    <w:rsid w:val="10C34956"/>
    <w:rsid w:val="10C453A8"/>
    <w:rsid w:val="10C83D1A"/>
    <w:rsid w:val="10CB1539"/>
    <w:rsid w:val="10CD7582"/>
    <w:rsid w:val="10E36DA6"/>
    <w:rsid w:val="10E723F2"/>
    <w:rsid w:val="110E101D"/>
    <w:rsid w:val="111725AC"/>
    <w:rsid w:val="11194576"/>
    <w:rsid w:val="111B6540"/>
    <w:rsid w:val="111C2F7A"/>
    <w:rsid w:val="113013DE"/>
    <w:rsid w:val="11380EA0"/>
    <w:rsid w:val="113B0990"/>
    <w:rsid w:val="11405FA6"/>
    <w:rsid w:val="114333A1"/>
    <w:rsid w:val="114E2471"/>
    <w:rsid w:val="114F1320"/>
    <w:rsid w:val="11553800"/>
    <w:rsid w:val="115832F0"/>
    <w:rsid w:val="117378DF"/>
    <w:rsid w:val="118539B9"/>
    <w:rsid w:val="11901453"/>
    <w:rsid w:val="11AF3983"/>
    <w:rsid w:val="11B971EC"/>
    <w:rsid w:val="11BB562D"/>
    <w:rsid w:val="11C10E95"/>
    <w:rsid w:val="11C83D98"/>
    <w:rsid w:val="11FA6155"/>
    <w:rsid w:val="12096398"/>
    <w:rsid w:val="121C0B6A"/>
    <w:rsid w:val="121E3673"/>
    <w:rsid w:val="1222745A"/>
    <w:rsid w:val="12266F4A"/>
    <w:rsid w:val="122B06C2"/>
    <w:rsid w:val="122B630F"/>
    <w:rsid w:val="12303925"/>
    <w:rsid w:val="12543AB7"/>
    <w:rsid w:val="125E4936"/>
    <w:rsid w:val="127001C5"/>
    <w:rsid w:val="12752BD6"/>
    <w:rsid w:val="1283614B"/>
    <w:rsid w:val="12843C71"/>
    <w:rsid w:val="128819B3"/>
    <w:rsid w:val="1299771C"/>
    <w:rsid w:val="12A14823"/>
    <w:rsid w:val="12BD608A"/>
    <w:rsid w:val="12C02EFB"/>
    <w:rsid w:val="12CD386A"/>
    <w:rsid w:val="12E110C3"/>
    <w:rsid w:val="12E22CE2"/>
    <w:rsid w:val="12EA5817"/>
    <w:rsid w:val="12F13861"/>
    <w:rsid w:val="12FB2185"/>
    <w:rsid w:val="130A061A"/>
    <w:rsid w:val="130D4057"/>
    <w:rsid w:val="13182D37"/>
    <w:rsid w:val="1323348A"/>
    <w:rsid w:val="13250FB0"/>
    <w:rsid w:val="133A4446"/>
    <w:rsid w:val="133A7321"/>
    <w:rsid w:val="13427DB4"/>
    <w:rsid w:val="134C29E0"/>
    <w:rsid w:val="13501A80"/>
    <w:rsid w:val="135F0966"/>
    <w:rsid w:val="13620456"/>
    <w:rsid w:val="136339C5"/>
    <w:rsid w:val="137F7883"/>
    <w:rsid w:val="138F28CD"/>
    <w:rsid w:val="13946135"/>
    <w:rsid w:val="13951726"/>
    <w:rsid w:val="13A35566"/>
    <w:rsid w:val="13CC3B21"/>
    <w:rsid w:val="13D34EB0"/>
    <w:rsid w:val="13D44784"/>
    <w:rsid w:val="13DC2DD3"/>
    <w:rsid w:val="13E96481"/>
    <w:rsid w:val="13EB21F9"/>
    <w:rsid w:val="1404150D"/>
    <w:rsid w:val="14270D58"/>
    <w:rsid w:val="142E0338"/>
    <w:rsid w:val="14396509"/>
    <w:rsid w:val="143C0BC9"/>
    <w:rsid w:val="143C6F44"/>
    <w:rsid w:val="1447165C"/>
    <w:rsid w:val="147C72F5"/>
    <w:rsid w:val="147E12BF"/>
    <w:rsid w:val="148E0F19"/>
    <w:rsid w:val="14A30D26"/>
    <w:rsid w:val="14A32AD4"/>
    <w:rsid w:val="14AB7BDB"/>
    <w:rsid w:val="14BB6147"/>
    <w:rsid w:val="14C32B39"/>
    <w:rsid w:val="14C64A14"/>
    <w:rsid w:val="14DC1B42"/>
    <w:rsid w:val="14EB6229"/>
    <w:rsid w:val="14EF5D19"/>
    <w:rsid w:val="14FA3656"/>
    <w:rsid w:val="15155054"/>
    <w:rsid w:val="152A4FA3"/>
    <w:rsid w:val="15485429"/>
    <w:rsid w:val="15520056"/>
    <w:rsid w:val="156210F4"/>
    <w:rsid w:val="157224A6"/>
    <w:rsid w:val="157322AC"/>
    <w:rsid w:val="15826B8D"/>
    <w:rsid w:val="158A77F0"/>
    <w:rsid w:val="158D108E"/>
    <w:rsid w:val="159B3EAF"/>
    <w:rsid w:val="15AE1730"/>
    <w:rsid w:val="15C37A8C"/>
    <w:rsid w:val="15E909BB"/>
    <w:rsid w:val="15F224E7"/>
    <w:rsid w:val="15FF6FFD"/>
    <w:rsid w:val="16500A3A"/>
    <w:rsid w:val="16526560"/>
    <w:rsid w:val="165D3C04"/>
    <w:rsid w:val="16745647"/>
    <w:rsid w:val="167C35DD"/>
    <w:rsid w:val="16832F64"/>
    <w:rsid w:val="16BF37A0"/>
    <w:rsid w:val="16DB6903"/>
    <w:rsid w:val="16E3540A"/>
    <w:rsid w:val="16E66CA8"/>
    <w:rsid w:val="17081314"/>
    <w:rsid w:val="171657DF"/>
    <w:rsid w:val="172C5003"/>
    <w:rsid w:val="17424826"/>
    <w:rsid w:val="17514A69"/>
    <w:rsid w:val="175207E1"/>
    <w:rsid w:val="175427B6"/>
    <w:rsid w:val="176A5B2B"/>
    <w:rsid w:val="176C586D"/>
    <w:rsid w:val="17735226"/>
    <w:rsid w:val="178A1D29"/>
    <w:rsid w:val="178B03D2"/>
    <w:rsid w:val="178D06F8"/>
    <w:rsid w:val="178D1819"/>
    <w:rsid w:val="17A252C5"/>
    <w:rsid w:val="17AA341D"/>
    <w:rsid w:val="17B15508"/>
    <w:rsid w:val="18027B12"/>
    <w:rsid w:val="180E295A"/>
    <w:rsid w:val="183103F7"/>
    <w:rsid w:val="18396314"/>
    <w:rsid w:val="185143C2"/>
    <w:rsid w:val="18585984"/>
    <w:rsid w:val="185A16FC"/>
    <w:rsid w:val="1862729A"/>
    <w:rsid w:val="187F1162"/>
    <w:rsid w:val="1881137E"/>
    <w:rsid w:val="18972950"/>
    <w:rsid w:val="189F6908"/>
    <w:rsid w:val="18AE09FE"/>
    <w:rsid w:val="18B90B18"/>
    <w:rsid w:val="18C272A1"/>
    <w:rsid w:val="18D23988"/>
    <w:rsid w:val="18D53478"/>
    <w:rsid w:val="18D94D16"/>
    <w:rsid w:val="18EF4EFE"/>
    <w:rsid w:val="190D676E"/>
    <w:rsid w:val="19175BA5"/>
    <w:rsid w:val="19341F4D"/>
    <w:rsid w:val="193C52A5"/>
    <w:rsid w:val="19481E9C"/>
    <w:rsid w:val="194D300E"/>
    <w:rsid w:val="195B1BCF"/>
    <w:rsid w:val="19742C91"/>
    <w:rsid w:val="19793E03"/>
    <w:rsid w:val="198B3B37"/>
    <w:rsid w:val="19911EC9"/>
    <w:rsid w:val="19AE61A3"/>
    <w:rsid w:val="19B25567"/>
    <w:rsid w:val="19BC4967"/>
    <w:rsid w:val="19BE615E"/>
    <w:rsid w:val="19C1039C"/>
    <w:rsid w:val="19C92FDD"/>
    <w:rsid w:val="1A077661"/>
    <w:rsid w:val="1A1C66C0"/>
    <w:rsid w:val="1A2226ED"/>
    <w:rsid w:val="1A2A15A2"/>
    <w:rsid w:val="1A3441CE"/>
    <w:rsid w:val="1A42393B"/>
    <w:rsid w:val="1A42440D"/>
    <w:rsid w:val="1A4E34E2"/>
    <w:rsid w:val="1A58610F"/>
    <w:rsid w:val="1A6745A4"/>
    <w:rsid w:val="1A807414"/>
    <w:rsid w:val="1AB05F4B"/>
    <w:rsid w:val="1AB53561"/>
    <w:rsid w:val="1AE6196C"/>
    <w:rsid w:val="1AF220BF"/>
    <w:rsid w:val="1AF916A0"/>
    <w:rsid w:val="1B0019DD"/>
    <w:rsid w:val="1B046F80"/>
    <w:rsid w:val="1B227B10"/>
    <w:rsid w:val="1B281F85"/>
    <w:rsid w:val="1B286798"/>
    <w:rsid w:val="1B3267B5"/>
    <w:rsid w:val="1B4B17D0"/>
    <w:rsid w:val="1B505038"/>
    <w:rsid w:val="1B527002"/>
    <w:rsid w:val="1B55264E"/>
    <w:rsid w:val="1B574618"/>
    <w:rsid w:val="1B5A7C65"/>
    <w:rsid w:val="1B5C270F"/>
    <w:rsid w:val="1B754A9E"/>
    <w:rsid w:val="1B7C407F"/>
    <w:rsid w:val="1B8F3DB2"/>
    <w:rsid w:val="1BA15893"/>
    <w:rsid w:val="1BAF6202"/>
    <w:rsid w:val="1BC25DC8"/>
    <w:rsid w:val="1BD14CC5"/>
    <w:rsid w:val="1BD87507"/>
    <w:rsid w:val="1BE51C24"/>
    <w:rsid w:val="1BE7599C"/>
    <w:rsid w:val="1BF47641"/>
    <w:rsid w:val="1BFB31F6"/>
    <w:rsid w:val="1C163B8C"/>
    <w:rsid w:val="1C1918CE"/>
    <w:rsid w:val="1C1E6EE4"/>
    <w:rsid w:val="1C5B5A42"/>
    <w:rsid w:val="1C5E7925"/>
    <w:rsid w:val="1C8256C5"/>
    <w:rsid w:val="1C887FC8"/>
    <w:rsid w:val="1C897AF9"/>
    <w:rsid w:val="1CB25FAA"/>
    <w:rsid w:val="1CB6536F"/>
    <w:rsid w:val="1CC45CDD"/>
    <w:rsid w:val="1CCE26B8"/>
    <w:rsid w:val="1CD87F6E"/>
    <w:rsid w:val="1CDC3027"/>
    <w:rsid w:val="1CEB326A"/>
    <w:rsid w:val="1CF06AD2"/>
    <w:rsid w:val="1CF814E3"/>
    <w:rsid w:val="1CFF2872"/>
    <w:rsid w:val="1D097B94"/>
    <w:rsid w:val="1D156539"/>
    <w:rsid w:val="1D266050"/>
    <w:rsid w:val="1D271DC8"/>
    <w:rsid w:val="1D2B7B0B"/>
    <w:rsid w:val="1D3F5364"/>
    <w:rsid w:val="1D464944"/>
    <w:rsid w:val="1D49525F"/>
    <w:rsid w:val="1D532BBD"/>
    <w:rsid w:val="1D5D57EA"/>
    <w:rsid w:val="1D5F6196"/>
    <w:rsid w:val="1D6132A5"/>
    <w:rsid w:val="1D671F68"/>
    <w:rsid w:val="1D7C2A4E"/>
    <w:rsid w:val="1D8E56D5"/>
    <w:rsid w:val="1D9E652E"/>
    <w:rsid w:val="1DA5394B"/>
    <w:rsid w:val="1DA84CB7"/>
    <w:rsid w:val="1DB10C9A"/>
    <w:rsid w:val="1DBE44DB"/>
    <w:rsid w:val="1E14234D"/>
    <w:rsid w:val="1E2042A5"/>
    <w:rsid w:val="1E7159F1"/>
    <w:rsid w:val="1E7A43DA"/>
    <w:rsid w:val="1E7D7EF2"/>
    <w:rsid w:val="1E85149C"/>
    <w:rsid w:val="1E870959"/>
    <w:rsid w:val="1E8F7C25"/>
    <w:rsid w:val="1E945915"/>
    <w:rsid w:val="1E9B481C"/>
    <w:rsid w:val="1EB277FE"/>
    <w:rsid w:val="1EB61656"/>
    <w:rsid w:val="1EB877D2"/>
    <w:rsid w:val="1EC45B21"/>
    <w:rsid w:val="1ECC70CB"/>
    <w:rsid w:val="1ED00CCA"/>
    <w:rsid w:val="1EDA1A35"/>
    <w:rsid w:val="1EDB10BC"/>
    <w:rsid w:val="1F100B38"/>
    <w:rsid w:val="1F10520A"/>
    <w:rsid w:val="1F150E15"/>
    <w:rsid w:val="1F184485"/>
    <w:rsid w:val="1F242A63"/>
    <w:rsid w:val="1F262338"/>
    <w:rsid w:val="1F2962CC"/>
    <w:rsid w:val="1F363EB0"/>
    <w:rsid w:val="1F615A66"/>
    <w:rsid w:val="1F631853"/>
    <w:rsid w:val="1F6455E7"/>
    <w:rsid w:val="1F792DAF"/>
    <w:rsid w:val="1F811C64"/>
    <w:rsid w:val="1F980D5B"/>
    <w:rsid w:val="1FA37E2C"/>
    <w:rsid w:val="1FA85442"/>
    <w:rsid w:val="1FC009DE"/>
    <w:rsid w:val="1FC81641"/>
    <w:rsid w:val="1FD46237"/>
    <w:rsid w:val="1FD60202"/>
    <w:rsid w:val="1FE7539E"/>
    <w:rsid w:val="1FED554B"/>
    <w:rsid w:val="1FFC6CCE"/>
    <w:rsid w:val="20286583"/>
    <w:rsid w:val="20457135"/>
    <w:rsid w:val="205E47E3"/>
    <w:rsid w:val="2060471A"/>
    <w:rsid w:val="20692E24"/>
    <w:rsid w:val="207D242B"/>
    <w:rsid w:val="207E61A3"/>
    <w:rsid w:val="20963CB8"/>
    <w:rsid w:val="20A976C4"/>
    <w:rsid w:val="20B07FB6"/>
    <w:rsid w:val="20C44A00"/>
    <w:rsid w:val="20CE0ED9"/>
    <w:rsid w:val="20D56155"/>
    <w:rsid w:val="20E51C8A"/>
    <w:rsid w:val="20FB5A46"/>
    <w:rsid w:val="21070ED3"/>
    <w:rsid w:val="21354AB4"/>
    <w:rsid w:val="213B74B1"/>
    <w:rsid w:val="213D197A"/>
    <w:rsid w:val="21416B31"/>
    <w:rsid w:val="214210D8"/>
    <w:rsid w:val="215A2310"/>
    <w:rsid w:val="21627873"/>
    <w:rsid w:val="217F0425"/>
    <w:rsid w:val="217F6CA8"/>
    <w:rsid w:val="21AA36F4"/>
    <w:rsid w:val="21B46321"/>
    <w:rsid w:val="21C3358C"/>
    <w:rsid w:val="21CB71C6"/>
    <w:rsid w:val="21DE318A"/>
    <w:rsid w:val="21EF5B80"/>
    <w:rsid w:val="22146DBF"/>
    <w:rsid w:val="221768AF"/>
    <w:rsid w:val="222075E8"/>
    <w:rsid w:val="2228286B"/>
    <w:rsid w:val="22371FD7"/>
    <w:rsid w:val="22396C74"/>
    <w:rsid w:val="22481E6E"/>
    <w:rsid w:val="22482B79"/>
    <w:rsid w:val="22496036"/>
    <w:rsid w:val="22576990"/>
    <w:rsid w:val="226715E5"/>
    <w:rsid w:val="2284210C"/>
    <w:rsid w:val="229C4EAB"/>
    <w:rsid w:val="229E48DB"/>
    <w:rsid w:val="22BD2FB3"/>
    <w:rsid w:val="22C407E5"/>
    <w:rsid w:val="22C73E32"/>
    <w:rsid w:val="22F86AB7"/>
    <w:rsid w:val="22F95FB5"/>
    <w:rsid w:val="2302130E"/>
    <w:rsid w:val="23115FC2"/>
    <w:rsid w:val="23137077"/>
    <w:rsid w:val="2322375E"/>
    <w:rsid w:val="233D51EB"/>
    <w:rsid w:val="233F7E6C"/>
    <w:rsid w:val="234E4553"/>
    <w:rsid w:val="235975E1"/>
    <w:rsid w:val="2360017B"/>
    <w:rsid w:val="23607463"/>
    <w:rsid w:val="23614286"/>
    <w:rsid w:val="23773223"/>
    <w:rsid w:val="237F295E"/>
    <w:rsid w:val="23827D58"/>
    <w:rsid w:val="23907E55"/>
    <w:rsid w:val="23971A56"/>
    <w:rsid w:val="23983A20"/>
    <w:rsid w:val="239B015D"/>
    <w:rsid w:val="23B5012E"/>
    <w:rsid w:val="23B53585"/>
    <w:rsid w:val="23C245F9"/>
    <w:rsid w:val="23C30A9D"/>
    <w:rsid w:val="23CD36CA"/>
    <w:rsid w:val="23DE58D7"/>
    <w:rsid w:val="23EA20E0"/>
    <w:rsid w:val="23ED4B71"/>
    <w:rsid w:val="240510B5"/>
    <w:rsid w:val="2405635C"/>
    <w:rsid w:val="24132E60"/>
    <w:rsid w:val="2419690F"/>
    <w:rsid w:val="241A4435"/>
    <w:rsid w:val="242A28CA"/>
    <w:rsid w:val="243472A5"/>
    <w:rsid w:val="24455956"/>
    <w:rsid w:val="24466FD8"/>
    <w:rsid w:val="24493941"/>
    <w:rsid w:val="244A4D1A"/>
    <w:rsid w:val="244B3E67"/>
    <w:rsid w:val="24634F48"/>
    <w:rsid w:val="248C6191"/>
    <w:rsid w:val="249266C1"/>
    <w:rsid w:val="24A02987"/>
    <w:rsid w:val="24AA1973"/>
    <w:rsid w:val="24AD64AC"/>
    <w:rsid w:val="24C0322E"/>
    <w:rsid w:val="24DB1E16"/>
    <w:rsid w:val="24DB5972"/>
    <w:rsid w:val="24E65D19"/>
    <w:rsid w:val="24F5112A"/>
    <w:rsid w:val="250D5B0A"/>
    <w:rsid w:val="252D53FE"/>
    <w:rsid w:val="25337B07"/>
    <w:rsid w:val="2535309C"/>
    <w:rsid w:val="253908EB"/>
    <w:rsid w:val="25585215"/>
    <w:rsid w:val="256736AA"/>
    <w:rsid w:val="258778A8"/>
    <w:rsid w:val="25D26CDC"/>
    <w:rsid w:val="25D52339"/>
    <w:rsid w:val="25DF5936"/>
    <w:rsid w:val="25E62821"/>
    <w:rsid w:val="25EC2D81"/>
    <w:rsid w:val="25F21B82"/>
    <w:rsid w:val="26015F94"/>
    <w:rsid w:val="26072B40"/>
    <w:rsid w:val="260B672B"/>
    <w:rsid w:val="26235823"/>
    <w:rsid w:val="26271B81"/>
    <w:rsid w:val="26301CEE"/>
    <w:rsid w:val="26413603"/>
    <w:rsid w:val="264528BD"/>
    <w:rsid w:val="26485289"/>
    <w:rsid w:val="264D6C20"/>
    <w:rsid w:val="266E37FC"/>
    <w:rsid w:val="267C5888"/>
    <w:rsid w:val="267E0CAB"/>
    <w:rsid w:val="26A36964"/>
    <w:rsid w:val="26AE2710"/>
    <w:rsid w:val="26B30632"/>
    <w:rsid w:val="26C54A60"/>
    <w:rsid w:val="26CF7759"/>
    <w:rsid w:val="26F25034"/>
    <w:rsid w:val="26F40F6D"/>
    <w:rsid w:val="26F95381"/>
    <w:rsid w:val="27096BC8"/>
    <w:rsid w:val="27223D2C"/>
    <w:rsid w:val="27257379"/>
    <w:rsid w:val="27325B22"/>
    <w:rsid w:val="273D46C2"/>
    <w:rsid w:val="275502DB"/>
    <w:rsid w:val="27765E26"/>
    <w:rsid w:val="278C389C"/>
    <w:rsid w:val="279F7B3D"/>
    <w:rsid w:val="27A04C51"/>
    <w:rsid w:val="27B674D4"/>
    <w:rsid w:val="27C43035"/>
    <w:rsid w:val="27D15DD1"/>
    <w:rsid w:val="27E40962"/>
    <w:rsid w:val="27E86D24"/>
    <w:rsid w:val="27F40B59"/>
    <w:rsid w:val="282B4E63"/>
    <w:rsid w:val="284229B4"/>
    <w:rsid w:val="284D6D51"/>
    <w:rsid w:val="285048C9"/>
    <w:rsid w:val="28575C58"/>
    <w:rsid w:val="285E6FE6"/>
    <w:rsid w:val="28643ED1"/>
    <w:rsid w:val="28722A91"/>
    <w:rsid w:val="28777CF7"/>
    <w:rsid w:val="287E4F92"/>
    <w:rsid w:val="2886653D"/>
    <w:rsid w:val="28902F18"/>
    <w:rsid w:val="289C18BC"/>
    <w:rsid w:val="289E73E3"/>
    <w:rsid w:val="28A07B01"/>
    <w:rsid w:val="28A76295"/>
    <w:rsid w:val="28B07116"/>
    <w:rsid w:val="28B82511"/>
    <w:rsid w:val="28CF6E41"/>
    <w:rsid w:val="28DE3220"/>
    <w:rsid w:val="28E514B5"/>
    <w:rsid w:val="28E62B38"/>
    <w:rsid w:val="28F11C08"/>
    <w:rsid w:val="290C6A42"/>
    <w:rsid w:val="29206EB8"/>
    <w:rsid w:val="29211DC2"/>
    <w:rsid w:val="292407C5"/>
    <w:rsid w:val="293B7327"/>
    <w:rsid w:val="294C5091"/>
    <w:rsid w:val="29567CBD"/>
    <w:rsid w:val="2964062C"/>
    <w:rsid w:val="29685A42"/>
    <w:rsid w:val="296A19BB"/>
    <w:rsid w:val="298C7B83"/>
    <w:rsid w:val="29A22F02"/>
    <w:rsid w:val="29A44ECD"/>
    <w:rsid w:val="29AE2ACE"/>
    <w:rsid w:val="29B64C00"/>
    <w:rsid w:val="29B82726"/>
    <w:rsid w:val="29CF181E"/>
    <w:rsid w:val="29CF24E9"/>
    <w:rsid w:val="29D84B76"/>
    <w:rsid w:val="29E325E0"/>
    <w:rsid w:val="29E4176D"/>
    <w:rsid w:val="29EC0622"/>
    <w:rsid w:val="29F563D0"/>
    <w:rsid w:val="2A0C2A72"/>
    <w:rsid w:val="2A253539"/>
    <w:rsid w:val="2A3A7F62"/>
    <w:rsid w:val="2A44220C"/>
    <w:rsid w:val="2A452503"/>
    <w:rsid w:val="2A4944F4"/>
    <w:rsid w:val="2A6B1546"/>
    <w:rsid w:val="2A742AF1"/>
    <w:rsid w:val="2A7D127A"/>
    <w:rsid w:val="2A7F2D51"/>
    <w:rsid w:val="2A8E16D9"/>
    <w:rsid w:val="2ACE34E8"/>
    <w:rsid w:val="2AFE060C"/>
    <w:rsid w:val="2B053749"/>
    <w:rsid w:val="2B14398C"/>
    <w:rsid w:val="2B230073"/>
    <w:rsid w:val="2B261911"/>
    <w:rsid w:val="2B2B5C04"/>
    <w:rsid w:val="2B2B6F28"/>
    <w:rsid w:val="2B381D70"/>
    <w:rsid w:val="2B3D1DC1"/>
    <w:rsid w:val="2B4029D3"/>
    <w:rsid w:val="2B540048"/>
    <w:rsid w:val="2B595843"/>
    <w:rsid w:val="2B6C5576"/>
    <w:rsid w:val="2BA07916"/>
    <w:rsid w:val="2BA936A8"/>
    <w:rsid w:val="2BAF1907"/>
    <w:rsid w:val="2BAF7B59"/>
    <w:rsid w:val="2BB1567F"/>
    <w:rsid w:val="2BB25E9E"/>
    <w:rsid w:val="2BBE64C7"/>
    <w:rsid w:val="2BC4508F"/>
    <w:rsid w:val="2BC74EA2"/>
    <w:rsid w:val="2BD14385"/>
    <w:rsid w:val="2BE617CC"/>
    <w:rsid w:val="2BFB2D9E"/>
    <w:rsid w:val="2C1D558B"/>
    <w:rsid w:val="2C293A64"/>
    <w:rsid w:val="2C315A5A"/>
    <w:rsid w:val="2C317328"/>
    <w:rsid w:val="2C4854A8"/>
    <w:rsid w:val="2C502C39"/>
    <w:rsid w:val="2C550700"/>
    <w:rsid w:val="2C581F9E"/>
    <w:rsid w:val="2C732934"/>
    <w:rsid w:val="2C7768C8"/>
    <w:rsid w:val="2C797526"/>
    <w:rsid w:val="2C7A3CC3"/>
    <w:rsid w:val="2C896FC4"/>
    <w:rsid w:val="2CA23219"/>
    <w:rsid w:val="2CBF1D70"/>
    <w:rsid w:val="2CCD64E8"/>
    <w:rsid w:val="2CDC497D"/>
    <w:rsid w:val="2CED0939"/>
    <w:rsid w:val="2CED26E7"/>
    <w:rsid w:val="2CF75313"/>
    <w:rsid w:val="2D0637A8"/>
    <w:rsid w:val="2D0A70F7"/>
    <w:rsid w:val="2D2A56E9"/>
    <w:rsid w:val="2D320A41"/>
    <w:rsid w:val="2D35313B"/>
    <w:rsid w:val="2D376058"/>
    <w:rsid w:val="2D3B5B48"/>
    <w:rsid w:val="2D3B78F6"/>
    <w:rsid w:val="2D3C71CA"/>
    <w:rsid w:val="2D581198"/>
    <w:rsid w:val="2D647324"/>
    <w:rsid w:val="2D7828F8"/>
    <w:rsid w:val="2D8868B3"/>
    <w:rsid w:val="2D9E56F5"/>
    <w:rsid w:val="2DC509C7"/>
    <w:rsid w:val="2DD2694E"/>
    <w:rsid w:val="2DF301D1"/>
    <w:rsid w:val="2DF6381D"/>
    <w:rsid w:val="2E20089A"/>
    <w:rsid w:val="2E2E2FB7"/>
    <w:rsid w:val="2E3A5DFF"/>
    <w:rsid w:val="2E482E0D"/>
    <w:rsid w:val="2E50117F"/>
    <w:rsid w:val="2E505623"/>
    <w:rsid w:val="2E5073D1"/>
    <w:rsid w:val="2E536EC1"/>
    <w:rsid w:val="2E5C5D76"/>
    <w:rsid w:val="2E5D564A"/>
    <w:rsid w:val="2E667F96"/>
    <w:rsid w:val="2E7330BF"/>
    <w:rsid w:val="2E8226AB"/>
    <w:rsid w:val="2E8E7EF9"/>
    <w:rsid w:val="2EC02519"/>
    <w:rsid w:val="2ED578D6"/>
    <w:rsid w:val="2ED718A0"/>
    <w:rsid w:val="2EF53AD4"/>
    <w:rsid w:val="2F141477"/>
    <w:rsid w:val="2F2C0B1D"/>
    <w:rsid w:val="2F3C1703"/>
    <w:rsid w:val="2F3E7229"/>
    <w:rsid w:val="2F486A3A"/>
    <w:rsid w:val="2F6D3FB3"/>
    <w:rsid w:val="2F6D5D61"/>
    <w:rsid w:val="2F803CE6"/>
    <w:rsid w:val="2F832C79"/>
    <w:rsid w:val="2F8F5BE3"/>
    <w:rsid w:val="2F9432ED"/>
    <w:rsid w:val="2FA32CCB"/>
    <w:rsid w:val="2FA84FEB"/>
    <w:rsid w:val="2FAF276C"/>
    <w:rsid w:val="2FB90FA6"/>
    <w:rsid w:val="2FC8743B"/>
    <w:rsid w:val="2FEF2D58"/>
    <w:rsid w:val="2FF16992"/>
    <w:rsid w:val="301A04F6"/>
    <w:rsid w:val="301D5ECF"/>
    <w:rsid w:val="30275F10"/>
    <w:rsid w:val="302A5A00"/>
    <w:rsid w:val="302F1268"/>
    <w:rsid w:val="303348B4"/>
    <w:rsid w:val="30393E95"/>
    <w:rsid w:val="303E3648"/>
    <w:rsid w:val="30516B05"/>
    <w:rsid w:val="30542A7D"/>
    <w:rsid w:val="30580BC9"/>
    <w:rsid w:val="30585E26"/>
    <w:rsid w:val="30627EB2"/>
    <w:rsid w:val="30A752A2"/>
    <w:rsid w:val="30B52DB1"/>
    <w:rsid w:val="30C16364"/>
    <w:rsid w:val="30E16343"/>
    <w:rsid w:val="30E6176D"/>
    <w:rsid w:val="30ED53AB"/>
    <w:rsid w:val="30EF394C"/>
    <w:rsid w:val="311E2ED7"/>
    <w:rsid w:val="312B5946"/>
    <w:rsid w:val="312D57A8"/>
    <w:rsid w:val="31374878"/>
    <w:rsid w:val="313A7EC4"/>
    <w:rsid w:val="313B5938"/>
    <w:rsid w:val="313C59EB"/>
    <w:rsid w:val="31446FA4"/>
    <w:rsid w:val="31496359"/>
    <w:rsid w:val="315216B2"/>
    <w:rsid w:val="315C449C"/>
    <w:rsid w:val="3163741B"/>
    <w:rsid w:val="316B2774"/>
    <w:rsid w:val="31755EAA"/>
    <w:rsid w:val="317B0287"/>
    <w:rsid w:val="319029D9"/>
    <w:rsid w:val="31945827"/>
    <w:rsid w:val="319C46DB"/>
    <w:rsid w:val="31A43590"/>
    <w:rsid w:val="31AA504A"/>
    <w:rsid w:val="31B163D9"/>
    <w:rsid w:val="31B25CAD"/>
    <w:rsid w:val="31B82709"/>
    <w:rsid w:val="31B9703B"/>
    <w:rsid w:val="31BB1A71"/>
    <w:rsid w:val="31BC6B2B"/>
    <w:rsid w:val="31C3435E"/>
    <w:rsid w:val="31E71DFA"/>
    <w:rsid w:val="31F82F43"/>
    <w:rsid w:val="32400B34"/>
    <w:rsid w:val="325266E3"/>
    <w:rsid w:val="3255145A"/>
    <w:rsid w:val="326C2300"/>
    <w:rsid w:val="32732A91"/>
    <w:rsid w:val="32785148"/>
    <w:rsid w:val="327C53D0"/>
    <w:rsid w:val="328A4026"/>
    <w:rsid w:val="329606AC"/>
    <w:rsid w:val="329B2BE5"/>
    <w:rsid w:val="329E6876"/>
    <w:rsid w:val="329F0927"/>
    <w:rsid w:val="32A1072C"/>
    <w:rsid w:val="32C4038E"/>
    <w:rsid w:val="32C559DF"/>
    <w:rsid w:val="33000503"/>
    <w:rsid w:val="33016EEC"/>
    <w:rsid w:val="33064502"/>
    <w:rsid w:val="331D184C"/>
    <w:rsid w:val="332C76C1"/>
    <w:rsid w:val="336D2B05"/>
    <w:rsid w:val="33791178"/>
    <w:rsid w:val="337C2A16"/>
    <w:rsid w:val="337E678E"/>
    <w:rsid w:val="338673F1"/>
    <w:rsid w:val="338D4C23"/>
    <w:rsid w:val="339B7340"/>
    <w:rsid w:val="33BB1CBE"/>
    <w:rsid w:val="33D934D4"/>
    <w:rsid w:val="33DB598F"/>
    <w:rsid w:val="33E67E90"/>
    <w:rsid w:val="33FE2F6A"/>
    <w:rsid w:val="34207846"/>
    <w:rsid w:val="34241160"/>
    <w:rsid w:val="34246588"/>
    <w:rsid w:val="342C61EA"/>
    <w:rsid w:val="34360E17"/>
    <w:rsid w:val="344437FE"/>
    <w:rsid w:val="344A6670"/>
    <w:rsid w:val="344E1C6F"/>
    <w:rsid w:val="3452609A"/>
    <w:rsid w:val="34572B3B"/>
    <w:rsid w:val="34627E5E"/>
    <w:rsid w:val="34761214"/>
    <w:rsid w:val="347F27BE"/>
    <w:rsid w:val="34A00986"/>
    <w:rsid w:val="34AB35B3"/>
    <w:rsid w:val="34C93A39"/>
    <w:rsid w:val="34CE72A2"/>
    <w:rsid w:val="34D523DE"/>
    <w:rsid w:val="34FA1E45"/>
    <w:rsid w:val="3530650D"/>
    <w:rsid w:val="354E2190"/>
    <w:rsid w:val="356279EA"/>
    <w:rsid w:val="35690D78"/>
    <w:rsid w:val="3569521C"/>
    <w:rsid w:val="35725E7F"/>
    <w:rsid w:val="357E2A76"/>
    <w:rsid w:val="35867B7C"/>
    <w:rsid w:val="358E6A31"/>
    <w:rsid w:val="3597011C"/>
    <w:rsid w:val="35A52FD0"/>
    <w:rsid w:val="35B77D36"/>
    <w:rsid w:val="35BA15D4"/>
    <w:rsid w:val="35C16E06"/>
    <w:rsid w:val="35C97A69"/>
    <w:rsid w:val="35E63092"/>
    <w:rsid w:val="35F03248"/>
    <w:rsid w:val="35F07A01"/>
    <w:rsid w:val="35F672ED"/>
    <w:rsid w:val="36074A7F"/>
    <w:rsid w:val="360A31E9"/>
    <w:rsid w:val="3612336E"/>
    <w:rsid w:val="361F1205"/>
    <w:rsid w:val="36362BA5"/>
    <w:rsid w:val="36421CF5"/>
    <w:rsid w:val="364D373C"/>
    <w:rsid w:val="368A544A"/>
    <w:rsid w:val="36923549"/>
    <w:rsid w:val="36B75FBF"/>
    <w:rsid w:val="36BB5BB8"/>
    <w:rsid w:val="36BE6EA2"/>
    <w:rsid w:val="36C6779A"/>
    <w:rsid w:val="36C7044C"/>
    <w:rsid w:val="36EB29C2"/>
    <w:rsid w:val="36EF52AD"/>
    <w:rsid w:val="36F87D39"/>
    <w:rsid w:val="36FB4891"/>
    <w:rsid w:val="37021484"/>
    <w:rsid w:val="3702379D"/>
    <w:rsid w:val="373A3F84"/>
    <w:rsid w:val="373F3801"/>
    <w:rsid w:val="374A4436"/>
    <w:rsid w:val="374A6C10"/>
    <w:rsid w:val="375A12C0"/>
    <w:rsid w:val="375C0B95"/>
    <w:rsid w:val="375E2B16"/>
    <w:rsid w:val="376B527C"/>
    <w:rsid w:val="37702892"/>
    <w:rsid w:val="377438BF"/>
    <w:rsid w:val="37893954"/>
    <w:rsid w:val="37895193"/>
    <w:rsid w:val="37906A90"/>
    <w:rsid w:val="37984A24"/>
    <w:rsid w:val="37A42641"/>
    <w:rsid w:val="37B159B2"/>
    <w:rsid w:val="37C329C2"/>
    <w:rsid w:val="380357AD"/>
    <w:rsid w:val="380D25F6"/>
    <w:rsid w:val="38206066"/>
    <w:rsid w:val="3821593A"/>
    <w:rsid w:val="38341B11"/>
    <w:rsid w:val="383B4C4E"/>
    <w:rsid w:val="38517C12"/>
    <w:rsid w:val="38545D10"/>
    <w:rsid w:val="38673C95"/>
    <w:rsid w:val="386C231D"/>
    <w:rsid w:val="387C4A90"/>
    <w:rsid w:val="388049BA"/>
    <w:rsid w:val="388A7983"/>
    <w:rsid w:val="388C7E77"/>
    <w:rsid w:val="389600D6"/>
    <w:rsid w:val="38AF2F46"/>
    <w:rsid w:val="38CD7870"/>
    <w:rsid w:val="38DF3C47"/>
    <w:rsid w:val="38EA21D0"/>
    <w:rsid w:val="38F12CD3"/>
    <w:rsid w:val="38F90665"/>
    <w:rsid w:val="38F94775"/>
    <w:rsid w:val="38FA064A"/>
    <w:rsid w:val="390A2872"/>
    <w:rsid w:val="39273424"/>
    <w:rsid w:val="392971ED"/>
    <w:rsid w:val="393C6877"/>
    <w:rsid w:val="393F076E"/>
    <w:rsid w:val="394E275F"/>
    <w:rsid w:val="39553AED"/>
    <w:rsid w:val="39643D30"/>
    <w:rsid w:val="39665CFB"/>
    <w:rsid w:val="396935D0"/>
    <w:rsid w:val="398C14D9"/>
    <w:rsid w:val="398E6FFF"/>
    <w:rsid w:val="39981C2C"/>
    <w:rsid w:val="399860D0"/>
    <w:rsid w:val="39B32F0A"/>
    <w:rsid w:val="39C42A21"/>
    <w:rsid w:val="39DC7D6B"/>
    <w:rsid w:val="39FB720A"/>
    <w:rsid w:val="39FC040D"/>
    <w:rsid w:val="39FD5F33"/>
    <w:rsid w:val="3A173499"/>
    <w:rsid w:val="3A241712"/>
    <w:rsid w:val="3A2B6F44"/>
    <w:rsid w:val="3A377697"/>
    <w:rsid w:val="3A775CE5"/>
    <w:rsid w:val="3A797CAF"/>
    <w:rsid w:val="3A8B592D"/>
    <w:rsid w:val="3A914986"/>
    <w:rsid w:val="3AB26D1E"/>
    <w:rsid w:val="3AC76C6D"/>
    <w:rsid w:val="3ACC4283"/>
    <w:rsid w:val="3B1D688D"/>
    <w:rsid w:val="3B2C4D22"/>
    <w:rsid w:val="3B312338"/>
    <w:rsid w:val="3B3360B0"/>
    <w:rsid w:val="3B3763D1"/>
    <w:rsid w:val="3B7E0727"/>
    <w:rsid w:val="3B893F22"/>
    <w:rsid w:val="3B9823B7"/>
    <w:rsid w:val="3BAC788A"/>
    <w:rsid w:val="3BC907C3"/>
    <w:rsid w:val="3BD508FC"/>
    <w:rsid w:val="3BD74C8E"/>
    <w:rsid w:val="3BE225DF"/>
    <w:rsid w:val="3BF00816"/>
    <w:rsid w:val="3BFD046C"/>
    <w:rsid w:val="3C0B4937"/>
    <w:rsid w:val="3C406CD7"/>
    <w:rsid w:val="3C4A0F5F"/>
    <w:rsid w:val="3C664263"/>
    <w:rsid w:val="3C7D3957"/>
    <w:rsid w:val="3C950EE9"/>
    <w:rsid w:val="3C997D43"/>
    <w:rsid w:val="3C9C5711"/>
    <w:rsid w:val="3CA32DC2"/>
    <w:rsid w:val="3CAD3C40"/>
    <w:rsid w:val="3CB30671"/>
    <w:rsid w:val="3CD164FF"/>
    <w:rsid w:val="3CDA245A"/>
    <w:rsid w:val="3CDE029E"/>
    <w:rsid w:val="3CE30D44"/>
    <w:rsid w:val="3CEE0A37"/>
    <w:rsid w:val="3CF633F6"/>
    <w:rsid w:val="3CF950D8"/>
    <w:rsid w:val="3CFD4BC8"/>
    <w:rsid w:val="3D0900D2"/>
    <w:rsid w:val="3D163594"/>
    <w:rsid w:val="3D1B5129"/>
    <w:rsid w:val="3D2B0B7F"/>
    <w:rsid w:val="3D344362"/>
    <w:rsid w:val="3D363C36"/>
    <w:rsid w:val="3D385C00"/>
    <w:rsid w:val="3D3954D4"/>
    <w:rsid w:val="3D5D7415"/>
    <w:rsid w:val="3D610D50"/>
    <w:rsid w:val="3D6C3AFB"/>
    <w:rsid w:val="3D736C38"/>
    <w:rsid w:val="3D7465A3"/>
    <w:rsid w:val="3D7E738B"/>
    <w:rsid w:val="3D8B4D31"/>
    <w:rsid w:val="3D8E5820"/>
    <w:rsid w:val="3D95517D"/>
    <w:rsid w:val="3D9F7A2D"/>
    <w:rsid w:val="3DA52B6A"/>
    <w:rsid w:val="3DDB658B"/>
    <w:rsid w:val="3DDD0555"/>
    <w:rsid w:val="3DE6740A"/>
    <w:rsid w:val="3DE713D4"/>
    <w:rsid w:val="3DE74F30"/>
    <w:rsid w:val="3DFD4754"/>
    <w:rsid w:val="3E076650"/>
    <w:rsid w:val="3E164BB3"/>
    <w:rsid w:val="3E1C107E"/>
    <w:rsid w:val="3E3D04E7"/>
    <w:rsid w:val="3E3E7246"/>
    <w:rsid w:val="3E453193"/>
    <w:rsid w:val="3E4660FB"/>
    <w:rsid w:val="3E5F5F30"/>
    <w:rsid w:val="3E682515"/>
    <w:rsid w:val="3E782CD2"/>
    <w:rsid w:val="3E7964D0"/>
    <w:rsid w:val="3E8B1D5F"/>
    <w:rsid w:val="3ED41958"/>
    <w:rsid w:val="3EDE27D7"/>
    <w:rsid w:val="3EFF67ED"/>
    <w:rsid w:val="3F13447D"/>
    <w:rsid w:val="3F1B557D"/>
    <w:rsid w:val="3F2A1578"/>
    <w:rsid w:val="3F2B709E"/>
    <w:rsid w:val="3F2C3542"/>
    <w:rsid w:val="3F3B5533"/>
    <w:rsid w:val="3F424B14"/>
    <w:rsid w:val="3F454604"/>
    <w:rsid w:val="3F64142D"/>
    <w:rsid w:val="3F660E74"/>
    <w:rsid w:val="3F966C0E"/>
    <w:rsid w:val="3FE77469"/>
    <w:rsid w:val="3FF73337"/>
    <w:rsid w:val="40083152"/>
    <w:rsid w:val="405132A9"/>
    <w:rsid w:val="40572841"/>
    <w:rsid w:val="405745EF"/>
    <w:rsid w:val="407878BA"/>
    <w:rsid w:val="407A6407"/>
    <w:rsid w:val="40A1586A"/>
    <w:rsid w:val="40AE7F87"/>
    <w:rsid w:val="40AF61D9"/>
    <w:rsid w:val="40B7508E"/>
    <w:rsid w:val="40BE01CA"/>
    <w:rsid w:val="40C0082D"/>
    <w:rsid w:val="40C559FD"/>
    <w:rsid w:val="40CC47EF"/>
    <w:rsid w:val="40D7331C"/>
    <w:rsid w:val="40D93256"/>
    <w:rsid w:val="40E340D5"/>
    <w:rsid w:val="40E51BFB"/>
    <w:rsid w:val="41065304"/>
    <w:rsid w:val="411A73CB"/>
    <w:rsid w:val="413606A8"/>
    <w:rsid w:val="413D375A"/>
    <w:rsid w:val="413F78DA"/>
    <w:rsid w:val="41456B3D"/>
    <w:rsid w:val="414F3518"/>
    <w:rsid w:val="41566655"/>
    <w:rsid w:val="41593CD3"/>
    <w:rsid w:val="41801397"/>
    <w:rsid w:val="41904F50"/>
    <w:rsid w:val="41927BA9"/>
    <w:rsid w:val="41A95EA7"/>
    <w:rsid w:val="41AE46E3"/>
    <w:rsid w:val="41B94E35"/>
    <w:rsid w:val="41CB41EE"/>
    <w:rsid w:val="41DA54D8"/>
    <w:rsid w:val="41E719A3"/>
    <w:rsid w:val="420267DC"/>
    <w:rsid w:val="420A37BF"/>
    <w:rsid w:val="420C765B"/>
    <w:rsid w:val="42130889"/>
    <w:rsid w:val="421F738E"/>
    <w:rsid w:val="422B264F"/>
    <w:rsid w:val="423A3BCC"/>
    <w:rsid w:val="423B417B"/>
    <w:rsid w:val="423C1CEE"/>
    <w:rsid w:val="423D7815"/>
    <w:rsid w:val="423F358D"/>
    <w:rsid w:val="42417305"/>
    <w:rsid w:val="427A2817"/>
    <w:rsid w:val="42815953"/>
    <w:rsid w:val="42975177"/>
    <w:rsid w:val="42980EEF"/>
    <w:rsid w:val="429D02B3"/>
    <w:rsid w:val="42B75819"/>
    <w:rsid w:val="42C13FA2"/>
    <w:rsid w:val="42C65A5C"/>
    <w:rsid w:val="42C83582"/>
    <w:rsid w:val="42DA32B5"/>
    <w:rsid w:val="42F425C9"/>
    <w:rsid w:val="430F6302"/>
    <w:rsid w:val="431F37EA"/>
    <w:rsid w:val="432946E3"/>
    <w:rsid w:val="43364990"/>
    <w:rsid w:val="433A6FE6"/>
    <w:rsid w:val="43470E11"/>
    <w:rsid w:val="43482915"/>
    <w:rsid w:val="4350713C"/>
    <w:rsid w:val="436653E0"/>
    <w:rsid w:val="43686B13"/>
    <w:rsid w:val="436A63E7"/>
    <w:rsid w:val="4374510A"/>
    <w:rsid w:val="439A302D"/>
    <w:rsid w:val="43A050CE"/>
    <w:rsid w:val="43A256CA"/>
    <w:rsid w:val="43D45F57"/>
    <w:rsid w:val="43D917BF"/>
    <w:rsid w:val="43D9356D"/>
    <w:rsid w:val="43E02B4D"/>
    <w:rsid w:val="43E22422"/>
    <w:rsid w:val="43E53CEA"/>
    <w:rsid w:val="43EB3251"/>
    <w:rsid w:val="44004F9E"/>
    <w:rsid w:val="44006D3C"/>
    <w:rsid w:val="441A0BE9"/>
    <w:rsid w:val="442347E8"/>
    <w:rsid w:val="443A225E"/>
    <w:rsid w:val="444014B0"/>
    <w:rsid w:val="44623B67"/>
    <w:rsid w:val="44645AAD"/>
    <w:rsid w:val="4469780F"/>
    <w:rsid w:val="447D65EE"/>
    <w:rsid w:val="44913E48"/>
    <w:rsid w:val="44930DA6"/>
    <w:rsid w:val="44A11354"/>
    <w:rsid w:val="44BD176A"/>
    <w:rsid w:val="44CD14E0"/>
    <w:rsid w:val="44CE0BF8"/>
    <w:rsid w:val="44CE29A6"/>
    <w:rsid w:val="44EE3048"/>
    <w:rsid w:val="44EF6BA2"/>
    <w:rsid w:val="44FC56D5"/>
    <w:rsid w:val="450665E4"/>
    <w:rsid w:val="451707F1"/>
    <w:rsid w:val="451A3E3D"/>
    <w:rsid w:val="452847AC"/>
    <w:rsid w:val="452A22D2"/>
    <w:rsid w:val="452F703A"/>
    <w:rsid w:val="45375AF0"/>
    <w:rsid w:val="453E3FCF"/>
    <w:rsid w:val="45400C51"/>
    <w:rsid w:val="454A0D26"/>
    <w:rsid w:val="455C26A8"/>
    <w:rsid w:val="45605CF4"/>
    <w:rsid w:val="45677177"/>
    <w:rsid w:val="45717C1A"/>
    <w:rsid w:val="45754C09"/>
    <w:rsid w:val="45795008"/>
    <w:rsid w:val="458946E9"/>
    <w:rsid w:val="45A4384A"/>
    <w:rsid w:val="45AC070B"/>
    <w:rsid w:val="45C34DD1"/>
    <w:rsid w:val="45C450FC"/>
    <w:rsid w:val="45D4223E"/>
    <w:rsid w:val="45E16709"/>
    <w:rsid w:val="45EC3A2B"/>
    <w:rsid w:val="4607616F"/>
    <w:rsid w:val="46132D66"/>
    <w:rsid w:val="461F5BAF"/>
    <w:rsid w:val="462A00B0"/>
    <w:rsid w:val="463158E2"/>
    <w:rsid w:val="46396545"/>
    <w:rsid w:val="463A6B14"/>
    <w:rsid w:val="464279A4"/>
    <w:rsid w:val="464473E1"/>
    <w:rsid w:val="464759F3"/>
    <w:rsid w:val="464F7B16"/>
    <w:rsid w:val="466730B2"/>
    <w:rsid w:val="466A1213"/>
    <w:rsid w:val="466E4440"/>
    <w:rsid w:val="467B090B"/>
    <w:rsid w:val="467F68DD"/>
    <w:rsid w:val="469A3487"/>
    <w:rsid w:val="46A47E62"/>
    <w:rsid w:val="46A53B37"/>
    <w:rsid w:val="46C202E8"/>
    <w:rsid w:val="46C329DE"/>
    <w:rsid w:val="46D955A7"/>
    <w:rsid w:val="46DA3884"/>
    <w:rsid w:val="46E22739"/>
    <w:rsid w:val="46F12944"/>
    <w:rsid w:val="46FF1FF6"/>
    <w:rsid w:val="47094169"/>
    <w:rsid w:val="47133957"/>
    <w:rsid w:val="471E7C15"/>
    <w:rsid w:val="47282841"/>
    <w:rsid w:val="47374AEC"/>
    <w:rsid w:val="473F31A9"/>
    <w:rsid w:val="4743090E"/>
    <w:rsid w:val="47507FEA"/>
    <w:rsid w:val="477723DE"/>
    <w:rsid w:val="4779329E"/>
    <w:rsid w:val="477B5067"/>
    <w:rsid w:val="478A67E0"/>
    <w:rsid w:val="47A07E0C"/>
    <w:rsid w:val="47B33460"/>
    <w:rsid w:val="47D367C1"/>
    <w:rsid w:val="47D76015"/>
    <w:rsid w:val="47E23D6B"/>
    <w:rsid w:val="47EA0BE5"/>
    <w:rsid w:val="47FF0B70"/>
    <w:rsid w:val="48027536"/>
    <w:rsid w:val="48030BB8"/>
    <w:rsid w:val="48086251"/>
    <w:rsid w:val="481848B0"/>
    <w:rsid w:val="484216E1"/>
    <w:rsid w:val="48547C90"/>
    <w:rsid w:val="485760FA"/>
    <w:rsid w:val="485D29BF"/>
    <w:rsid w:val="48643D4D"/>
    <w:rsid w:val="486C49B0"/>
    <w:rsid w:val="4870272E"/>
    <w:rsid w:val="4877576F"/>
    <w:rsid w:val="48A77C37"/>
    <w:rsid w:val="48A95C04"/>
    <w:rsid w:val="48B463F7"/>
    <w:rsid w:val="48B545A9"/>
    <w:rsid w:val="48C540C0"/>
    <w:rsid w:val="48CE566A"/>
    <w:rsid w:val="48D32C81"/>
    <w:rsid w:val="48DD3AFF"/>
    <w:rsid w:val="48F7696F"/>
    <w:rsid w:val="49170AF6"/>
    <w:rsid w:val="491D5CAA"/>
    <w:rsid w:val="49211C3E"/>
    <w:rsid w:val="49357497"/>
    <w:rsid w:val="493A685C"/>
    <w:rsid w:val="494E0559"/>
    <w:rsid w:val="495711BC"/>
    <w:rsid w:val="499B66D1"/>
    <w:rsid w:val="49AD1724"/>
    <w:rsid w:val="49B02FC2"/>
    <w:rsid w:val="49C32CF5"/>
    <w:rsid w:val="49DC7715"/>
    <w:rsid w:val="49EA0282"/>
    <w:rsid w:val="49FE3D2D"/>
    <w:rsid w:val="4A023139"/>
    <w:rsid w:val="4A050C18"/>
    <w:rsid w:val="4A111CB3"/>
    <w:rsid w:val="4A280DAA"/>
    <w:rsid w:val="4A2C089A"/>
    <w:rsid w:val="4A346E6B"/>
    <w:rsid w:val="4A4F4589"/>
    <w:rsid w:val="4A5B4CDC"/>
    <w:rsid w:val="4A626327"/>
    <w:rsid w:val="4A7B576F"/>
    <w:rsid w:val="4A800BE6"/>
    <w:rsid w:val="4A802994"/>
    <w:rsid w:val="4A8050E2"/>
    <w:rsid w:val="4A814286"/>
    <w:rsid w:val="4A9B157C"/>
    <w:rsid w:val="4AA31CC7"/>
    <w:rsid w:val="4AAE7501"/>
    <w:rsid w:val="4AB10DA0"/>
    <w:rsid w:val="4ACA1E61"/>
    <w:rsid w:val="4ACF24DE"/>
    <w:rsid w:val="4AD056CA"/>
    <w:rsid w:val="4ADF3B5F"/>
    <w:rsid w:val="4AF40C8C"/>
    <w:rsid w:val="4B081925"/>
    <w:rsid w:val="4B090BDC"/>
    <w:rsid w:val="4B0B6702"/>
    <w:rsid w:val="4B1B4AE4"/>
    <w:rsid w:val="4B3F69BC"/>
    <w:rsid w:val="4B5C0D0B"/>
    <w:rsid w:val="4B644064"/>
    <w:rsid w:val="4B8161BD"/>
    <w:rsid w:val="4B8169C4"/>
    <w:rsid w:val="4B906C3C"/>
    <w:rsid w:val="4BAE109A"/>
    <w:rsid w:val="4BC32B39"/>
    <w:rsid w:val="4BC44B03"/>
    <w:rsid w:val="4BEA27BB"/>
    <w:rsid w:val="4BEF1B80"/>
    <w:rsid w:val="4C177328"/>
    <w:rsid w:val="4C196BFC"/>
    <w:rsid w:val="4C197007"/>
    <w:rsid w:val="4C1B2975"/>
    <w:rsid w:val="4C27522D"/>
    <w:rsid w:val="4C285091"/>
    <w:rsid w:val="4C373527"/>
    <w:rsid w:val="4C4A0649"/>
    <w:rsid w:val="4C687B84"/>
    <w:rsid w:val="4C7B10AA"/>
    <w:rsid w:val="4C8229F4"/>
    <w:rsid w:val="4C9B3AB5"/>
    <w:rsid w:val="4C9D15DC"/>
    <w:rsid w:val="4CA24E44"/>
    <w:rsid w:val="4CA77209"/>
    <w:rsid w:val="4CBB5F06"/>
    <w:rsid w:val="4CBC3B05"/>
    <w:rsid w:val="4CD07C03"/>
    <w:rsid w:val="4CD40D75"/>
    <w:rsid w:val="4CD42AD2"/>
    <w:rsid w:val="4CE470D3"/>
    <w:rsid w:val="4D003D52"/>
    <w:rsid w:val="4D0A29E9"/>
    <w:rsid w:val="4D0A544B"/>
    <w:rsid w:val="4D155616"/>
    <w:rsid w:val="4D3006A2"/>
    <w:rsid w:val="4D48415D"/>
    <w:rsid w:val="4D5123C6"/>
    <w:rsid w:val="4D6245D3"/>
    <w:rsid w:val="4DAF2639"/>
    <w:rsid w:val="4DBC3CE3"/>
    <w:rsid w:val="4DDC25D7"/>
    <w:rsid w:val="4DEC4FB0"/>
    <w:rsid w:val="4DEF230B"/>
    <w:rsid w:val="4E037B64"/>
    <w:rsid w:val="4E075D8A"/>
    <w:rsid w:val="4E08155A"/>
    <w:rsid w:val="4E254B52"/>
    <w:rsid w:val="4E4325D3"/>
    <w:rsid w:val="4E4839DC"/>
    <w:rsid w:val="4E5441D9"/>
    <w:rsid w:val="4E5E2FEC"/>
    <w:rsid w:val="4E682FC2"/>
    <w:rsid w:val="4E7F7E3F"/>
    <w:rsid w:val="4E9361D0"/>
    <w:rsid w:val="4E9B5FEF"/>
    <w:rsid w:val="4E9D1D67"/>
    <w:rsid w:val="4EA76741"/>
    <w:rsid w:val="4EB3158A"/>
    <w:rsid w:val="4EC15F3A"/>
    <w:rsid w:val="4EC8759A"/>
    <w:rsid w:val="4ED50C74"/>
    <w:rsid w:val="4EE9065B"/>
    <w:rsid w:val="4EF31987"/>
    <w:rsid w:val="4EFE032C"/>
    <w:rsid w:val="4EFE20DA"/>
    <w:rsid w:val="4F021BCA"/>
    <w:rsid w:val="4F135B85"/>
    <w:rsid w:val="4F165675"/>
    <w:rsid w:val="4F22401A"/>
    <w:rsid w:val="4F277882"/>
    <w:rsid w:val="4F29184C"/>
    <w:rsid w:val="4F2C4E99"/>
    <w:rsid w:val="4F38383D"/>
    <w:rsid w:val="4F3B74FA"/>
    <w:rsid w:val="4F7978D6"/>
    <w:rsid w:val="4F870321"/>
    <w:rsid w:val="4F9A62A6"/>
    <w:rsid w:val="4FA574A8"/>
    <w:rsid w:val="4FAD422B"/>
    <w:rsid w:val="4FAE58AE"/>
    <w:rsid w:val="4FB530E0"/>
    <w:rsid w:val="4FBE01E7"/>
    <w:rsid w:val="4FC62A8C"/>
    <w:rsid w:val="4FE20F0D"/>
    <w:rsid w:val="501C315F"/>
    <w:rsid w:val="501C6CBB"/>
    <w:rsid w:val="503C55AF"/>
    <w:rsid w:val="50504C4B"/>
    <w:rsid w:val="5064466C"/>
    <w:rsid w:val="50746AF7"/>
    <w:rsid w:val="50795EBC"/>
    <w:rsid w:val="508A631B"/>
    <w:rsid w:val="508C2093"/>
    <w:rsid w:val="509C1BAA"/>
    <w:rsid w:val="509C6E7C"/>
    <w:rsid w:val="509E142B"/>
    <w:rsid w:val="50A867A1"/>
    <w:rsid w:val="50AC44E3"/>
    <w:rsid w:val="50C03AEB"/>
    <w:rsid w:val="50C11611"/>
    <w:rsid w:val="50C131AD"/>
    <w:rsid w:val="50D43A3A"/>
    <w:rsid w:val="50E53551"/>
    <w:rsid w:val="50EA500B"/>
    <w:rsid w:val="510B7F1B"/>
    <w:rsid w:val="510C4F82"/>
    <w:rsid w:val="51100C19"/>
    <w:rsid w:val="512254F4"/>
    <w:rsid w:val="51361FFF"/>
    <w:rsid w:val="5144471C"/>
    <w:rsid w:val="515549E3"/>
    <w:rsid w:val="516052CE"/>
    <w:rsid w:val="5162104E"/>
    <w:rsid w:val="51752B27"/>
    <w:rsid w:val="51786173"/>
    <w:rsid w:val="51A21442"/>
    <w:rsid w:val="51B01DB1"/>
    <w:rsid w:val="51D95677"/>
    <w:rsid w:val="51E17140"/>
    <w:rsid w:val="51FF0643"/>
    <w:rsid w:val="5209326F"/>
    <w:rsid w:val="523522B6"/>
    <w:rsid w:val="52432C25"/>
    <w:rsid w:val="52554706"/>
    <w:rsid w:val="52614E59"/>
    <w:rsid w:val="52636E23"/>
    <w:rsid w:val="52782F28"/>
    <w:rsid w:val="527C6137"/>
    <w:rsid w:val="527C7EE5"/>
    <w:rsid w:val="52860D64"/>
    <w:rsid w:val="529C40E3"/>
    <w:rsid w:val="52B23907"/>
    <w:rsid w:val="52B4767F"/>
    <w:rsid w:val="52C5363A"/>
    <w:rsid w:val="52C8137C"/>
    <w:rsid w:val="52D7511B"/>
    <w:rsid w:val="52E55A8A"/>
    <w:rsid w:val="52EC6E19"/>
    <w:rsid w:val="52F23A48"/>
    <w:rsid w:val="5302488E"/>
    <w:rsid w:val="53034162"/>
    <w:rsid w:val="53065A01"/>
    <w:rsid w:val="530B15CB"/>
    <w:rsid w:val="530C74BB"/>
    <w:rsid w:val="53185E60"/>
    <w:rsid w:val="531E0F9C"/>
    <w:rsid w:val="53395DD6"/>
    <w:rsid w:val="533B7DA0"/>
    <w:rsid w:val="533C4333"/>
    <w:rsid w:val="534865C5"/>
    <w:rsid w:val="53652785"/>
    <w:rsid w:val="53657A14"/>
    <w:rsid w:val="536746F1"/>
    <w:rsid w:val="537B019D"/>
    <w:rsid w:val="5382152B"/>
    <w:rsid w:val="538A03E0"/>
    <w:rsid w:val="539801D8"/>
    <w:rsid w:val="539D0113"/>
    <w:rsid w:val="53A039CC"/>
    <w:rsid w:val="53A1505A"/>
    <w:rsid w:val="53A94D0A"/>
    <w:rsid w:val="53E126F6"/>
    <w:rsid w:val="53E43F94"/>
    <w:rsid w:val="53E61ABA"/>
    <w:rsid w:val="53F32429"/>
    <w:rsid w:val="54001133"/>
    <w:rsid w:val="540262EE"/>
    <w:rsid w:val="54063E08"/>
    <w:rsid w:val="543437E8"/>
    <w:rsid w:val="5458228C"/>
    <w:rsid w:val="54813591"/>
    <w:rsid w:val="54907C78"/>
    <w:rsid w:val="54B73456"/>
    <w:rsid w:val="54CB15C6"/>
    <w:rsid w:val="54DA7145"/>
    <w:rsid w:val="54E21DAA"/>
    <w:rsid w:val="54E74394"/>
    <w:rsid w:val="54F621D1"/>
    <w:rsid w:val="550348EE"/>
    <w:rsid w:val="55050372"/>
    <w:rsid w:val="552F7491"/>
    <w:rsid w:val="5540344C"/>
    <w:rsid w:val="55472A2C"/>
    <w:rsid w:val="55545149"/>
    <w:rsid w:val="555B64D8"/>
    <w:rsid w:val="55613240"/>
    <w:rsid w:val="55651104"/>
    <w:rsid w:val="55916288"/>
    <w:rsid w:val="559245E2"/>
    <w:rsid w:val="559B174B"/>
    <w:rsid w:val="55CE0CF4"/>
    <w:rsid w:val="55E738C7"/>
    <w:rsid w:val="55F34962"/>
    <w:rsid w:val="55F37EE1"/>
    <w:rsid w:val="55F66200"/>
    <w:rsid w:val="560E70A6"/>
    <w:rsid w:val="560F3096"/>
    <w:rsid w:val="56116B96"/>
    <w:rsid w:val="562B40FC"/>
    <w:rsid w:val="564451BE"/>
    <w:rsid w:val="56486A5C"/>
    <w:rsid w:val="56681893"/>
    <w:rsid w:val="56777AE0"/>
    <w:rsid w:val="56905D0D"/>
    <w:rsid w:val="56A65531"/>
    <w:rsid w:val="56B22A9C"/>
    <w:rsid w:val="56B34C90"/>
    <w:rsid w:val="56B7773E"/>
    <w:rsid w:val="56C500AD"/>
    <w:rsid w:val="56D95906"/>
    <w:rsid w:val="56DC0F52"/>
    <w:rsid w:val="56F269C8"/>
    <w:rsid w:val="570404A9"/>
    <w:rsid w:val="571458A5"/>
    <w:rsid w:val="571C2784"/>
    <w:rsid w:val="571F7091"/>
    <w:rsid w:val="573214BA"/>
    <w:rsid w:val="57351C2A"/>
    <w:rsid w:val="57680A38"/>
    <w:rsid w:val="57686C8A"/>
    <w:rsid w:val="57803098"/>
    <w:rsid w:val="578F4217"/>
    <w:rsid w:val="57AF2B0B"/>
    <w:rsid w:val="57B72A76"/>
    <w:rsid w:val="57CE09AB"/>
    <w:rsid w:val="57EE718F"/>
    <w:rsid w:val="580A7D41"/>
    <w:rsid w:val="58201313"/>
    <w:rsid w:val="582C415B"/>
    <w:rsid w:val="583367D2"/>
    <w:rsid w:val="584119B5"/>
    <w:rsid w:val="584B45E2"/>
    <w:rsid w:val="58737694"/>
    <w:rsid w:val="588144B9"/>
    <w:rsid w:val="588B0E82"/>
    <w:rsid w:val="58A97825"/>
    <w:rsid w:val="58AE4B70"/>
    <w:rsid w:val="58B101BD"/>
    <w:rsid w:val="58B8154B"/>
    <w:rsid w:val="58C35579"/>
    <w:rsid w:val="58D00F8B"/>
    <w:rsid w:val="58D71B1E"/>
    <w:rsid w:val="59084281"/>
    <w:rsid w:val="590E0B05"/>
    <w:rsid w:val="590F1AB3"/>
    <w:rsid w:val="59254E33"/>
    <w:rsid w:val="59317311"/>
    <w:rsid w:val="59401C6C"/>
    <w:rsid w:val="595E5633"/>
    <w:rsid w:val="596100A0"/>
    <w:rsid w:val="59710078"/>
    <w:rsid w:val="599947F9"/>
    <w:rsid w:val="59B166C6"/>
    <w:rsid w:val="59B461B6"/>
    <w:rsid w:val="59B94A33"/>
    <w:rsid w:val="59C20FCE"/>
    <w:rsid w:val="59E85E60"/>
    <w:rsid w:val="59EA607C"/>
    <w:rsid w:val="59F128BF"/>
    <w:rsid w:val="59FA7C3F"/>
    <w:rsid w:val="5A0C2F90"/>
    <w:rsid w:val="5A2B2F85"/>
    <w:rsid w:val="5A2C0443"/>
    <w:rsid w:val="5A342207"/>
    <w:rsid w:val="5A357377"/>
    <w:rsid w:val="5A3879B1"/>
    <w:rsid w:val="5A3C747D"/>
    <w:rsid w:val="5A4B413A"/>
    <w:rsid w:val="5A56101C"/>
    <w:rsid w:val="5A5F25C6"/>
    <w:rsid w:val="5A5F4374"/>
    <w:rsid w:val="5A766CD8"/>
    <w:rsid w:val="5A851901"/>
    <w:rsid w:val="5A9A3728"/>
    <w:rsid w:val="5ABE2233"/>
    <w:rsid w:val="5ABF12B7"/>
    <w:rsid w:val="5AC266B1"/>
    <w:rsid w:val="5ADD173D"/>
    <w:rsid w:val="5AE170BA"/>
    <w:rsid w:val="5AE80255"/>
    <w:rsid w:val="5AF0321E"/>
    <w:rsid w:val="5AF34703"/>
    <w:rsid w:val="5B10566E"/>
    <w:rsid w:val="5B1433B1"/>
    <w:rsid w:val="5B276D18"/>
    <w:rsid w:val="5B331C89"/>
    <w:rsid w:val="5B353327"/>
    <w:rsid w:val="5B394BC5"/>
    <w:rsid w:val="5B417F1E"/>
    <w:rsid w:val="5B4B66A7"/>
    <w:rsid w:val="5B57329D"/>
    <w:rsid w:val="5B791466"/>
    <w:rsid w:val="5B91343C"/>
    <w:rsid w:val="5B9242D5"/>
    <w:rsid w:val="5B9929CA"/>
    <w:rsid w:val="5BAD110F"/>
    <w:rsid w:val="5BC00E43"/>
    <w:rsid w:val="5BD60666"/>
    <w:rsid w:val="5BDE576D"/>
    <w:rsid w:val="5BDF5D95"/>
    <w:rsid w:val="5BE70AC5"/>
    <w:rsid w:val="5BEA2363"/>
    <w:rsid w:val="5C001B87"/>
    <w:rsid w:val="5C043425"/>
    <w:rsid w:val="5C2A6C04"/>
    <w:rsid w:val="5C583771"/>
    <w:rsid w:val="5C5B7EE9"/>
    <w:rsid w:val="5C6043D4"/>
    <w:rsid w:val="5C607E81"/>
    <w:rsid w:val="5C732359"/>
    <w:rsid w:val="5C7659A5"/>
    <w:rsid w:val="5C7834CB"/>
    <w:rsid w:val="5C820F68"/>
    <w:rsid w:val="5C8B76A2"/>
    <w:rsid w:val="5C9522CF"/>
    <w:rsid w:val="5C98043B"/>
    <w:rsid w:val="5C9A5B38"/>
    <w:rsid w:val="5CA249EC"/>
    <w:rsid w:val="5CAC13C7"/>
    <w:rsid w:val="5CB87D6C"/>
    <w:rsid w:val="5CE37710"/>
    <w:rsid w:val="5CFD0F83"/>
    <w:rsid w:val="5D027239"/>
    <w:rsid w:val="5D1963D4"/>
    <w:rsid w:val="5D1A6C78"/>
    <w:rsid w:val="5D283143"/>
    <w:rsid w:val="5D3D64C3"/>
    <w:rsid w:val="5D487342"/>
    <w:rsid w:val="5D5E6B65"/>
    <w:rsid w:val="5D60423F"/>
    <w:rsid w:val="5D641CA2"/>
    <w:rsid w:val="5D83481E"/>
    <w:rsid w:val="5D874445"/>
    <w:rsid w:val="5D8F4F70"/>
    <w:rsid w:val="5D916F3A"/>
    <w:rsid w:val="5D92680F"/>
    <w:rsid w:val="5DCA244C"/>
    <w:rsid w:val="5DD260CE"/>
    <w:rsid w:val="5DF87A0F"/>
    <w:rsid w:val="5E1A3862"/>
    <w:rsid w:val="5E2F45B9"/>
    <w:rsid w:val="5E444D9E"/>
    <w:rsid w:val="5E4C10B3"/>
    <w:rsid w:val="5E5D506F"/>
    <w:rsid w:val="5E824AD5"/>
    <w:rsid w:val="5E8F0FA0"/>
    <w:rsid w:val="5E9D051F"/>
    <w:rsid w:val="5EA97EF5"/>
    <w:rsid w:val="5EBB7FE7"/>
    <w:rsid w:val="5EC1039D"/>
    <w:rsid w:val="5EE50805"/>
    <w:rsid w:val="5EE72758"/>
    <w:rsid w:val="5EF02083"/>
    <w:rsid w:val="5F1A2B43"/>
    <w:rsid w:val="5F1F40D2"/>
    <w:rsid w:val="5F227739"/>
    <w:rsid w:val="5F3D09FC"/>
    <w:rsid w:val="5F4973A1"/>
    <w:rsid w:val="5F7F2DC3"/>
    <w:rsid w:val="5F893C41"/>
    <w:rsid w:val="5F8B46CA"/>
    <w:rsid w:val="5F9C3975"/>
    <w:rsid w:val="5FB837BB"/>
    <w:rsid w:val="5FC92290"/>
    <w:rsid w:val="5FCB6008"/>
    <w:rsid w:val="5FD749AD"/>
    <w:rsid w:val="5FF7504F"/>
    <w:rsid w:val="60017C7C"/>
    <w:rsid w:val="60065292"/>
    <w:rsid w:val="60073A6B"/>
    <w:rsid w:val="60234A3C"/>
    <w:rsid w:val="6024544B"/>
    <w:rsid w:val="60367925"/>
    <w:rsid w:val="6042451C"/>
    <w:rsid w:val="6043661C"/>
    <w:rsid w:val="60477D84"/>
    <w:rsid w:val="605129B1"/>
    <w:rsid w:val="60591866"/>
    <w:rsid w:val="605B55DE"/>
    <w:rsid w:val="606F4BE5"/>
    <w:rsid w:val="608A1464"/>
    <w:rsid w:val="60AB42FB"/>
    <w:rsid w:val="60B22A8D"/>
    <w:rsid w:val="60B43495"/>
    <w:rsid w:val="60EC26DA"/>
    <w:rsid w:val="60EC6236"/>
    <w:rsid w:val="60F04543"/>
    <w:rsid w:val="61202383"/>
    <w:rsid w:val="61316D49"/>
    <w:rsid w:val="61355E2F"/>
    <w:rsid w:val="614E5143"/>
    <w:rsid w:val="61533C8F"/>
    <w:rsid w:val="615C160D"/>
    <w:rsid w:val="615F5748"/>
    <w:rsid w:val="6171137E"/>
    <w:rsid w:val="617A5F38"/>
    <w:rsid w:val="61813F63"/>
    <w:rsid w:val="61880654"/>
    <w:rsid w:val="619A0F68"/>
    <w:rsid w:val="61A82AA5"/>
    <w:rsid w:val="61AB4343"/>
    <w:rsid w:val="61AE798F"/>
    <w:rsid w:val="61B256D1"/>
    <w:rsid w:val="61B639D0"/>
    <w:rsid w:val="61D141E5"/>
    <w:rsid w:val="621023F8"/>
    <w:rsid w:val="621A5025"/>
    <w:rsid w:val="6223037D"/>
    <w:rsid w:val="62270343"/>
    <w:rsid w:val="622E29AB"/>
    <w:rsid w:val="62364782"/>
    <w:rsid w:val="62426A55"/>
    <w:rsid w:val="624B617C"/>
    <w:rsid w:val="625C73EB"/>
    <w:rsid w:val="62600C89"/>
    <w:rsid w:val="62683FE2"/>
    <w:rsid w:val="627C3CF9"/>
    <w:rsid w:val="62886432"/>
    <w:rsid w:val="628C5F22"/>
    <w:rsid w:val="62984021"/>
    <w:rsid w:val="62A41849"/>
    <w:rsid w:val="62C84A81"/>
    <w:rsid w:val="62C90F25"/>
    <w:rsid w:val="62D7743E"/>
    <w:rsid w:val="62E33669"/>
    <w:rsid w:val="62EA49F7"/>
    <w:rsid w:val="62EF025F"/>
    <w:rsid w:val="62EF2D9B"/>
    <w:rsid w:val="62F35FA1"/>
    <w:rsid w:val="63045DC8"/>
    <w:rsid w:val="63100901"/>
    <w:rsid w:val="63165E53"/>
    <w:rsid w:val="631F0B45"/>
    <w:rsid w:val="634265CE"/>
    <w:rsid w:val="634560D1"/>
    <w:rsid w:val="634C5DAA"/>
    <w:rsid w:val="6353259C"/>
    <w:rsid w:val="63612F0B"/>
    <w:rsid w:val="63660521"/>
    <w:rsid w:val="63974B7F"/>
    <w:rsid w:val="63A27AA9"/>
    <w:rsid w:val="63C11BFC"/>
    <w:rsid w:val="63C27722"/>
    <w:rsid w:val="63C678A1"/>
    <w:rsid w:val="63C84BC3"/>
    <w:rsid w:val="63D13A3D"/>
    <w:rsid w:val="63D40BE9"/>
    <w:rsid w:val="63E0211F"/>
    <w:rsid w:val="63F35B2D"/>
    <w:rsid w:val="64065861"/>
    <w:rsid w:val="640D6BEF"/>
    <w:rsid w:val="641C32D6"/>
    <w:rsid w:val="642A59F3"/>
    <w:rsid w:val="642B176B"/>
    <w:rsid w:val="643028DD"/>
    <w:rsid w:val="645C1924"/>
    <w:rsid w:val="64601415"/>
    <w:rsid w:val="648844C8"/>
    <w:rsid w:val="64A532CB"/>
    <w:rsid w:val="64F14FE5"/>
    <w:rsid w:val="64FD6C64"/>
    <w:rsid w:val="65044544"/>
    <w:rsid w:val="65115146"/>
    <w:rsid w:val="652454F1"/>
    <w:rsid w:val="65373578"/>
    <w:rsid w:val="653B778C"/>
    <w:rsid w:val="65476131"/>
    <w:rsid w:val="6562740E"/>
    <w:rsid w:val="65856C59"/>
    <w:rsid w:val="65905D2A"/>
    <w:rsid w:val="65921AA2"/>
    <w:rsid w:val="65AD68DC"/>
    <w:rsid w:val="65C60144"/>
    <w:rsid w:val="65D42D38"/>
    <w:rsid w:val="65F8526B"/>
    <w:rsid w:val="660109D5"/>
    <w:rsid w:val="66100C18"/>
    <w:rsid w:val="661B3092"/>
    <w:rsid w:val="663751B5"/>
    <w:rsid w:val="66391F1D"/>
    <w:rsid w:val="664408C2"/>
    <w:rsid w:val="664B7EA3"/>
    <w:rsid w:val="66650F64"/>
    <w:rsid w:val="667B2536"/>
    <w:rsid w:val="667C62AE"/>
    <w:rsid w:val="668313EA"/>
    <w:rsid w:val="668A4527"/>
    <w:rsid w:val="668C4743"/>
    <w:rsid w:val="669615DA"/>
    <w:rsid w:val="669B2BD8"/>
    <w:rsid w:val="66A15D14"/>
    <w:rsid w:val="66A601AC"/>
    <w:rsid w:val="66B141AA"/>
    <w:rsid w:val="66B26720"/>
    <w:rsid w:val="66C0619B"/>
    <w:rsid w:val="66C4797B"/>
    <w:rsid w:val="66C739CD"/>
    <w:rsid w:val="66DC6D4D"/>
    <w:rsid w:val="66E4687E"/>
    <w:rsid w:val="66E51F8A"/>
    <w:rsid w:val="66F83DCE"/>
    <w:rsid w:val="66FC17B7"/>
    <w:rsid w:val="671569B9"/>
    <w:rsid w:val="671F55B7"/>
    <w:rsid w:val="67202791"/>
    <w:rsid w:val="67206C39"/>
    <w:rsid w:val="6727621A"/>
    <w:rsid w:val="673F2C7A"/>
    <w:rsid w:val="674C3ED2"/>
    <w:rsid w:val="676E3E49"/>
    <w:rsid w:val="67C63C85"/>
    <w:rsid w:val="67F00D02"/>
    <w:rsid w:val="6809591F"/>
    <w:rsid w:val="680D70CB"/>
    <w:rsid w:val="681A3FD0"/>
    <w:rsid w:val="681E586F"/>
    <w:rsid w:val="681F6961"/>
    <w:rsid w:val="68386205"/>
    <w:rsid w:val="68430416"/>
    <w:rsid w:val="684626D0"/>
    <w:rsid w:val="685002C6"/>
    <w:rsid w:val="6850354E"/>
    <w:rsid w:val="685E210F"/>
    <w:rsid w:val="68610A2F"/>
    <w:rsid w:val="686C7663"/>
    <w:rsid w:val="687C2595"/>
    <w:rsid w:val="68805514"/>
    <w:rsid w:val="68866CD3"/>
    <w:rsid w:val="689959E8"/>
    <w:rsid w:val="68A1024E"/>
    <w:rsid w:val="68A35D74"/>
    <w:rsid w:val="68D667FD"/>
    <w:rsid w:val="68E87C2B"/>
    <w:rsid w:val="68F20AA9"/>
    <w:rsid w:val="68F6059A"/>
    <w:rsid w:val="69126A56"/>
    <w:rsid w:val="691E26C3"/>
    <w:rsid w:val="691E364C"/>
    <w:rsid w:val="691E53FA"/>
    <w:rsid w:val="69201173"/>
    <w:rsid w:val="69252556"/>
    <w:rsid w:val="69252C2D"/>
    <w:rsid w:val="692F585A"/>
    <w:rsid w:val="694E2071"/>
    <w:rsid w:val="695D598D"/>
    <w:rsid w:val="695F683E"/>
    <w:rsid w:val="696279DD"/>
    <w:rsid w:val="69643755"/>
    <w:rsid w:val="69666B6C"/>
    <w:rsid w:val="69690D6B"/>
    <w:rsid w:val="69715E72"/>
    <w:rsid w:val="697A3B33"/>
    <w:rsid w:val="69801C11"/>
    <w:rsid w:val="698D7229"/>
    <w:rsid w:val="69925493"/>
    <w:rsid w:val="699851AD"/>
    <w:rsid w:val="699E2456"/>
    <w:rsid w:val="69BA3375"/>
    <w:rsid w:val="69BB533F"/>
    <w:rsid w:val="69C75A92"/>
    <w:rsid w:val="69CB1325"/>
    <w:rsid w:val="69CF4718"/>
    <w:rsid w:val="69D32689"/>
    <w:rsid w:val="69DF590B"/>
    <w:rsid w:val="69E20B1E"/>
    <w:rsid w:val="6A0740E0"/>
    <w:rsid w:val="6A102F95"/>
    <w:rsid w:val="6A18009C"/>
    <w:rsid w:val="6A1D2B9D"/>
    <w:rsid w:val="6A266C5C"/>
    <w:rsid w:val="6A617C95"/>
    <w:rsid w:val="6A7F45BF"/>
    <w:rsid w:val="6A9E67F3"/>
    <w:rsid w:val="6AA933EA"/>
    <w:rsid w:val="6AB125DD"/>
    <w:rsid w:val="6AB9187F"/>
    <w:rsid w:val="6ADC678A"/>
    <w:rsid w:val="6AEA5C29"/>
    <w:rsid w:val="6B016D82"/>
    <w:rsid w:val="6B0B1692"/>
    <w:rsid w:val="6B113469"/>
    <w:rsid w:val="6B2E0EEC"/>
    <w:rsid w:val="6B322639"/>
    <w:rsid w:val="6B476AF5"/>
    <w:rsid w:val="6B5670CE"/>
    <w:rsid w:val="6B5C045C"/>
    <w:rsid w:val="6B621F16"/>
    <w:rsid w:val="6B881251"/>
    <w:rsid w:val="6B8D6867"/>
    <w:rsid w:val="6B95409A"/>
    <w:rsid w:val="6BA4599A"/>
    <w:rsid w:val="6BD66460"/>
    <w:rsid w:val="6BF15048"/>
    <w:rsid w:val="6BF863D7"/>
    <w:rsid w:val="6C132789"/>
    <w:rsid w:val="6C132AF4"/>
    <w:rsid w:val="6C164AAF"/>
    <w:rsid w:val="6C172D01"/>
    <w:rsid w:val="6C1F4726"/>
    <w:rsid w:val="6C240F7A"/>
    <w:rsid w:val="6C370D6F"/>
    <w:rsid w:val="6C3B30D7"/>
    <w:rsid w:val="6C492150"/>
    <w:rsid w:val="6C5555D7"/>
    <w:rsid w:val="6C636C38"/>
    <w:rsid w:val="6C67530A"/>
    <w:rsid w:val="6C730C7E"/>
    <w:rsid w:val="6C7A6DEC"/>
    <w:rsid w:val="6C861C34"/>
    <w:rsid w:val="6C8B3CB7"/>
    <w:rsid w:val="6C9768B4"/>
    <w:rsid w:val="6CA2365C"/>
    <w:rsid w:val="6CA34594"/>
    <w:rsid w:val="6CB304CE"/>
    <w:rsid w:val="6CB46277"/>
    <w:rsid w:val="6CB71DEE"/>
    <w:rsid w:val="6CBF282C"/>
    <w:rsid w:val="6CC10EBE"/>
    <w:rsid w:val="6CC369E5"/>
    <w:rsid w:val="6CD94E77"/>
    <w:rsid w:val="6CDE464C"/>
    <w:rsid w:val="6CE07597"/>
    <w:rsid w:val="6CE16E6B"/>
    <w:rsid w:val="6D062181"/>
    <w:rsid w:val="6D154D66"/>
    <w:rsid w:val="6D1E1E6D"/>
    <w:rsid w:val="6D231231"/>
    <w:rsid w:val="6D377177"/>
    <w:rsid w:val="6D3F3B91"/>
    <w:rsid w:val="6D4F64CA"/>
    <w:rsid w:val="6D5444AE"/>
    <w:rsid w:val="6D54763D"/>
    <w:rsid w:val="6D5B3A2F"/>
    <w:rsid w:val="6D6C15A7"/>
    <w:rsid w:val="6D763A57"/>
    <w:rsid w:val="6D88378A"/>
    <w:rsid w:val="6D8A7502"/>
    <w:rsid w:val="6D997745"/>
    <w:rsid w:val="6D9C58EC"/>
    <w:rsid w:val="6DA57E98"/>
    <w:rsid w:val="6DA63D56"/>
    <w:rsid w:val="6DAC1227"/>
    <w:rsid w:val="6DB34098"/>
    <w:rsid w:val="6DB545B6"/>
    <w:rsid w:val="6DC26C9C"/>
    <w:rsid w:val="6DCF13B9"/>
    <w:rsid w:val="6E077423"/>
    <w:rsid w:val="6E0B3AA9"/>
    <w:rsid w:val="6E16620A"/>
    <w:rsid w:val="6E241705"/>
    <w:rsid w:val="6E26547D"/>
    <w:rsid w:val="6E2C2368"/>
    <w:rsid w:val="6E4375A0"/>
    <w:rsid w:val="6E514CED"/>
    <w:rsid w:val="6E5F273D"/>
    <w:rsid w:val="6E6164B5"/>
    <w:rsid w:val="6E671FF6"/>
    <w:rsid w:val="6E6E4874"/>
    <w:rsid w:val="6E79491A"/>
    <w:rsid w:val="6E7E309C"/>
    <w:rsid w:val="6E81204A"/>
    <w:rsid w:val="6E943FBB"/>
    <w:rsid w:val="6E9C573F"/>
    <w:rsid w:val="6EA6211A"/>
    <w:rsid w:val="6EB34837"/>
    <w:rsid w:val="6EB563D5"/>
    <w:rsid w:val="6EBC36EB"/>
    <w:rsid w:val="6EC151A6"/>
    <w:rsid w:val="6ECC76A7"/>
    <w:rsid w:val="6ECE341F"/>
    <w:rsid w:val="6ED722D3"/>
    <w:rsid w:val="6EDD3AFA"/>
    <w:rsid w:val="6EE92007"/>
    <w:rsid w:val="6EE92BDF"/>
    <w:rsid w:val="6F225983"/>
    <w:rsid w:val="6F286FD3"/>
    <w:rsid w:val="6F2A4AF9"/>
    <w:rsid w:val="6F2B0871"/>
    <w:rsid w:val="6F2E3CDC"/>
    <w:rsid w:val="6F3C7069"/>
    <w:rsid w:val="6F4162E7"/>
    <w:rsid w:val="6F643647"/>
    <w:rsid w:val="6F71097A"/>
    <w:rsid w:val="6F7915DC"/>
    <w:rsid w:val="6F7B35A7"/>
    <w:rsid w:val="6F805145"/>
    <w:rsid w:val="6F8D5088"/>
    <w:rsid w:val="6F9B77A5"/>
    <w:rsid w:val="6F9D2B48"/>
    <w:rsid w:val="6FA5145A"/>
    <w:rsid w:val="6FAC5C4E"/>
    <w:rsid w:val="6FC417FD"/>
    <w:rsid w:val="6FCB512F"/>
    <w:rsid w:val="6FE253D4"/>
    <w:rsid w:val="6FEA440E"/>
    <w:rsid w:val="6FFC5590"/>
    <w:rsid w:val="70027824"/>
    <w:rsid w:val="70151479"/>
    <w:rsid w:val="70253512"/>
    <w:rsid w:val="70301DA3"/>
    <w:rsid w:val="704F233D"/>
    <w:rsid w:val="7064403B"/>
    <w:rsid w:val="706A7177"/>
    <w:rsid w:val="706D1DD0"/>
    <w:rsid w:val="70741DA4"/>
    <w:rsid w:val="70856B87"/>
    <w:rsid w:val="708E6AC2"/>
    <w:rsid w:val="708F3A70"/>
    <w:rsid w:val="70903082"/>
    <w:rsid w:val="709829F2"/>
    <w:rsid w:val="70A46B2D"/>
    <w:rsid w:val="70AA100D"/>
    <w:rsid w:val="70B76860"/>
    <w:rsid w:val="70BF5715"/>
    <w:rsid w:val="70CB5E68"/>
    <w:rsid w:val="70D527EE"/>
    <w:rsid w:val="70D92160"/>
    <w:rsid w:val="70ED4030"/>
    <w:rsid w:val="70F03B20"/>
    <w:rsid w:val="70F32156"/>
    <w:rsid w:val="70FC24C5"/>
    <w:rsid w:val="70FF5B11"/>
    <w:rsid w:val="71096990"/>
    <w:rsid w:val="712612F0"/>
    <w:rsid w:val="71352E40"/>
    <w:rsid w:val="714425EE"/>
    <w:rsid w:val="714A390E"/>
    <w:rsid w:val="715B5300"/>
    <w:rsid w:val="715F4BD7"/>
    <w:rsid w:val="715F6FC2"/>
    <w:rsid w:val="71632544"/>
    <w:rsid w:val="716D6F1F"/>
    <w:rsid w:val="717804FA"/>
    <w:rsid w:val="71946BA2"/>
    <w:rsid w:val="719533EC"/>
    <w:rsid w:val="719871F0"/>
    <w:rsid w:val="71AA3CCF"/>
    <w:rsid w:val="71C17073"/>
    <w:rsid w:val="71D27F8A"/>
    <w:rsid w:val="71D90A58"/>
    <w:rsid w:val="71E01DE7"/>
    <w:rsid w:val="71E82A49"/>
    <w:rsid w:val="71F6641F"/>
    <w:rsid w:val="71F744C6"/>
    <w:rsid w:val="71F960CF"/>
    <w:rsid w:val="72047A8C"/>
    <w:rsid w:val="72201F3D"/>
    <w:rsid w:val="722E4900"/>
    <w:rsid w:val="723F6B0D"/>
    <w:rsid w:val="72604CD6"/>
    <w:rsid w:val="726C71D7"/>
    <w:rsid w:val="72750781"/>
    <w:rsid w:val="727F061A"/>
    <w:rsid w:val="72AC508B"/>
    <w:rsid w:val="72AC68FC"/>
    <w:rsid w:val="72B62B48"/>
    <w:rsid w:val="72C658E2"/>
    <w:rsid w:val="730B2E93"/>
    <w:rsid w:val="7314432B"/>
    <w:rsid w:val="73164BEE"/>
    <w:rsid w:val="731F5D5E"/>
    <w:rsid w:val="73351CBE"/>
    <w:rsid w:val="734C0DB6"/>
    <w:rsid w:val="73592DDA"/>
    <w:rsid w:val="737E61BA"/>
    <w:rsid w:val="738E13CF"/>
    <w:rsid w:val="73A40BF2"/>
    <w:rsid w:val="73B9469D"/>
    <w:rsid w:val="73C31078"/>
    <w:rsid w:val="73D019E7"/>
    <w:rsid w:val="73E027CB"/>
    <w:rsid w:val="73E62FB9"/>
    <w:rsid w:val="73EC4A73"/>
    <w:rsid w:val="74121311"/>
    <w:rsid w:val="7418008A"/>
    <w:rsid w:val="741E793C"/>
    <w:rsid w:val="74266DDB"/>
    <w:rsid w:val="743957DE"/>
    <w:rsid w:val="743E4BA3"/>
    <w:rsid w:val="744C5512"/>
    <w:rsid w:val="745443C6"/>
    <w:rsid w:val="74546174"/>
    <w:rsid w:val="745B5755"/>
    <w:rsid w:val="747607E0"/>
    <w:rsid w:val="749A4D8D"/>
    <w:rsid w:val="74A0585D"/>
    <w:rsid w:val="74AB7EB0"/>
    <w:rsid w:val="74AC5FB0"/>
    <w:rsid w:val="74B530B7"/>
    <w:rsid w:val="74B80DF9"/>
    <w:rsid w:val="74C74B98"/>
    <w:rsid w:val="74DD260E"/>
    <w:rsid w:val="74DD616A"/>
    <w:rsid w:val="74E42EB3"/>
    <w:rsid w:val="74FA4F6E"/>
    <w:rsid w:val="750F5C92"/>
    <w:rsid w:val="75100625"/>
    <w:rsid w:val="75153542"/>
    <w:rsid w:val="751678CE"/>
    <w:rsid w:val="751D2A0A"/>
    <w:rsid w:val="75263FB5"/>
    <w:rsid w:val="75330480"/>
    <w:rsid w:val="7537110F"/>
    <w:rsid w:val="753777CB"/>
    <w:rsid w:val="755C6A27"/>
    <w:rsid w:val="75742F72"/>
    <w:rsid w:val="757C5983"/>
    <w:rsid w:val="758D75E2"/>
    <w:rsid w:val="75A52846"/>
    <w:rsid w:val="75B41629"/>
    <w:rsid w:val="75BA294F"/>
    <w:rsid w:val="75C0032F"/>
    <w:rsid w:val="75C5557C"/>
    <w:rsid w:val="75E023B5"/>
    <w:rsid w:val="75E43528"/>
    <w:rsid w:val="75E74F8A"/>
    <w:rsid w:val="75EB48B6"/>
    <w:rsid w:val="7614205F"/>
    <w:rsid w:val="76377AFB"/>
    <w:rsid w:val="763D6ACE"/>
    <w:rsid w:val="76402E54"/>
    <w:rsid w:val="76642789"/>
    <w:rsid w:val="767D7C04"/>
    <w:rsid w:val="76816FC9"/>
    <w:rsid w:val="768C42EB"/>
    <w:rsid w:val="769907B6"/>
    <w:rsid w:val="76BE1632"/>
    <w:rsid w:val="76C6143C"/>
    <w:rsid w:val="76CD5A9C"/>
    <w:rsid w:val="76ED50BF"/>
    <w:rsid w:val="76EE5AC5"/>
    <w:rsid w:val="76FB11AB"/>
    <w:rsid w:val="770904FC"/>
    <w:rsid w:val="770B3462"/>
    <w:rsid w:val="770E0F2C"/>
    <w:rsid w:val="7715608F"/>
    <w:rsid w:val="77244524"/>
    <w:rsid w:val="77547E9C"/>
    <w:rsid w:val="77615454"/>
    <w:rsid w:val="7762504C"/>
    <w:rsid w:val="77692B6F"/>
    <w:rsid w:val="77762421"/>
    <w:rsid w:val="777D1E86"/>
    <w:rsid w:val="77844FC2"/>
    <w:rsid w:val="778B45A3"/>
    <w:rsid w:val="77C1374B"/>
    <w:rsid w:val="77DE2925"/>
    <w:rsid w:val="77E65C7D"/>
    <w:rsid w:val="77EB3293"/>
    <w:rsid w:val="77F64995"/>
    <w:rsid w:val="780F09F4"/>
    <w:rsid w:val="780F6F82"/>
    <w:rsid w:val="781A4D19"/>
    <w:rsid w:val="782A6D49"/>
    <w:rsid w:val="78457586"/>
    <w:rsid w:val="78460130"/>
    <w:rsid w:val="785726D7"/>
    <w:rsid w:val="785C7CED"/>
    <w:rsid w:val="78632E2A"/>
    <w:rsid w:val="786372CE"/>
    <w:rsid w:val="78650950"/>
    <w:rsid w:val="786728C9"/>
    <w:rsid w:val="78762B5D"/>
    <w:rsid w:val="78816706"/>
    <w:rsid w:val="789C4F47"/>
    <w:rsid w:val="78A13CD3"/>
    <w:rsid w:val="78A90480"/>
    <w:rsid w:val="78AD22F7"/>
    <w:rsid w:val="78CA4C57"/>
    <w:rsid w:val="78CA70F8"/>
    <w:rsid w:val="78D07E50"/>
    <w:rsid w:val="78D12489"/>
    <w:rsid w:val="78DC5050"/>
    <w:rsid w:val="78F148D9"/>
    <w:rsid w:val="78F61EF0"/>
    <w:rsid w:val="78FE5005"/>
    <w:rsid w:val="790C1713"/>
    <w:rsid w:val="791344A9"/>
    <w:rsid w:val="791C643F"/>
    <w:rsid w:val="79394A97"/>
    <w:rsid w:val="794669D3"/>
    <w:rsid w:val="796B468C"/>
    <w:rsid w:val="797C23F5"/>
    <w:rsid w:val="797E7500"/>
    <w:rsid w:val="79811327"/>
    <w:rsid w:val="79A96F62"/>
    <w:rsid w:val="79AD6A52"/>
    <w:rsid w:val="79BD656A"/>
    <w:rsid w:val="79CE69C9"/>
    <w:rsid w:val="79E03564"/>
    <w:rsid w:val="79EF201E"/>
    <w:rsid w:val="79EF253F"/>
    <w:rsid w:val="79F006ED"/>
    <w:rsid w:val="79F4167B"/>
    <w:rsid w:val="79F71A7C"/>
    <w:rsid w:val="79FA5A10"/>
    <w:rsid w:val="7A211C75"/>
    <w:rsid w:val="7A262361"/>
    <w:rsid w:val="7A295E0D"/>
    <w:rsid w:val="7A335E70"/>
    <w:rsid w:val="7A364017"/>
    <w:rsid w:val="7A434CC1"/>
    <w:rsid w:val="7A5B24AB"/>
    <w:rsid w:val="7A5D1167"/>
    <w:rsid w:val="7A6A4943"/>
    <w:rsid w:val="7A8265E1"/>
    <w:rsid w:val="7A8D418E"/>
    <w:rsid w:val="7A9F7EE5"/>
    <w:rsid w:val="7AA42FF4"/>
    <w:rsid w:val="7ADB0094"/>
    <w:rsid w:val="7AF64429"/>
    <w:rsid w:val="7B0E7B92"/>
    <w:rsid w:val="7B101C3B"/>
    <w:rsid w:val="7B136D89"/>
    <w:rsid w:val="7B2368A0"/>
    <w:rsid w:val="7B2549DC"/>
    <w:rsid w:val="7B2E5971"/>
    <w:rsid w:val="7B30793B"/>
    <w:rsid w:val="7B404891"/>
    <w:rsid w:val="7B452CBB"/>
    <w:rsid w:val="7B672C31"/>
    <w:rsid w:val="7B686D42"/>
    <w:rsid w:val="7B784E3E"/>
    <w:rsid w:val="7B841746"/>
    <w:rsid w:val="7B9A3006"/>
    <w:rsid w:val="7BA051AE"/>
    <w:rsid w:val="7BC05F8F"/>
    <w:rsid w:val="7BC10593"/>
    <w:rsid w:val="7BC95C3D"/>
    <w:rsid w:val="7BEB5610"/>
    <w:rsid w:val="7BF00E78"/>
    <w:rsid w:val="7BF960BE"/>
    <w:rsid w:val="7C0B3F04"/>
    <w:rsid w:val="7C136915"/>
    <w:rsid w:val="7C180F9D"/>
    <w:rsid w:val="7C2154D6"/>
    <w:rsid w:val="7C34360E"/>
    <w:rsid w:val="7C3617EF"/>
    <w:rsid w:val="7C611D76"/>
    <w:rsid w:val="7C691A49"/>
    <w:rsid w:val="7C6F2B32"/>
    <w:rsid w:val="7CA56ECC"/>
    <w:rsid w:val="7CAF2BA7"/>
    <w:rsid w:val="7CC701F4"/>
    <w:rsid w:val="7CE54755"/>
    <w:rsid w:val="7CE71406"/>
    <w:rsid w:val="7D0239FF"/>
    <w:rsid w:val="7D0F17D2"/>
    <w:rsid w:val="7D1110A6"/>
    <w:rsid w:val="7D172435"/>
    <w:rsid w:val="7D216BFC"/>
    <w:rsid w:val="7D382AD7"/>
    <w:rsid w:val="7D5B0573"/>
    <w:rsid w:val="7D5E40CD"/>
    <w:rsid w:val="7D6531A0"/>
    <w:rsid w:val="7D693BED"/>
    <w:rsid w:val="7D6B705E"/>
    <w:rsid w:val="7D97463E"/>
    <w:rsid w:val="7DA52BC9"/>
    <w:rsid w:val="7DAC6B74"/>
    <w:rsid w:val="7DAF266D"/>
    <w:rsid w:val="7DBC0DA1"/>
    <w:rsid w:val="7DC223A1"/>
    <w:rsid w:val="7DDB3462"/>
    <w:rsid w:val="7DE26685"/>
    <w:rsid w:val="7DEC38C1"/>
    <w:rsid w:val="7DFA7D8C"/>
    <w:rsid w:val="7DFF1847"/>
    <w:rsid w:val="7E0712F2"/>
    <w:rsid w:val="7E1F77F3"/>
    <w:rsid w:val="7E3037AE"/>
    <w:rsid w:val="7E437985"/>
    <w:rsid w:val="7E460F72"/>
    <w:rsid w:val="7E492AC2"/>
    <w:rsid w:val="7E5206AA"/>
    <w:rsid w:val="7E5356EF"/>
    <w:rsid w:val="7E5F5B4C"/>
    <w:rsid w:val="7E611BB9"/>
    <w:rsid w:val="7E6478FC"/>
    <w:rsid w:val="7E8D0C00"/>
    <w:rsid w:val="7E9C52E7"/>
    <w:rsid w:val="7EA321D2"/>
    <w:rsid w:val="7EA6257B"/>
    <w:rsid w:val="7EAD12A3"/>
    <w:rsid w:val="7EB443DF"/>
    <w:rsid w:val="7EB73ECF"/>
    <w:rsid w:val="7EC565EC"/>
    <w:rsid w:val="7EE13986"/>
    <w:rsid w:val="7EE4674F"/>
    <w:rsid w:val="7EED3128"/>
    <w:rsid w:val="7F0D1D41"/>
    <w:rsid w:val="7F0F1615"/>
    <w:rsid w:val="7F1D01D6"/>
    <w:rsid w:val="7F2327F1"/>
    <w:rsid w:val="7F280929"/>
    <w:rsid w:val="7F471293"/>
    <w:rsid w:val="7F5E259D"/>
    <w:rsid w:val="7F604567"/>
    <w:rsid w:val="7F7409CC"/>
    <w:rsid w:val="7F743B6E"/>
    <w:rsid w:val="7F832D76"/>
    <w:rsid w:val="7F89586C"/>
    <w:rsid w:val="7FA6148C"/>
    <w:rsid w:val="7FAF1655"/>
    <w:rsid w:val="7FB623D9"/>
    <w:rsid w:val="7FBD3767"/>
    <w:rsid w:val="7FC10601"/>
    <w:rsid w:val="7FCC5758"/>
    <w:rsid w:val="7FD91C23"/>
    <w:rsid w:val="7FDB3E3E"/>
    <w:rsid w:val="7FE01204"/>
    <w:rsid w:val="7FE17456"/>
    <w:rsid w:val="7FE47E50"/>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iPriority="99"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99"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ocked="1"/>
    <w:lsdException w:qFormat="1" w:unhideWhenUsed="0" w:uiPriority="20" w:semiHidden="0" w:name="Emphasis" w:locked="1"/>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qFormat="1" w:uiPriority="99"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3"/>
    <w:link w:val="38"/>
    <w:qFormat/>
    <w:uiPriority w:val="0"/>
    <w:pPr>
      <w:widowControl w:val="0"/>
      <w:numPr>
        <w:ilvl w:val="0"/>
        <w:numId w:val="1"/>
      </w:numPr>
      <w:adjustRightInd w:val="0"/>
      <w:snapToGrid w:val="0"/>
      <w:spacing w:before="100" w:beforeAutospacing="1" w:line="360" w:lineRule="auto"/>
      <w:outlineLvl w:val="0"/>
    </w:pPr>
    <w:rPr>
      <w:rFonts w:ascii="黑体" w:hAnsi="Times New Roman" w:eastAsia="黑体" w:cs="Times New Roman"/>
      <w:kern w:val="44"/>
      <w:sz w:val="30"/>
      <w:szCs w:val="44"/>
      <w:lang w:val="en-US" w:eastAsia="zh-CN" w:bidi="ar-SA"/>
    </w:rPr>
  </w:style>
  <w:style w:type="paragraph" w:styleId="4">
    <w:name w:val="heading 2"/>
    <w:basedOn w:val="1"/>
    <w:next w:val="1"/>
    <w:link w:val="40"/>
    <w:qFormat/>
    <w:locked/>
    <w:uiPriority w:val="0"/>
    <w:pPr>
      <w:keepNext/>
      <w:numPr>
        <w:ilvl w:val="1"/>
        <w:numId w:val="1"/>
      </w:numPr>
      <w:adjustRightInd w:val="0"/>
      <w:snapToGrid w:val="0"/>
      <w:spacing w:before="100" w:beforeAutospacing="1" w:line="360" w:lineRule="auto"/>
      <w:outlineLvl w:val="1"/>
    </w:pPr>
    <w:rPr>
      <w:rFonts w:ascii="黑体" w:hAnsi="Cambria" w:eastAsia="黑体"/>
      <w:bCs/>
      <w:sz w:val="28"/>
      <w:szCs w:val="32"/>
    </w:rPr>
  </w:style>
  <w:style w:type="paragraph" w:styleId="5">
    <w:name w:val="heading 3"/>
    <w:next w:val="3"/>
    <w:link w:val="41"/>
    <w:qFormat/>
    <w:locked/>
    <w:uiPriority w:val="0"/>
    <w:pPr>
      <w:keepNext/>
      <w:widowControl w:val="0"/>
      <w:numPr>
        <w:ilvl w:val="2"/>
        <w:numId w:val="1"/>
      </w:numPr>
      <w:adjustRightInd w:val="0"/>
      <w:snapToGrid w:val="0"/>
      <w:spacing w:before="100" w:beforeAutospacing="1" w:line="360" w:lineRule="auto"/>
      <w:outlineLvl w:val="2"/>
    </w:pPr>
    <w:rPr>
      <w:rFonts w:ascii="黑体" w:hAnsi="Calibri" w:eastAsia="黑体" w:cs="Times New Roman"/>
      <w:bCs/>
      <w:kern w:val="2"/>
      <w:sz w:val="24"/>
      <w:szCs w:val="32"/>
      <w:lang w:val="en-US" w:eastAsia="zh-CN" w:bidi="ar-SA"/>
    </w:rPr>
  </w:style>
  <w:style w:type="paragraph" w:styleId="6">
    <w:name w:val="heading 4"/>
    <w:next w:val="3"/>
    <w:link w:val="42"/>
    <w:qFormat/>
    <w:locked/>
    <w:uiPriority w:val="0"/>
    <w:pPr>
      <w:keepNext/>
      <w:widowControl w:val="0"/>
      <w:numPr>
        <w:ilvl w:val="3"/>
        <w:numId w:val="1"/>
      </w:numPr>
      <w:adjustRightInd w:val="0"/>
      <w:snapToGrid w:val="0"/>
      <w:spacing w:before="100" w:beforeAutospacing="1" w:line="360" w:lineRule="auto"/>
      <w:outlineLvl w:val="3"/>
    </w:pPr>
    <w:rPr>
      <w:rFonts w:ascii="宋体" w:hAnsi="Cambria" w:eastAsia="宋体" w:cs="Times New Roman"/>
      <w:b/>
      <w:bCs/>
      <w:kern w:val="2"/>
      <w:sz w:val="24"/>
      <w:szCs w:val="28"/>
      <w:lang w:val="en-US" w:eastAsia="zh-CN" w:bidi="ar-SA"/>
    </w:rPr>
  </w:style>
  <w:style w:type="paragraph" w:styleId="7">
    <w:name w:val="heading 5"/>
    <w:next w:val="3"/>
    <w:link w:val="43"/>
    <w:qFormat/>
    <w:locked/>
    <w:uiPriority w:val="0"/>
    <w:pPr>
      <w:keepNext/>
      <w:keepLines/>
      <w:numPr>
        <w:ilvl w:val="4"/>
        <w:numId w:val="1"/>
      </w:numPr>
      <w:spacing w:before="100" w:beforeAutospacing="1" w:line="360" w:lineRule="auto"/>
      <w:outlineLvl w:val="4"/>
    </w:pPr>
    <w:rPr>
      <w:rFonts w:ascii="宋体" w:hAnsi="Calibri" w:eastAsia="宋体" w:cs="Times New Roman"/>
      <w:bCs/>
      <w:kern w:val="2"/>
      <w:sz w:val="24"/>
      <w:szCs w:val="28"/>
      <w:lang w:val="en-US" w:eastAsia="zh-CN" w:bidi="ar-SA"/>
    </w:rPr>
  </w:style>
  <w:style w:type="paragraph" w:styleId="8">
    <w:name w:val="heading 6"/>
    <w:next w:val="3"/>
    <w:link w:val="44"/>
    <w:qFormat/>
    <w:locked/>
    <w:uiPriority w:val="0"/>
    <w:pPr>
      <w:keepNext/>
      <w:keepLines/>
      <w:numPr>
        <w:ilvl w:val="5"/>
        <w:numId w:val="1"/>
      </w:numPr>
      <w:spacing w:line="360" w:lineRule="auto"/>
      <w:outlineLvl w:val="5"/>
    </w:pPr>
    <w:rPr>
      <w:rFonts w:ascii="宋体" w:hAnsi="Cambria" w:eastAsia="宋体" w:cs="Times New Roman"/>
      <w:bCs/>
      <w:kern w:val="2"/>
      <w:sz w:val="24"/>
      <w:szCs w:val="24"/>
      <w:lang w:val="en-US" w:eastAsia="zh-CN" w:bidi="ar-SA"/>
    </w:rPr>
  </w:style>
  <w:style w:type="paragraph" w:styleId="9">
    <w:name w:val="heading 7"/>
    <w:next w:val="3"/>
    <w:link w:val="45"/>
    <w:qFormat/>
    <w:locked/>
    <w:uiPriority w:val="0"/>
    <w:pPr>
      <w:keepNext/>
      <w:keepLines/>
      <w:numPr>
        <w:ilvl w:val="6"/>
        <w:numId w:val="1"/>
      </w:numPr>
      <w:spacing w:line="360" w:lineRule="auto"/>
      <w:outlineLvl w:val="6"/>
    </w:pPr>
    <w:rPr>
      <w:rFonts w:ascii="宋体" w:hAnsi="Calibri" w:eastAsia="宋体" w:cs="Times New Roman"/>
      <w:bCs/>
      <w:kern w:val="2"/>
      <w:sz w:val="24"/>
      <w:szCs w:val="24"/>
      <w:lang w:val="en-US" w:eastAsia="zh-CN" w:bidi="ar-SA"/>
    </w:rPr>
  </w:style>
  <w:style w:type="paragraph" w:styleId="10">
    <w:name w:val="heading 8"/>
    <w:next w:val="3"/>
    <w:link w:val="46"/>
    <w:qFormat/>
    <w:locked/>
    <w:uiPriority w:val="0"/>
    <w:pPr>
      <w:keepNext/>
      <w:keepLines/>
      <w:numPr>
        <w:ilvl w:val="7"/>
        <w:numId w:val="1"/>
      </w:numPr>
      <w:spacing w:line="360" w:lineRule="auto"/>
      <w:outlineLvl w:val="7"/>
    </w:pPr>
    <w:rPr>
      <w:rFonts w:ascii="宋体" w:hAnsi="Cambria" w:eastAsia="宋体" w:cs="Times New Roman"/>
      <w:kern w:val="2"/>
      <w:sz w:val="24"/>
      <w:szCs w:val="24"/>
      <w:lang w:val="en-US" w:eastAsia="zh-CN" w:bidi="ar-SA"/>
    </w:rPr>
  </w:style>
  <w:style w:type="paragraph" w:styleId="11">
    <w:name w:val="heading 9"/>
    <w:next w:val="3"/>
    <w:link w:val="47"/>
    <w:qFormat/>
    <w:locked/>
    <w:uiPriority w:val="0"/>
    <w:pPr>
      <w:keepNext/>
      <w:keepLines/>
      <w:numPr>
        <w:ilvl w:val="8"/>
        <w:numId w:val="1"/>
      </w:numPr>
      <w:spacing w:line="360" w:lineRule="auto"/>
      <w:outlineLvl w:val="8"/>
    </w:pPr>
    <w:rPr>
      <w:rFonts w:ascii="宋体" w:hAnsi="Cambria" w:eastAsia="宋体" w:cs="Times New Roman"/>
      <w:kern w:val="2"/>
      <w:sz w:val="24"/>
      <w:szCs w:val="21"/>
      <w:lang w:val="en-US" w:eastAsia="zh-CN" w:bidi="ar-SA"/>
    </w:rPr>
  </w:style>
  <w:style w:type="character" w:default="1" w:styleId="32">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3">
    <w:name w:val="SSEC 正文"/>
    <w:link w:val="39"/>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paragraph" w:styleId="12">
    <w:name w:val="caption"/>
    <w:next w:val="1"/>
    <w:link w:val="48"/>
    <w:qFormat/>
    <w:locked/>
    <w:uiPriority w:val="99"/>
    <w:pPr>
      <w:widowControl w:val="0"/>
      <w:adjustRightInd w:val="0"/>
      <w:snapToGrid w:val="0"/>
      <w:spacing w:beforeLines="50" w:line="360" w:lineRule="auto"/>
      <w:jc w:val="center"/>
    </w:pPr>
    <w:rPr>
      <w:rFonts w:ascii="宋体" w:hAnsi="Cambria" w:eastAsia="宋体" w:cs="Times New Roman"/>
      <w:kern w:val="2"/>
      <w:sz w:val="21"/>
      <w:lang w:val="en-US" w:eastAsia="zh-CN" w:bidi="ar-SA"/>
    </w:rPr>
  </w:style>
  <w:style w:type="paragraph" w:styleId="13">
    <w:name w:val="annotation text"/>
    <w:basedOn w:val="1"/>
    <w:link w:val="49"/>
    <w:unhideWhenUsed/>
    <w:uiPriority w:val="99"/>
    <w:pPr>
      <w:jc w:val="left"/>
    </w:pPr>
    <w:rPr>
      <w:rFonts w:ascii="Calibri" w:hAnsi="Calibri"/>
      <w:szCs w:val="21"/>
    </w:rPr>
  </w:style>
  <w:style w:type="paragraph" w:styleId="14">
    <w:name w:val="Body Text"/>
    <w:basedOn w:val="1"/>
    <w:link w:val="50"/>
    <w:qFormat/>
    <w:uiPriority w:val="0"/>
    <w:pPr>
      <w:widowControl/>
      <w:snapToGrid w:val="0"/>
      <w:spacing w:before="60" w:after="160" w:line="259" w:lineRule="auto"/>
      <w:ind w:right="113"/>
    </w:pPr>
    <w:rPr>
      <w:kern w:val="0"/>
      <w:sz w:val="18"/>
      <w:szCs w:val="18"/>
    </w:rPr>
  </w:style>
  <w:style w:type="paragraph" w:styleId="15">
    <w:name w:val="Body Text Indent"/>
    <w:basedOn w:val="1"/>
    <w:link w:val="51"/>
    <w:semiHidden/>
    <w:qFormat/>
    <w:uiPriority w:val="0"/>
    <w:pPr>
      <w:spacing w:after="120"/>
      <w:ind w:left="420" w:leftChars="200"/>
    </w:pPr>
  </w:style>
  <w:style w:type="paragraph" w:styleId="16">
    <w:name w:val="toc 3"/>
    <w:basedOn w:val="1"/>
    <w:next w:val="1"/>
    <w:unhideWhenUsed/>
    <w:qFormat/>
    <w:locked/>
    <w:uiPriority w:val="39"/>
    <w:pPr>
      <w:ind w:left="420"/>
      <w:jc w:val="left"/>
    </w:pPr>
    <w:rPr>
      <w:rFonts w:ascii="Calibri" w:hAnsi="Calibri" w:cs="Calibri"/>
      <w:sz w:val="20"/>
      <w:szCs w:val="20"/>
    </w:rPr>
  </w:style>
  <w:style w:type="paragraph" w:styleId="17">
    <w:name w:val="Plain Text"/>
    <w:basedOn w:val="1"/>
    <w:link w:val="52"/>
    <w:unhideWhenUsed/>
    <w:qFormat/>
    <w:uiPriority w:val="99"/>
    <w:rPr>
      <w:rFonts w:ascii="宋体" w:hAnsi="Courier New" w:cs="Courier New"/>
      <w:szCs w:val="21"/>
    </w:rPr>
  </w:style>
  <w:style w:type="paragraph" w:styleId="18">
    <w:name w:val="Date"/>
    <w:basedOn w:val="1"/>
    <w:next w:val="1"/>
    <w:link w:val="53"/>
    <w:qFormat/>
    <w:uiPriority w:val="0"/>
    <w:pPr>
      <w:ind w:left="100" w:leftChars="2500"/>
    </w:pPr>
    <w:rPr>
      <w:kern w:val="0"/>
      <w:sz w:val="20"/>
    </w:rPr>
  </w:style>
  <w:style w:type="paragraph" w:styleId="19">
    <w:name w:val="Body Text Indent 2"/>
    <w:basedOn w:val="1"/>
    <w:link w:val="54"/>
    <w:uiPriority w:val="0"/>
    <w:pPr>
      <w:spacing w:after="120" w:line="480" w:lineRule="auto"/>
      <w:ind w:left="420" w:leftChars="200"/>
    </w:pPr>
  </w:style>
  <w:style w:type="paragraph" w:styleId="20">
    <w:name w:val="Balloon Text"/>
    <w:basedOn w:val="1"/>
    <w:link w:val="55"/>
    <w:semiHidden/>
    <w:uiPriority w:val="0"/>
    <w:rPr>
      <w:sz w:val="18"/>
      <w:szCs w:val="18"/>
    </w:rPr>
  </w:style>
  <w:style w:type="paragraph" w:styleId="21">
    <w:name w:val="footer"/>
    <w:link w:val="56"/>
    <w:unhideWhenUsed/>
    <w:qFormat/>
    <w:uiPriority w:val="99"/>
    <w:pPr>
      <w:tabs>
        <w:tab w:val="center" w:pos="4153"/>
        <w:tab w:val="right" w:pos="8306"/>
      </w:tabs>
      <w:snapToGrid w:val="0"/>
      <w:textAlignment w:val="center"/>
    </w:pPr>
    <w:rPr>
      <w:rFonts w:ascii="宋体" w:hAnsi="Calibri" w:eastAsia="宋体" w:cs="Times New Roman"/>
      <w:kern w:val="2"/>
      <w:sz w:val="18"/>
      <w:szCs w:val="18"/>
      <w:lang w:val="en-US" w:eastAsia="zh-CN" w:bidi="ar-SA"/>
    </w:rPr>
  </w:style>
  <w:style w:type="paragraph" w:styleId="22">
    <w:name w:val="header"/>
    <w:link w:val="57"/>
    <w:unhideWhenUsed/>
    <w:qFormat/>
    <w:uiPriority w:val="99"/>
    <w:pPr>
      <w:pBdr>
        <w:bottom w:val="single" w:color="auto" w:sz="4" w:space="1"/>
      </w:pBdr>
      <w:tabs>
        <w:tab w:val="center" w:pos="4153"/>
        <w:tab w:val="right" w:pos="8306"/>
      </w:tabs>
      <w:snapToGrid w:val="0"/>
      <w:jc w:val="center"/>
    </w:pPr>
    <w:rPr>
      <w:rFonts w:ascii="宋体" w:hAnsi="Calibri" w:eastAsia="宋体" w:cs="Times New Roman"/>
      <w:kern w:val="2"/>
      <w:sz w:val="18"/>
      <w:szCs w:val="18"/>
      <w:lang w:val="en-US" w:eastAsia="zh-CN" w:bidi="ar-SA"/>
    </w:rPr>
  </w:style>
  <w:style w:type="paragraph" w:styleId="23">
    <w:name w:val="toc 1"/>
    <w:next w:val="1"/>
    <w:link w:val="58"/>
    <w:unhideWhenUsed/>
    <w:qFormat/>
    <w:locked/>
    <w:uiPriority w:val="39"/>
    <w:pPr>
      <w:adjustRightInd w:val="0"/>
      <w:snapToGrid w:val="0"/>
      <w:spacing w:line="360" w:lineRule="auto"/>
      <w:jc w:val="both"/>
    </w:pPr>
    <w:rPr>
      <w:rFonts w:ascii="黑体" w:hAnsi="Calibri" w:eastAsia="宋体" w:cs="Calibri"/>
      <w:b/>
      <w:bCs/>
      <w:kern w:val="2"/>
      <w:sz w:val="28"/>
      <w:lang w:val="en-US" w:eastAsia="zh-CN" w:bidi="ar-SA"/>
    </w:rPr>
  </w:style>
  <w:style w:type="paragraph" w:styleId="24">
    <w:name w:val="toc 2"/>
    <w:next w:val="1"/>
    <w:link w:val="59"/>
    <w:unhideWhenUsed/>
    <w:qFormat/>
    <w:locked/>
    <w:uiPriority w:val="39"/>
    <w:pPr>
      <w:adjustRightInd w:val="0"/>
      <w:snapToGrid w:val="0"/>
      <w:spacing w:line="360" w:lineRule="auto"/>
      <w:ind w:left="420" w:leftChars="200"/>
      <w:jc w:val="both"/>
    </w:pPr>
    <w:rPr>
      <w:rFonts w:ascii="黑体" w:hAnsi="Calibri" w:eastAsia="宋体" w:cs="Calibri"/>
      <w:iCs/>
      <w:kern w:val="2"/>
      <w:sz w:val="24"/>
      <w:lang w:val="en-US" w:eastAsia="zh-CN" w:bidi="ar-SA"/>
    </w:rPr>
  </w:style>
  <w:style w:type="paragraph" w:styleId="25">
    <w:name w:val="HTML Preformatted"/>
    <w:basedOn w:val="1"/>
    <w:link w:val="6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6">
    <w:name w:val="Normal (Web)"/>
    <w:basedOn w:val="1"/>
    <w:link w:val="61"/>
    <w:qFormat/>
    <w:uiPriority w:val="99"/>
    <w:pPr>
      <w:widowControl/>
      <w:spacing w:before="100" w:beforeAutospacing="1" w:after="100" w:afterAutospacing="1"/>
      <w:jc w:val="left"/>
    </w:pPr>
    <w:rPr>
      <w:rFonts w:ascii="宋体" w:hAnsi="宋体"/>
      <w:kern w:val="0"/>
      <w:sz w:val="24"/>
    </w:rPr>
  </w:style>
  <w:style w:type="paragraph" w:styleId="27">
    <w:name w:val="Title"/>
    <w:basedOn w:val="1"/>
    <w:next w:val="1"/>
    <w:link w:val="62"/>
    <w:qFormat/>
    <w:locked/>
    <w:uiPriority w:val="10"/>
    <w:pPr>
      <w:spacing w:before="240" w:after="60"/>
      <w:jc w:val="center"/>
      <w:outlineLvl w:val="0"/>
    </w:pPr>
    <w:rPr>
      <w:rFonts w:ascii="Cambria" w:hAnsi="Cambria"/>
      <w:b/>
      <w:bCs/>
      <w:sz w:val="32"/>
      <w:szCs w:val="32"/>
    </w:rPr>
  </w:style>
  <w:style w:type="paragraph" w:styleId="28">
    <w:name w:val="annotation subject"/>
    <w:basedOn w:val="13"/>
    <w:next w:val="13"/>
    <w:link w:val="63"/>
    <w:unhideWhenUsed/>
    <w:qFormat/>
    <w:uiPriority w:val="99"/>
    <w:rPr>
      <w:b/>
      <w:bCs/>
    </w:rPr>
  </w:style>
  <w:style w:type="table" w:styleId="30">
    <w:name w:val="Table Grid"/>
    <w:basedOn w:val="29"/>
    <w:qFormat/>
    <w:uiPriority w:val="0"/>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Classic 2"/>
    <w:basedOn w:val="29"/>
    <w:unhideWhenUsed/>
    <w:qFormat/>
    <w:uiPriority w:val="99"/>
    <w:pPr>
      <w:widowControl w:val="0"/>
      <w:jc w:val="both"/>
    </w:pPr>
    <w:rPr>
      <w:rFonts w:ascii="宋体" w:hAnsi="宋体"/>
      <w:kern w:val="2"/>
      <w:sz w:val="21"/>
      <w:szCs w:val="21"/>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character" w:styleId="33">
    <w:name w:val="Strong"/>
    <w:qFormat/>
    <w:locked/>
    <w:uiPriority w:val="22"/>
    <w:rPr>
      <w:b/>
      <w:bCs/>
    </w:rPr>
  </w:style>
  <w:style w:type="character" w:styleId="34">
    <w:name w:val="page number"/>
    <w:qFormat/>
    <w:uiPriority w:val="0"/>
  </w:style>
  <w:style w:type="character" w:styleId="35">
    <w:name w:val="Emphasis"/>
    <w:qFormat/>
    <w:locked/>
    <w:uiPriority w:val="20"/>
    <w:rPr>
      <w:i/>
      <w:iCs/>
    </w:rPr>
  </w:style>
  <w:style w:type="character" w:styleId="36">
    <w:name w:val="Hyperlink"/>
    <w:unhideWhenUsed/>
    <w:qFormat/>
    <w:uiPriority w:val="99"/>
    <w:rPr>
      <w:color w:val="0000FF"/>
      <w:u w:val="single"/>
    </w:rPr>
  </w:style>
  <w:style w:type="character" w:styleId="37">
    <w:name w:val="annotation reference"/>
    <w:unhideWhenUsed/>
    <w:qFormat/>
    <w:uiPriority w:val="99"/>
    <w:rPr>
      <w:sz w:val="21"/>
      <w:szCs w:val="21"/>
    </w:rPr>
  </w:style>
  <w:style w:type="character" w:customStyle="1" w:styleId="38">
    <w:name w:val="标题 1 字符"/>
    <w:link w:val="2"/>
    <w:qFormat/>
    <w:uiPriority w:val="0"/>
    <w:rPr>
      <w:rFonts w:ascii="黑体" w:eastAsia="黑体"/>
      <w:kern w:val="44"/>
      <w:sz w:val="30"/>
      <w:szCs w:val="44"/>
    </w:rPr>
  </w:style>
  <w:style w:type="character" w:customStyle="1" w:styleId="39">
    <w:name w:val="SSEC 正文 字符"/>
    <w:link w:val="3"/>
    <w:qFormat/>
    <w:uiPriority w:val="0"/>
    <w:rPr>
      <w:rFonts w:ascii="宋体" w:hAnsi="宋体"/>
      <w:kern w:val="2"/>
      <w:sz w:val="24"/>
      <w:szCs w:val="24"/>
    </w:rPr>
  </w:style>
  <w:style w:type="character" w:customStyle="1" w:styleId="40">
    <w:name w:val="标题 2 字符"/>
    <w:link w:val="4"/>
    <w:uiPriority w:val="0"/>
    <w:rPr>
      <w:rFonts w:ascii="黑体" w:hAnsi="Cambria" w:eastAsia="黑体"/>
      <w:bCs/>
      <w:kern w:val="2"/>
      <w:sz w:val="28"/>
      <w:szCs w:val="32"/>
    </w:rPr>
  </w:style>
  <w:style w:type="character" w:customStyle="1" w:styleId="41">
    <w:name w:val="标题 3 字符"/>
    <w:link w:val="5"/>
    <w:qFormat/>
    <w:uiPriority w:val="0"/>
    <w:rPr>
      <w:rFonts w:ascii="黑体" w:hAnsi="Calibri" w:eastAsia="黑体"/>
      <w:bCs/>
      <w:kern w:val="2"/>
      <w:sz w:val="24"/>
      <w:szCs w:val="32"/>
    </w:rPr>
  </w:style>
  <w:style w:type="character" w:customStyle="1" w:styleId="42">
    <w:name w:val="标题 4 字符"/>
    <w:link w:val="6"/>
    <w:uiPriority w:val="0"/>
    <w:rPr>
      <w:rFonts w:ascii="宋体" w:hAnsi="Cambria"/>
      <w:b/>
      <w:bCs/>
      <w:kern w:val="2"/>
      <w:sz w:val="24"/>
      <w:szCs w:val="28"/>
    </w:rPr>
  </w:style>
  <w:style w:type="character" w:customStyle="1" w:styleId="43">
    <w:name w:val="标题 5 字符"/>
    <w:link w:val="7"/>
    <w:qFormat/>
    <w:uiPriority w:val="0"/>
    <w:rPr>
      <w:rFonts w:ascii="宋体" w:hAnsi="Calibri"/>
      <w:bCs/>
      <w:kern w:val="2"/>
      <w:sz w:val="24"/>
      <w:szCs w:val="28"/>
    </w:rPr>
  </w:style>
  <w:style w:type="character" w:customStyle="1" w:styleId="44">
    <w:name w:val="标题 6 字符"/>
    <w:link w:val="8"/>
    <w:qFormat/>
    <w:uiPriority w:val="0"/>
    <w:rPr>
      <w:rFonts w:ascii="宋体" w:hAnsi="Cambria"/>
      <w:bCs/>
      <w:kern w:val="2"/>
      <w:sz w:val="24"/>
      <w:szCs w:val="24"/>
    </w:rPr>
  </w:style>
  <w:style w:type="character" w:customStyle="1" w:styleId="45">
    <w:name w:val="标题 7 字符"/>
    <w:link w:val="9"/>
    <w:qFormat/>
    <w:uiPriority w:val="0"/>
    <w:rPr>
      <w:rFonts w:ascii="宋体" w:hAnsi="Calibri"/>
      <w:bCs/>
      <w:kern w:val="2"/>
      <w:sz w:val="24"/>
      <w:szCs w:val="24"/>
    </w:rPr>
  </w:style>
  <w:style w:type="character" w:customStyle="1" w:styleId="46">
    <w:name w:val="标题 8 字符"/>
    <w:link w:val="10"/>
    <w:qFormat/>
    <w:uiPriority w:val="0"/>
    <w:rPr>
      <w:rFonts w:ascii="宋体" w:hAnsi="Cambria"/>
      <w:kern w:val="2"/>
      <w:sz w:val="24"/>
      <w:szCs w:val="24"/>
    </w:rPr>
  </w:style>
  <w:style w:type="character" w:customStyle="1" w:styleId="47">
    <w:name w:val="标题 9 字符"/>
    <w:link w:val="11"/>
    <w:uiPriority w:val="0"/>
    <w:rPr>
      <w:rFonts w:ascii="宋体" w:hAnsi="Cambria"/>
      <w:kern w:val="2"/>
      <w:sz w:val="24"/>
      <w:szCs w:val="21"/>
    </w:rPr>
  </w:style>
  <w:style w:type="character" w:customStyle="1" w:styleId="48">
    <w:name w:val="题注 字符"/>
    <w:link w:val="12"/>
    <w:qFormat/>
    <w:uiPriority w:val="99"/>
    <w:rPr>
      <w:rFonts w:ascii="宋体" w:hAnsi="Cambria"/>
      <w:kern w:val="2"/>
      <w:sz w:val="21"/>
    </w:rPr>
  </w:style>
  <w:style w:type="character" w:customStyle="1" w:styleId="49">
    <w:name w:val="批注文字 字符"/>
    <w:link w:val="13"/>
    <w:semiHidden/>
    <w:locked/>
    <w:uiPriority w:val="99"/>
    <w:rPr>
      <w:rFonts w:ascii="Calibri" w:hAnsi="Calibri"/>
      <w:kern w:val="2"/>
      <w:sz w:val="21"/>
      <w:szCs w:val="21"/>
    </w:rPr>
  </w:style>
  <w:style w:type="character" w:customStyle="1" w:styleId="50">
    <w:name w:val="正文文本 字符"/>
    <w:link w:val="14"/>
    <w:qFormat/>
    <w:locked/>
    <w:uiPriority w:val="0"/>
    <w:rPr>
      <w:sz w:val="18"/>
    </w:rPr>
  </w:style>
  <w:style w:type="character" w:customStyle="1" w:styleId="51">
    <w:name w:val="正文文本缩进 字符"/>
    <w:link w:val="15"/>
    <w:semiHidden/>
    <w:locked/>
    <w:uiPriority w:val="0"/>
    <w:rPr>
      <w:rFonts w:ascii="Times New Roman" w:hAnsi="Times New Roman" w:eastAsia="宋体" w:cs="Times New Roman"/>
      <w:sz w:val="24"/>
      <w:szCs w:val="24"/>
    </w:rPr>
  </w:style>
  <w:style w:type="character" w:customStyle="1" w:styleId="52">
    <w:name w:val="纯文本 字符"/>
    <w:link w:val="17"/>
    <w:uiPriority w:val="99"/>
    <w:rPr>
      <w:rFonts w:ascii="宋体" w:hAnsi="Courier New" w:cs="Courier New"/>
      <w:kern w:val="2"/>
      <w:sz w:val="21"/>
      <w:szCs w:val="21"/>
    </w:rPr>
  </w:style>
  <w:style w:type="character" w:customStyle="1" w:styleId="53">
    <w:name w:val="日期 字符1"/>
    <w:link w:val="18"/>
    <w:qFormat/>
    <w:locked/>
    <w:uiPriority w:val="0"/>
    <w:rPr>
      <w:rFonts w:ascii="Times New Roman" w:hAnsi="Times New Roman" w:eastAsia="宋体"/>
      <w:sz w:val="24"/>
    </w:rPr>
  </w:style>
  <w:style w:type="character" w:customStyle="1" w:styleId="54">
    <w:name w:val="正文文本缩进 2 字符"/>
    <w:link w:val="19"/>
    <w:qFormat/>
    <w:uiPriority w:val="0"/>
    <w:rPr>
      <w:kern w:val="2"/>
      <w:sz w:val="21"/>
      <w:szCs w:val="24"/>
    </w:rPr>
  </w:style>
  <w:style w:type="character" w:customStyle="1" w:styleId="55">
    <w:name w:val="批注框文本 字符"/>
    <w:link w:val="20"/>
    <w:semiHidden/>
    <w:qFormat/>
    <w:locked/>
    <w:uiPriority w:val="0"/>
    <w:rPr>
      <w:kern w:val="2"/>
      <w:sz w:val="18"/>
      <w:szCs w:val="18"/>
    </w:rPr>
  </w:style>
  <w:style w:type="character" w:customStyle="1" w:styleId="56">
    <w:name w:val="页脚 字符"/>
    <w:link w:val="21"/>
    <w:qFormat/>
    <w:locked/>
    <w:uiPriority w:val="99"/>
    <w:rPr>
      <w:rFonts w:ascii="宋体" w:hAnsi="Calibri"/>
      <w:kern w:val="2"/>
      <w:sz w:val="18"/>
      <w:szCs w:val="18"/>
    </w:rPr>
  </w:style>
  <w:style w:type="character" w:customStyle="1" w:styleId="57">
    <w:name w:val="页眉 字符"/>
    <w:link w:val="22"/>
    <w:qFormat/>
    <w:locked/>
    <w:uiPriority w:val="99"/>
    <w:rPr>
      <w:rFonts w:ascii="宋体" w:hAnsi="Calibri"/>
      <w:kern w:val="2"/>
      <w:sz w:val="18"/>
      <w:szCs w:val="18"/>
    </w:rPr>
  </w:style>
  <w:style w:type="character" w:customStyle="1" w:styleId="58">
    <w:name w:val="TOC 1 字符"/>
    <w:link w:val="23"/>
    <w:uiPriority w:val="39"/>
    <w:rPr>
      <w:rFonts w:ascii="黑体" w:hAnsi="Calibri" w:cs="Calibri"/>
      <w:b/>
      <w:bCs/>
      <w:kern w:val="2"/>
      <w:sz w:val="28"/>
    </w:rPr>
  </w:style>
  <w:style w:type="character" w:customStyle="1" w:styleId="59">
    <w:name w:val="TOC 2 字符"/>
    <w:link w:val="24"/>
    <w:qFormat/>
    <w:uiPriority w:val="39"/>
    <w:rPr>
      <w:rFonts w:ascii="黑体" w:hAnsi="Calibri" w:cs="Calibri"/>
      <w:iCs/>
      <w:kern w:val="2"/>
      <w:sz w:val="24"/>
      <w:lang w:val="en-US" w:eastAsia="zh-CN"/>
    </w:rPr>
  </w:style>
  <w:style w:type="character" w:customStyle="1" w:styleId="60">
    <w:name w:val="HTML 预设格式 字符"/>
    <w:link w:val="25"/>
    <w:qFormat/>
    <w:uiPriority w:val="99"/>
    <w:rPr>
      <w:rFonts w:ascii="宋体" w:hAnsi="宋体" w:cs="宋体"/>
      <w:sz w:val="24"/>
      <w:szCs w:val="24"/>
    </w:rPr>
  </w:style>
  <w:style w:type="character" w:customStyle="1" w:styleId="61">
    <w:name w:val="普通(网站) 字符"/>
    <w:link w:val="26"/>
    <w:locked/>
    <w:uiPriority w:val="0"/>
    <w:rPr>
      <w:rFonts w:ascii="宋体" w:hAnsi="宋体" w:eastAsia="宋体"/>
      <w:sz w:val="24"/>
    </w:rPr>
  </w:style>
  <w:style w:type="character" w:customStyle="1" w:styleId="62">
    <w:name w:val="标题 字符"/>
    <w:link w:val="27"/>
    <w:uiPriority w:val="10"/>
    <w:rPr>
      <w:rFonts w:ascii="Cambria" w:hAnsi="Cambria"/>
      <w:b/>
      <w:bCs/>
      <w:kern w:val="2"/>
      <w:sz w:val="32"/>
      <w:szCs w:val="32"/>
    </w:rPr>
  </w:style>
  <w:style w:type="character" w:customStyle="1" w:styleId="63">
    <w:name w:val="批注主题 字符"/>
    <w:link w:val="28"/>
    <w:semiHidden/>
    <w:locked/>
    <w:uiPriority w:val="99"/>
    <w:rPr>
      <w:rFonts w:ascii="Calibri" w:hAnsi="Calibri"/>
      <w:b/>
      <w:bCs/>
      <w:kern w:val="2"/>
      <w:sz w:val="21"/>
      <w:szCs w:val="21"/>
    </w:rPr>
  </w:style>
  <w:style w:type="character" w:customStyle="1" w:styleId="64">
    <w:name w:val="日期 字符"/>
    <w:qFormat/>
    <w:uiPriority w:val="0"/>
    <w:rPr>
      <w:rFonts w:ascii="Times New Roman" w:hAnsi="Times New Roman" w:eastAsia="宋体" w:cs="Times New Roman"/>
      <w:sz w:val="24"/>
      <w:szCs w:val="24"/>
    </w:rPr>
  </w:style>
  <w:style w:type="character" w:customStyle="1" w:styleId="65">
    <w:name w:val="正文文本 字符1"/>
    <w:semiHidden/>
    <w:uiPriority w:val="0"/>
    <w:rPr>
      <w:rFonts w:ascii="Times New Roman" w:hAnsi="Times New Roman" w:eastAsia="宋体" w:cs="Times New Roman"/>
      <w:sz w:val="24"/>
      <w:szCs w:val="24"/>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7">
    <w:name w:val="表格 Char"/>
    <w:link w:val="68"/>
    <w:locked/>
    <w:uiPriority w:val="0"/>
    <w:rPr>
      <w:rFonts w:ascii="宋体"/>
      <w:sz w:val="21"/>
    </w:rPr>
  </w:style>
  <w:style w:type="paragraph" w:customStyle="1" w:styleId="68">
    <w:name w:val="表格"/>
    <w:basedOn w:val="1"/>
    <w:next w:val="1"/>
    <w:link w:val="67"/>
    <w:qFormat/>
    <w:uiPriority w:val="0"/>
    <w:pPr>
      <w:adjustRightInd w:val="0"/>
      <w:snapToGrid w:val="0"/>
      <w:spacing w:beforeLines="10" w:afterLines="10" w:line="259" w:lineRule="auto"/>
      <w:jc w:val="center"/>
    </w:pPr>
    <w:rPr>
      <w:rFonts w:ascii="宋体"/>
      <w:kern w:val="0"/>
      <w:sz w:val="20"/>
      <w:szCs w:val="21"/>
    </w:rPr>
  </w:style>
  <w:style w:type="character" w:customStyle="1" w:styleId="69">
    <w:name w:val="批注文字 字符1"/>
    <w:semiHidden/>
    <w:uiPriority w:val="0"/>
    <w:rPr>
      <w:rFonts w:ascii="Times New Roman" w:hAnsi="Times New Roman" w:eastAsia="宋体" w:cs="Times New Roman"/>
      <w:sz w:val="24"/>
      <w:szCs w:val="24"/>
    </w:rPr>
  </w:style>
  <w:style w:type="character" w:customStyle="1" w:styleId="70">
    <w:name w:val="普通(网站) Char"/>
    <w:qFormat/>
    <w:locked/>
    <w:uiPriority w:val="0"/>
    <w:rPr>
      <w:rFonts w:ascii="宋体" w:hAnsi="宋体" w:eastAsia="宋体"/>
      <w:sz w:val="24"/>
    </w:rPr>
  </w:style>
  <w:style w:type="paragraph" w:customStyle="1" w:styleId="71">
    <w:name w:val="SSEC 1级序号"/>
    <w:link w:val="72"/>
    <w:qFormat/>
    <w:uiPriority w:val="0"/>
    <w:pPr>
      <w:widowControl w:val="0"/>
      <w:numPr>
        <w:ilvl w:val="0"/>
        <w:numId w:val="2"/>
      </w:numPr>
      <w:adjustRightInd w:val="0"/>
      <w:snapToGrid w:val="0"/>
      <w:spacing w:line="331" w:lineRule="auto"/>
      <w:jc w:val="both"/>
    </w:pPr>
    <w:rPr>
      <w:rFonts w:ascii="宋体" w:hAnsi="宋体" w:eastAsia="宋体" w:cs="Times New Roman"/>
      <w:kern w:val="2"/>
      <w:sz w:val="24"/>
      <w:szCs w:val="24"/>
      <w:lang w:val="en-US" w:eastAsia="zh-CN" w:bidi="ar-SA"/>
    </w:rPr>
  </w:style>
  <w:style w:type="character" w:customStyle="1" w:styleId="72">
    <w:name w:val="SSEC 1级序号 字符"/>
    <w:link w:val="71"/>
    <w:qFormat/>
    <w:uiPriority w:val="0"/>
    <w:rPr>
      <w:rFonts w:ascii="宋体" w:hAnsi="宋体"/>
      <w:kern w:val="2"/>
      <w:sz w:val="24"/>
      <w:szCs w:val="24"/>
    </w:rPr>
  </w:style>
  <w:style w:type="paragraph" w:customStyle="1" w:styleId="73">
    <w:name w:val="SSEC 2级序号"/>
    <w:basedOn w:val="71"/>
    <w:link w:val="74"/>
    <w:qFormat/>
    <w:uiPriority w:val="0"/>
    <w:pPr>
      <w:numPr>
        <w:ilvl w:val="1"/>
      </w:numPr>
    </w:pPr>
  </w:style>
  <w:style w:type="character" w:customStyle="1" w:styleId="74">
    <w:name w:val="SSEC 2级序号 字符"/>
    <w:link w:val="73"/>
    <w:qFormat/>
    <w:uiPriority w:val="0"/>
    <w:rPr>
      <w:rFonts w:ascii="宋体" w:hAnsi="宋体"/>
      <w:kern w:val="2"/>
      <w:sz w:val="24"/>
      <w:szCs w:val="24"/>
    </w:rPr>
  </w:style>
  <w:style w:type="paragraph" w:customStyle="1" w:styleId="75">
    <w:name w:val="SSEC 3级序号"/>
    <w:basedOn w:val="71"/>
    <w:link w:val="76"/>
    <w:qFormat/>
    <w:uiPriority w:val="0"/>
    <w:pPr>
      <w:numPr>
        <w:ilvl w:val="2"/>
      </w:numPr>
    </w:pPr>
  </w:style>
  <w:style w:type="character" w:customStyle="1" w:styleId="76">
    <w:name w:val="SSEC 3级序号 字符"/>
    <w:link w:val="75"/>
    <w:qFormat/>
    <w:uiPriority w:val="0"/>
    <w:rPr>
      <w:rFonts w:ascii="宋体" w:hAnsi="宋体"/>
      <w:kern w:val="2"/>
      <w:sz w:val="24"/>
      <w:szCs w:val="24"/>
    </w:rPr>
  </w:style>
  <w:style w:type="paragraph" w:customStyle="1" w:styleId="77">
    <w:name w:val="SSEC 4级序号"/>
    <w:basedOn w:val="71"/>
    <w:link w:val="78"/>
    <w:qFormat/>
    <w:uiPriority w:val="0"/>
    <w:pPr>
      <w:numPr>
        <w:ilvl w:val="3"/>
      </w:numPr>
    </w:pPr>
  </w:style>
  <w:style w:type="character" w:customStyle="1" w:styleId="78">
    <w:name w:val="SSEC 4级序号 字符"/>
    <w:link w:val="77"/>
    <w:uiPriority w:val="0"/>
    <w:rPr>
      <w:rFonts w:ascii="宋体" w:hAnsi="宋体"/>
      <w:kern w:val="2"/>
      <w:sz w:val="24"/>
      <w:szCs w:val="24"/>
    </w:rPr>
  </w:style>
  <w:style w:type="paragraph" w:customStyle="1" w:styleId="79">
    <w:name w:val="SSEC 5级序号"/>
    <w:basedOn w:val="71"/>
    <w:link w:val="80"/>
    <w:qFormat/>
    <w:uiPriority w:val="0"/>
    <w:pPr>
      <w:numPr>
        <w:ilvl w:val="4"/>
      </w:numPr>
    </w:pPr>
  </w:style>
  <w:style w:type="character" w:customStyle="1" w:styleId="80">
    <w:name w:val="SSEC 5级序号 字符"/>
    <w:link w:val="79"/>
    <w:qFormat/>
    <w:uiPriority w:val="0"/>
    <w:rPr>
      <w:rFonts w:ascii="宋体" w:hAnsi="宋体"/>
      <w:kern w:val="2"/>
      <w:sz w:val="24"/>
      <w:szCs w:val="24"/>
    </w:rPr>
  </w:style>
  <w:style w:type="paragraph" w:customStyle="1" w:styleId="81">
    <w:name w:val="SSEC 6级序号"/>
    <w:basedOn w:val="71"/>
    <w:link w:val="82"/>
    <w:qFormat/>
    <w:uiPriority w:val="0"/>
    <w:pPr>
      <w:numPr>
        <w:ilvl w:val="5"/>
      </w:numPr>
    </w:pPr>
  </w:style>
  <w:style w:type="character" w:customStyle="1" w:styleId="82">
    <w:name w:val="SSEC 6级序号 字符"/>
    <w:link w:val="81"/>
    <w:qFormat/>
    <w:uiPriority w:val="0"/>
    <w:rPr>
      <w:rFonts w:ascii="宋体" w:hAnsi="宋体"/>
      <w:kern w:val="2"/>
      <w:sz w:val="24"/>
      <w:szCs w:val="24"/>
    </w:rPr>
  </w:style>
  <w:style w:type="paragraph" w:customStyle="1" w:styleId="83">
    <w:name w:val="SSEC 7级序号"/>
    <w:basedOn w:val="71"/>
    <w:link w:val="84"/>
    <w:qFormat/>
    <w:uiPriority w:val="0"/>
    <w:pPr>
      <w:numPr>
        <w:ilvl w:val="6"/>
      </w:numPr>
    </w:pPr>
  </w:style>
  <w:style w:type="character" w:customStyle="1" w:styleId="84">
    <w:name w:val="SSEC 7级序号 字符"/>
    <w:link w:val="83"/>
    <w:qFormat/>
    <w:uiPriority w:val="0"/>
    <w:rPr>
      <w:rFonts w:ascii="宋体" w:hAnsi="宋体"/>
      <w:kern w:val="2"/>
      <w:sz w:val="24"/>
      <w:szCs w:val="24"/>
    </w:rPr>
  </w:style>
  <w:style w:type="paragraph" w:customStyle="1" w:styleId="85">
    <w:name w:val="SSEC 表内序号"/>
    <w:link w:val="86"/>
    <w:qFormat/>
    <w:uiPriority w:val="0"/>
    <w:pPr>
      <w:widowControl w:val="0"/>
      <w:numPr>
        <w:ilvl w:val="0"/>
        <w:numId w:val="3"/>
      </w:numPr>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86">
    <w:name w:val="SSEC 表内序号 字符"/>
    <w:link w:val="85"/>
    <w:qFormat/>
    <w:uiPriority w:val="0"/>
    <w:rPr>
      <w:rFonts w:ascii="宋体"/>
      <w:kern w:val="2"/>
      <w:sz w:val="21"/>
      <w:szCs w:val="21"/>
    </w:rPr>
  </w:style>
  <w:style w:type="paragraph" w:customStyle="1" w:styleId="87">
    <w:name w:val="SSEC 表字居中"/>
    <w:link w:val="88"/>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88">
    <w:name w:val="SSEC 表字居中 字符"/>
    <w:link w:val="87"/>
    <w:qFormat/>
    <w:uiPriority w:val="0"/>
    <w:rPr>
      <w:rFonts w:ascii="宋体"/>
      <w:kern w:val="2"/>
      <w:sz w:val="21"/>
      <w:szCs w:val="21"/>
    </w:rPr>
  </w:style>
  <w:style w:type="paragraph" w:customStyle="1" w:styleId="89">
    <w:name w:val="SSEC 表字居左"/>
    <w:link w:val="90"/>
    <w:qFormat/>
    <w:uiPriority w:val="0"/>
    <w:pPr>
      <w:keepNext/>
      <w:widowControl w:val="0"/>
      <w:adjustRightInd w:val="0"/>
      <w:snapToGrid w:val="0"/>
      <w:spacing w:line="331" w:lineRule="auto"/>
      <w:ind w:firstLine="200" w:firstLineChars="200"/>
    </w:pPr>
    <w:rPr>
      <w:rFonts w:ascii="宋体" w:hAnsi="Calibri" w:eastAsia="宋体" w:cs="Times New Roman"/>
      <w:kern w:val="2"/>
      <w:sz w:val="21"/>
      <w:szCs w:val="21"/>
      <w:lang w:val="en-US" w:eastAsia="zh-CN" w:bidi="ar-SA"/>
    </w:rPr>
  </w:style>
  <w:style w:type="character" w:customStyle="1" w:styleId="90">
    <w:name w:val="SSEC 表字居左 字符"/>
    <w:link w:val="89"/>
    <w:qFormat/>
    <w:uiPriority w:val="0"/>
    <w:rPr>
      <w:rFonts w:ascii="宋体" w:hAnsi="Calibri"/>
      <w:kern w:val="2"/>
      <w:sz w:val="21"/>
      <w:szCs w:val="21"/>
    </w:rPr>
  </w:style>
  <w:style w:type="paragraph" w:customStyle="1" w:styleId="91">
    <w:name w:val="SSEC 目录名"/>
    <w:link w:val="92"/>
    <w:qFormat/>
    <w:uiPriority w:val="0"/>
    <w:pPr>
      <w:widowControl w:val="0"/>
      <w:adjustRightInd w:val="0"/>
      <w:snapToGrid w:val="0"/>
      <w:spacing w:before="100" w:beforeAutospacing="1" w:line="360" w:lineRule="auto"/>
      <w:jc w:val="center"/>
    </w:pPr>
    <w:rPr>
      <w:rFonts w:ascii="黑体" w:hAnsi="黑体" w:eastAsia="黑体" w:cs="Times New Roman"/>
      <w:kern w:val="2"/>
      <w:sz w:val="32"/>
      <w:szCs w:val="30"/>
      <w:lang w:val="en-US" w:eastAsia="zh-CN" w:bidi="ar-SA"/>
    </w:rPr>
  </w:style>
  <w:style w:type="character" w:customStyle="1" w:styleId="92">
    <w:name w:val="SSEC 目录名 字符"/>
    <w:link w:val="91"/>
    <w:qFormat/>
    <w:uiPriority w:val="0"/>
    <w:rPr>
      <w:rFonts w:ascii="黑体" w:hAnsi="黑体" w:eastAsia="黑体"/>
      <w:kern w:val="2"/>
      <w:sz w:val="32"/>
      <w:szCs w:val="30"/>
    </w:rPr>
  </w:style>
  <w:style w:type="table" w:customStyle="1" w:styleId="93">
    <w:name w:val="SSEC表格样式"/>
    <w:basedOn w:val="29"/>
    <w:qFormat/>
    <w:uiPriority w:val="99"/>
    <w:pPr>
      <w:adjustRightInd w:val="0"/>
      <w:snapToGrid w:val="0"/>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94">
    <w:name w:val="附表"/>
    <w:basedOn w:val="1"/>
    <w:link w:val="95"/>
    <w:qFormat/>
    <w:uiPriority w:val="0"/>
    <w:pPr>
      <w:keepNext/>
      <w:numPr>
        <w:ilvl w:val="0"/>
        <w:numId w:val="4"/>
      </w:numPr>
      <w:outlineLvl w:val="1"/>
    </w:pPr>
    <w:rPr>
      <w:rFonts w:ascii="黑体" w:hAnsi="黑体" w:eastAsia="黑体"/>
      <w:sz w:val="28"/>
      <w:szCs w:val="28"/>
    </w:rPr>
  </w:style>
  <w:style w:type="character" w:customStyle="1" w:styleId="95">
    <w:name w:val="附表 Char"/>
    <w:link w:val="94"/>
    <w:qFormat/>
    <w:uiPriority w:val="0"/>
    <w:rPr>
      <w:rFonts w:ascii="黑体" w:hAnsi="黑体" w:eastAsia="黑体"/>
      <w:kern w:val="2"/>
      <w:sz w:val="28"/>
      <w:szCs w:val="28"/>
    </w:rPr>
  </w:style>
  <w:style w:type="paragraph" w:customStyle="1" w:styleId="96">
    <w:name w:val="附件"/>
    <w:basedOn w:val="4"/>
    <w:link w:val="97"/>
    <w:qFormat/>
    <w:uiPriority w:val="0"/>
    <w:pPr>
      <w:numPr>
        <w:ilvl w:val="0"/>
        <w:numId w:val="5"/>
      </w:numPr>
      <w:adjustRightInd/>
      <w:snapToGrid/>
      <w:spacing w:before="0" w:beforeAutospacing="0" w:line="240" w:lineRule="auto"/>
    </w:pPr>
  </w:style>
  <w:style w:type="character" w:customStyle="1" w:styleId="97">
    <w:name w:val="附件 Char"/>
    <w:link w:val="96"/>
    <w:qFormat/>
    <w:uiPriority w:val="0"/>
    <w:rPr>
      <w:rFonts w:ascii="黑体" w:hAnsi="Cambria" w:eastAsia="黑体"/>
      <w:bCs/>
      <w:kern w:val="2"/>
      <w:sz w:val="28"/>
      <w:szCs w:val="32"/>
    </w:rPr>
  </w:style>
  <w:style w:type="paragraph" w:customStyle="1" w:styleId="98">
    <w:name w:val="附图"/>
    <w:link w:val="99"/>
    <w:qFormat/>
    <w:uiPriority w:val="0"/>
    <w:pPr>
      <w:keepNext/>
      <w:numPr>
        <w:ilvl w:val="0"/>
        <w:numId w:val="6"/>
      </w:numPr>
      <w:outlineLvl w:val="1"/>
    </w:pPr>
    <w:rPr>
      <w:rFonts w:ascii="黑体" w:hAnsi="黑体" w:eastAsia="黑体" w:cs="Times New Roman"/>
      <w:kern w:val="2"/>
      <w:sz w:val="28"/>
      <w:szCs w:val="28"/>
      <w:lang w:val="en-US" w:eastAsia="zh-CN" w:bidi="ar-SA"/>
    </w:rPr>
  </w:style>
  <w:style w:type="character" w:customStyle="1" w:styleId="99">
    <w:name w:val="附图 Char"/>
    <w:link w:val="98"/>
    <w:qFormat/>
    <w:uiPriority w:val="0"/>
    <w:rPr>
      <w:rFonts w:ascii="黑体" w:hAnsi="黑体" w:eastAsia="黑体"/>
      <w:kern w:val="2"/>
      <w:sz w:val="28"/>
      <w:szCs w:val="28"/>
    </w:rPr>
  </w:style>
  <w:style w:type="paragraph" w:customStyle="1" w:styleId="100">
    <w:name w:val="表头"/>
    <w:basedOn w:val="1"/>
    <w:link w:val="101"/>
    <w:qFormat/>
    <w:uiPriority w:val="0"/>
    <w:pPr>
      <w:jc w:val="center"/>
    </w:pPr>
    <w:rPr>
      <w:rFonts w:ascii="宋体" w:hAnsi="宋体"/>
      <w:szCs w:val="20"/>
    </w:rPr>
  </w:style>
  <w:style w:type="character" w:customStyle="1" w:styleId="101">
    <w:name w:val="表头 字符"/>
    <w:link w:val="100"/>
    <w:qFormat/>
    <w:locked/>
    <w:uiPriority w:val="0"/>
    <w:rPr>
      <w:rFonts w:ascii="宋体" w:hAnsi="宋体"/>
      <w:kern w:val="2"/>
      <w:sz w:val="21"/>
    </w:rPr>
  </w:style>
  <w:style w:type="character" w:customStyle="1" w:styleId="102">
    <w:name w:val="SSEC正文 20150323 Char"/>
    <w:link w:val="103"/>
    <w:qFormat/>
    <w:uiPriority w:val="0"/>
    <w:rPr>
      <w:rFonts w:ascii="宋体" w:hAnsi="宋体"/>
      <w:sz w:val="24"/>
      <w:szCs w:val="24"/>
    </w:rPr>
  </w:style>
  <w:style w:type="paragraph" w:customStyle="1" w:styleId="103">
    <w:name w:val="SSEC正文 20150323"/>
    <w:link w:val="102"/>
    <w:qFormat/>
    <w:uiPriority w:val="0"/>
    <w:pPr>
      <w:adjustRightInd w:val="0"/>
      <w:snapToGrid w:val="0"/>
      <w:spacing w:line="331" w:lineRule="auto"/>
      <w:ind w:firstLine="200" w:firstLineChars="200"/>
      <w:jc w:val="both"/>
    </w:pPr>
    <w:rPr>
      <w:rFonts w:ascii="宋体" w:hAnsi="宋体" w:eastAsia="宋体" w:cs="Times New Roman"/>
      <w:sz w:val="24"/>
      <w:szCs w:val="24"/>
      <w:lang w:val="en-US" w:eastAsia="zh-CN" w:bidi="ar-SA"/>
    </w:rPr>
  </w:style>
  <w:style w:type="paragraph" w:customStyle="1" w:styleId="104">
    <w:name w:val="表字居左X2"/>
    <w:basedOn w:val="87"/>
    <w:qFormat/>
    <w:uiPriority w:val="0"/>
    <w:pPr>
      <w:spacing w:line="331" w:lineRule="auto"/>
      <w:ind w:firstLine="200" w:firstLineChars="200"/>
      <w:jc w:val="both"/>
    </w:pPr>
    <w:rPr>
      <w:rFonts w:hAnsi="宋体" w:cs="宋体"/>
    </w:rPr>
  </w:style>
  <w:style w:type="paragraph" w:customStyle="1" w:styleId="105">
    <w:name w:val="IDDS表格正文"/>
    <w:basedOn w:val="1"/>
    <w:qFormat/>
    <w:uiPriority w:val="0"/>
    <w:pPr>
      <w:spacing w:line="300" w:lineRule="auto"/>
      <w:jc w:val="center"/>
    </w:pPr>
    <w:rPr>
      <w:rFonts w:cs="宋体"/>
      <w:szCs w:val="20"/>
    </w:rPr>
  </w:style>
  <w:style w:type="paragraph" w:customStyle="1" w:styleId="106">
    <w:name w:val="Table Paragraph"/>
    <w:basedOn w:val="1"/>
    <w:qFormat/>
    <w:uiPriority w:val="0"/>
    <w:pPr>
      <w:spacing w:before="8"/>
      <w:jc w:val="center"/>
    </w:pPr>
    <w:rPr>
      <w:rFonts w:ascii="宋体" w:hAnsi="宋体" w:cs="宋体"/>
      <w:kern w:val="0"/>
      <w:sz w:val="22"/>
      <w:szCs w:val="22"/>
      <w:lang w:eastAsia="en-US"/>
    </w:rPr>
  </w:style>
  <w:style w:type="character" w:customStyle="1" w:styleId="107">
    <w:name w:val="表格内字体 Char"/>
    <w:link w:val="108"/>
    <w:qFormat/>
    <w:locked/>
    <w:uiPriority w:val="0"/>
    <w:rPr>
      <w:rFonts w:ascii="宋体" w:hAnsi="宋体"/>
      <w:kern w:val="2"/>
      <w:sz w:val="21"/>
      <w:szCs w:val="24"/>
    </w:rPr>
  </w:style>
  <w:style w:type="paragraph" w:customStyle="1" w:styleId="108">
    <w:name w:val="表格内字体"/>
    <w:basedOn w:val="1"/>
    <w:next w:val="1"/>
    <w:link w:val="107"/>
    <w:qFormat/>
    <w:uiPriority w:val="0"/>
    <w:pPr>
      <w:adjustRightInd w:val="0"/>
      <w:snapToGrid w:val="0"/>
      <w:jc w:val="center"/>
    </w:pPr>
    <w:rPr>
      <w:rFonts w:ascii="宋体" w:hAnsi="宋体"/>
    </w:rPr>
  </w:style>
  <w:style w:type="paragraph" w:customStyle="1" w:styleId="109">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110">
    <w:name w:val="正文格式"/>
    <w:basedOn w:val="1"/>
    <w:link w:val="111"/>
    <w:qFormat/>
    <w:uiPriority w:val="0"/>
    <w:pPr>
      <w:adjustRightInd w:val="0"/>
      <w:snapToGrid w:val="0"/>
      <w:spacing w:line="331" w:lineRule="auto"/>
      <w:ind w:firstLine="482"/>
    </w:pPr>
    <w:rPr>
      <w:rFonts w:ascii="宋体" w:hAnsi="宋体"/>
      <w:sz w:val="24"/>
    </w:rPr>
  </w:style>
  <w:style w:type="character" w:customStyle="1" w:styleId="111">
    <w:name w:val="正文格式 Char"/>
    <w:link w:val="110"/>
    <w:qFormat/>
    <w:uiPriority w:val="0"/>
    <w:rPr>
      <w:rFonts w:ascii="宋体" w:hAnsi="宋体"/>
      <w:kern w:val="2"/>
      <w:sz w:val="24"/>
      <w:szCs w:val="24"/>
    </w:rPr>
  </w:style>
  <w:style w:type="paragraph" w:customStyle="1" w:styleId="112">
    <w:name w:val="样式1"/>
    <w:basedOn w:val="104"/>
    <w:qFormat/>
    <w:uiPriority w:val="0"/>
  </w:style>
  <w:style w:type="paragraph" w:customStyle="1" w:styleId="113">
    <w:name w:val="样式 表字居左X2 + 首行缩进:  2 字符"/>
    <w:basedOn w:val="104"/>
    <w:qFormat/>
    <w:uiPriority w:val="0"/>
    <w:pPr>
      <w:ind w:firstLine="420"/>
    </w:pPr>
    <w:rPr>
      <w:szCs w:val="20"/>
    </w:rPr>
  </w:style>
  <w:style w:type="paragraph" w:customStyle="1" w:styleId="11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0"/>
    </w:rPr>
  </w:style>
  <w:style w:type="paragraph" w:customStyle="1" w:styleId="115">
    <w:name w:val="TOC Heading"/>
    <w:basedOn w:val="2"/>
    <w:next w:val="1"/>
    <w:qFormat/>
    <w:uiPriority w:val="39"/>
    <w:pPr>
      <w:keepNext/>
      <w:keepLines/>
      <w:widowControl/>
      <w:numPr>
        <w:numId w:val="0"/>
      </w:numPr>
      <w:adjustRightInd/>
      <w:snapToGrid/>
      <w:spacing w:before="240" w:beforeAutospacing="0" w:line="259" w:lineRule="auto"/>
      <w:outlineLvl w:val="9"/>
    </w:pPr>
    <w:rPr>
      <w:rFonts w:ascii="等线 Light" w:hAnsi="等线 Light" w:eastAsia="等线 Light"/>
      <w:color w:val="2E74B5"/>
      <w:kern w:val="0"/>
      <w:sz w:val="32"/>
      <w:szCs w:val="32"/>
    </w:rPr>
  </w:style>
  <w:style w:type="paragraph" w:customStyle="1" w:styleId="116">
    <w:name w:val="SSEC表字居中 20150323"/>
    <w:link w:val="117"/>
    <w:qFormat/>
    <w:uiPriority w:val="0"/>
    <w:pPr>
      <w:adjustRightInd w:val="0"/>
      <w:snapToGrid w:val="0"/>
      <w:jc w:val="center"/>
    </w:pPr>
    <w:rPr>
      <w:rFonts w:ascii="宋体" w:hAnsi="Times New Roman" w:eastAsia="宋体" w:cs="Times New Roman"/>
      <w:kern w:val="2"/>
      <w:sz w:val="21"/>
      <w:szCs w:val="21"/>
      <w:lang w:val="en-US" w:eastAsia="zh-CN" w:bidi="ar-SA"/>
    </w:rPr>
  </w:style>
  <w:style w:type="character" w:customStyle="1" w:styleId="117">
    <w:name w:val="SSEC表字居中 20150323 Char"/>
    <w:link w:val="116"/>
    <w:qFormat/>
    <w:uiPriority w:val="0"/>
    <w:rPr>
      <w:rFonts w:ascii="宋体"/>
      <w:kern w:val="2"/>
      <w:sz w:val="21"/>
      <w:szCs w:val="21"/>
    </w:rPr>
  </w:style>
  <w:style w:type="paragraph" w:customStyle="1" w:styleId="118">
    <w:name w:val="Default"/>
    <w:qFormat/>
    <w:uiPriority w:val="0"/>
    <w:pPr>
      <w:widowControl w:val="0"/>
      <w:autoSpaceDE w:val="0"/>
      <w:autoSpaceDN w:val="0"/>
      <w:adjustRightInd w:val="0"/>
    </w:pPr>
    <w:rPr>
      <w:rFonts w:ascii="宋体).榽具." w:hAnsi="Times New Roman" w:eastAsia="宋体).榽具." w:cs="宋体).榽具."/>
      <w:color w:val="000000"/>
      <w:sz w:val="24"/>
      <w:szCs w:val="24"/>
      <w:lang w:val="en-US" w:eastAsia="zh-CN" w:bidi="ar-SA"/>
    </w:rPr>
  </w:style>
  <w:style w:type="paragraph" w:customStyle="1" w:styleId="119">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szCs w:val="20"/>
    </w:rPr>
  </w:style>
  <w:style w:type="character" w:customStyle="1" w:styleId="120">
    <w:name w:val="STC 正文 字符"/>
    <w:link w:val="121"/>
    <w:qFormat/>
    <w:locked/>
    <w:uiPriority w:val="0"/>
    <w:rPr>
      <w:rFonts w:ascii="宋体" w:hAnsi="宋体"/>
      <w:sz w:val="24"/>
    </w:rPr>
  </w:style>
  <w:style w:type="paragraph" w:customStyle="1" w:styleId="121">
    <w:name w:val="STC 正文"/>
    <w:link w:val="120"/>
    <w:qFormat/>
    <w:uiPriority w:val="0"/>
    <w:pPr>
      <w:widowControl w:val="0"/>
      <w:adjustRightInd w:val="0"/>
      <w:snapToGrid w:val="0"/>
      <w:spacing w:line="331" w:lineRule="auto"/>
      <w:ind w:firstLine="200" w:firstLineChars="200"/>
      <w:jc w:val="both"/>
    </w:pPr>
    <w:rPr>
      <w:rFonts w:ascii="宋体" w:hAnsi="宋体" w:eastAsia="宋体" w:cs="Times New Roman"/>
      <w:sz w:val="24"/>
      <w:lang w:val="en-US" w:eastAsia="zh-CN" w:bidi="ar-SA"/>
    </w:rPr>
  </w:style>
  <w:style w:type="table" w:customStyle="1" w:styleId="122">
    <w:name w:val="网格型3"/>
    <w:basedOn w:val="29"/>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124">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b/>
      <w:bCs/>
      <w:kern w:val="0"/>
      <w:szCs w:val="21"/>
    </w:rPr>
  </w:style>
  <w:style w:type="paragraph" w:styleId="125">
    <w:name w:val="List Paragraph"/>
    <w:basedOn w:val="1"/>
    <w:qFormat/>
    <w:uiPriority w:val="34"/>
    <w:pPr>
      <w:ind w:firstLine="420" w:firstLineChars="200"/>
    </w:pPr>
  </w:style>
  <w:style w:type="paragraph" w:customStyle="1" w:styleId="126">
    <w:name w:val="IDDS表图注"/>
    <w:basedOn w:val="1"/>
    <w:qFormat/>
    <w:uiPriority w:val="0"/>
    <w:pPr>
      <w:spacing w:line="360" w:lineRule="auto"/>
      <w:jc w:val="center"/>
    </w:pPr>
    <w:rPr>
      <w:rFonts w:ascii="宋体" w:hAnsi="宋体" w:cs="宋体"/>
      <w:b/>
      <w:bCs/>
      <w:szCs w:val="20"/>
    </w:rPr>
  </w:style>
  <w:style w:type="paragraph" w:customStyle="1" w:styleId="127">
    <w:name w:val="SSEC表字居左X2"/>
    <w:basedOn w:val="89"/>
    <w:qFormat/>
    <w:uiPriority w:val="0"/>
    <w:pPr>
      <w:ind w:firstLine="420"/>
      <w:jc w:val="both"/>
    </w:pPr>
    <w:rPr>
      <w:rFonts w:hAnsi="宋体" w:cs="宋体"/>
    </w:rPr>
  </w:style>
  <w:style w:type="paragraph" w:customStyle="1" w:styleId="128">
    <w:name w:val="TOC 标题1"/>
    <w:basedOn w:val="2"/>
    <w:next w:val="1"/>
    <w:unhideWhenUsed/>
    <w:qFormat/>
    <w:uiPriority w:val="39"/>
    <w:pPr>
      <w:keepNext/>
      <w:keepLines/>
      <w:widowControl/>
      <w:numPr>
        <w:numId w:val="0"/>
      </w:numPr>
      <w:adjustRightInd/>
      <w:snapToGrid/>
      <w:spacing w:before="240" w:beforeAutospacing="0" w:line="259" w:lineRule="auto"/>
      <w:outlineLvl w:val="9"/>
    </w:pPr>
    <w:rPr>
      <w:rFonts w:ascii="等线 Light" w:hAnsi="等线 Light" w:eastAsia="等线 Light"/>
      <w:color w:val="2E74B5"/>
      <w:kern w:val="0"/>
      <w:sz w:val="32"/>
      <w:szCs w:val="32"/>
    </w:rPr>
  </w:style>
  <w:style w:type="table" w:customStyle="1" w:styleId="129">
    <w:name w:val="TableGrid"/>
    <w:qFormat/>
    <w:uiPriority w:val="0"/>
    <w:rPr>
      <w:rFonts w:ascii="等线" w:hAnsi="等线" w:eastAsia="等线"/>
      <w:kern w:val="2"/>
      <w:sz w:val="21"/>
      <w:szCs w:val="22"/>
    </w:rPr>
    <w:tblPr>
      <w:tblCellMar>
        <w:top w:w="0" w:type="dxa"/>
        <w:left w:w="0" w:type="dxa"/>
        <w:bottom w:w="0" w:type="dxa"/>
        <w:right w:w="0" w:type="dxa"/>
      </w:tblCellMar>
    </w:tblPr>
  </w:style>
  <w:style w:type="paragraph" w:customStyle="1" w:styleId="130">
    <w:name w:val="MEL正文*"/>
    <w:basedOn w:val="1"/>
    <w:link w:val="131"/>
    <w:qFormat/>
    <w:uiPriority w:val="0"/>
    <w:pPr>
      <w:spacing w:line="500" w:lineRule="exact"/>
      <w:ind w:firstLine="200" w:firstLineChars="200"/>
    </w:pPr>
    <w:rPr>
      <w:rFonts w:ascii="宋体" w:hAnsi="宋体"/>
      <w:kern w:val="0"/>
      <w:sz w:val="24"/>
    </w:rPr>
  </w:style>
  <w:style w:type="character" w:customStyle="1" w:styleId="131">
    <w:name w:val="MEL正文* 字符"/>
    <w:link w:val="130"/>
    <w:qFormat/>
    <w:uiPriority w:val="0"/>
    <w:rPr>
      <w:rFonts w:ascii="宋体" w:hAnsi="宋体"/>
      <w:sz w:val="24"/>
      <w:szCs w:val="24"/>
    </w:rPr>
  </w:style>
  <w:style w:type="character" w:customStyle="1" w:styleId="132">
    <w:name w:val="YJ正文* 字符"/>
    <w:link w:val="133"/>
    <w:qFormat/>
    <w:locked/>
    <w:uiPriority w:val="0"/>
    <w:rPr>
      <w:rFonts w:ascii="宋体" w:hAnsi="宋体" w:cs="宋体"/>
      <w:sz w:val="24"/>
      <w:szCs w:val="24"/>
    </w:rPr>
  </w:style>
  <w:style w:type="paragraph" w:customStyle="1" w:styleId="133">
    <w:name w:val="YJ正文*"/>
    <w:basedOn w:val="1"/>
    <w:link w:val="132"/>
    <w:qFormat/>
    <w:uiPriority w:val="0"/>
    <w:pPr>
      <w:widowControl/>
      <w:spacing w:line="500" w:lineRule="exact"/>
      <w:ind w:firstLine="200" w:firstLineChars="200"/>
    </w:pPr>
    <w:rPr>
      <w:rFonts w:ascii="宋体" w:hAnsi="宋体" w:cs="宋体"/>
      <w:kern w:val="0"/>
      <w:sz w:val="24"/>
    </w:rPr>
  </w:style>
  <w:style w:type="paragraph" w:customStyle="1" w:styleId="13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35">
    <w:name w:val="样式3"/>
    <w:basedOn w:val="1"/>
    <w:qFormat/>
    <w:uiPriority w:val="0"/>
    <w:pPr>
      <w:adjustRightInd w:val="0"/>
      <w:snapToGrid w:val="0"/>
      <w:spacing w:line="328" w:lineRule="auto"/>
      <w:ind w:firstLine="420" w:firstLineChars="200"/>
      <w:textAlignment w:val="center"/>
    </w:pPr>
    <w:rPr>
      <w:rFonts w:ascii="宋体" w:hAnsi="宋体" w:cs="宋体"/>
      <w:bCs/>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7F72B-DE58-44A2-B879-5E878E15E1B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95</Pages>
  <Words>12328</Words>
  <Characters>13002</Characters>
  <Lines>657</Lines>
  <Paragraphs>184</Paragraphs>
  <TotalTime>21</TotalTime>
  <ScaleCrop>false</ScaleCrop>
  <LinksUpToDate>false</LinksUpToDate>
  <CharactersWithSpaces>13119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2025-12-09T03:53:00Z</dcterms:created>
  <dc:creator>lhj</dc:creator>
  <cp:lastModifiedBy>小麦啾</cp:lastModifiedBy>
  <cp:lastPrinted>2025-12-09T05:39:00Z</cp:lastPrinted>
  <dcterms:modified xsi:type="dcterms:W3CDTF">2026-02-28T10:35:40Z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29EE853ED9DB4DBCB6AA5D0CF85DF10E_12</vt:lpwstr>
  </property>
  <property fmtid="{D5CDD505-2E9C-101B-9397-08002B2CF9AE}" pid="4" name="KSOTemplateDocerSaveRecord">
    <vt:lpwstr>eyJoZGlkIjoiM2Q5NDlmNDc3N2ZkYzk3ZGJmOTUwNTM0Mzc5MTVlNDMiLCJ1c2VySWQiOiIzMjQ5NjUzODcifQ==</vt:lpwstr>
  </property>
</Properties>
</file>