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B49490">
      <w:pPr>
        <w:adjustRightInd w:val="0"/>
        <w:snapToGrid w:val="0"/>
        <w:jc w:val="center"/>
        <w:rPr>
          <w:rFonts w:hint="default" w:ascii="Times New Roman" w:hAnsi="Times New Roman" w:eastAsia="宋体" w:cs="Times New Roman"/>
          <w:b/>
          <w:color w:val="00000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b/>
          <w:color w:val="000000"/>
          <w:sz w:val="28"/>
          <w:szCs w:val="28"/>
          <w:lang w:eastAsia="zh-CN"/>
        </w:rPr>
        <w:drawing>
          <wp:inline distT="0" distB="0" distL="114300" distR="114300">
            <wp:extent cx="5263515" cy="7446010"/>
            <wp:effectExtent l="0" t="0" r="6985" b="8890"/>
            <wp:docPr id="20" name="图片 20" descr="202511111154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51111115401_01"/>
                    <pic:cNvPicPr>
                      <a:picLocks noChangeAspect="1"/>
                    </pic:cNvPicPr>
                  </pic:nvPicPr>
                  <pic:blipFill>
                    <a:blip r:embed="rId7"/>
                    <a:stretch>
                      <a:fillRect/>
                    </a:stretch>
                  </pic:blipFill>
                  <pic:spPr>
                    <a:xfrm>
                      <a:off x="0" y="0"/>
                      <a:ext cx="5263515" cy="7446010"/>
                    </a:xfrm>
                    <a:prstGeom prst="rect">
                      <a:avLst/>
                    </a:prstGeom>
                  </pic:spPr>
                </pic:pic>
              </a:graphicData>
            </a:graphic>
          </wp:inline>
        </w:drawing>
      </w:r>
    </w:p>
    <w:p w14:paraId="6128A00B">
      <w:pPr>
        <w:adjustRightInd w:val="0"/>
        <w:snapToGrid w:val="0"/>
        <w:jc w:val="center"/>
        <w:rPr>
          <w:rFonts w:hint="default" w:ascii="Times New Roman" w:hAnsi="Times New Roman" w:eastAsia="宋体" w:cs="Times New Roman"/>
          <w:b/>
          <w:color w:val="00000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E49DCB0">
      <w:pPr>
        <w:adjustRightInd w:val="0"/>
        <w:snapToGrid w:val="0"/>
        <w:jc w:val="center"/>
        <w:rPr>
          <w:rFonts w:hint="default" w:ascii="Times New Roman" w:hAnsi="Times New Roman" w:eastAsia="宋体" w:cs="Times New Roman"/>
          <w:b/>
          <w:color w:val="00000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b/>
          <w:color w:val="000000"/>
          <w:sz w:val="28"/>
          <w:szCs w:val="28"/>
          <w:lang w:eastAsia="zh-CN"/>
        </w:rPr>
        <w:drawing>
          <wp:inline distT="0" distB="0" distL="114300" distR="114300">
            <wp:extent cx="5263515" cy="7446010"/>
            <wp:effectExtent l="0" t="0" r="6985" b="8890"/>
            <wp:docPr id="21" name="图片 21" descr="202511111154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51111115401_02"/>
                    <pic:cNvPicPr>
                      <a:picLocks noChangeAspect="1"/>
                    </pic:cNvPicPr>
                  </pic:nvPicPr>
                  <pic:blipFill>
                    <a:blip r:embed="rId8"/>
                    <a:stretch>
                      <a:fillRect/>
                    </a:stretch>
                  </pic:blipFill>
                  <pic:spPr>
                    <a:xfrm>
                      <a:off x="0" y="0"/>
                      <a:ext cx="5263515" cy="7446010"/>
                    </a:xfrm>
                    <a:prstGeom prst="rect">
                      <a:avLst/>
                    </a:prstGeom>
                  </pic:spPr>
                </pic:pic>
              </a:graphicData>
            </a:graphic>
          </wp:inline>
        </w:drawing>
      </w:r>
    </w:p>
    <w:p w14:paraId="02459FF2">
      <w:pPr>
        <w:adjustRightInd w:val="0"/>
        <w:snapToGrid w:val="0"/>
        <w:jc w:val="center"/>
        <w:rPr>
          <w:rFonts w:hint="default" w:ascii="Times New Roman" w:hAnsi="Times New Roman" w:eastAsia="宋体" w:cs="Times New Roman"/>
          <w:b/>
          <w:color w:val="00000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6"/>
        <w:tblW w:w="878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271"/>
        <w:gridCol w:w="240"/>
        <w:gridCol w:w="4269"/>
      </w:tblGrid>
      <w:tr w14:paraId="5D4CA4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834" w:hRule="atLeast"/>
          <w:jc w:val="center"/>
        </w:trPr>
        <w:tc>
          <w:tcPr>
            <w:tcW w:w="4271" w:type="dxa"/>
            <w:tcBorders>
              <w:right w:val="dotted" w:color="auto" w:sz="4" w:space="0"/>
              <w:tl2br w:val="nil"/>
              <w:tr2bl w:val="nil"/>
            </w:tcBorders>
            <w:noWrap w:val="0"/>
            <w:vAlign w:val="center"/>
          </w:tcPr>
          <w:p w14:paraId="5611FB43">
            <w:pPr>
              <w:adjustRightInd w:val="0"/>
              <w:snapToGrid w:val="0"/>
              <w:jc w:val="center"/>
              <w:rPr>
                <w:rFonts w:hint="default" w:ascii="Times New Roman" w:hAnsi="Times New Roman" w:eastAsia="宋体" w:cs="Times New Roman"/>
                <w:b/>
                <w:color w:val="000000"/>
                <w:sz w:val="28"/>
                <w:szCs w:val="28"/>
                <w:lang w:eastAsia="zh-CN"/>
              </w:rPr>
            </w:pPr>
            <w:r>
              <w:rPr>
                <w:rFonts w:hint="default" w:ascii="Times New Roman" w:hAnsi="Times New Roman" w:eastAsia="宋体" w:cs="Times New Roman"/>
                <w:b/>
                <w:color w:val="000000"/>
                <w:sz w:val="28"/>
                <w:szCs w:val="28"/>
                <w:lang w:eastAsia="zh-CN"/>
              </w:rPr>
              <w:drawing>
                <wp:inline distT="0" distB="0" distL="114300" distR="114300">
                  <wp:extent cx="2697480" cy="2022475"/>
                  <wp:effectExtent l="0" t="0" r="7620" b="9525"/>
                  <wp:docPr id="7" name="图片 7" descr="0645d7979a451d88c4fe34f4519b7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645d7979a451d88c4fe34f4519b72b5"/>
                          <pic:cNvPicPr>
                            <a:picLocks noChangeAspect="1"/>
                          </pic:cNvPicPr>
                        </pic:nvPicPr>
                        <pic:blipFill>
                          <a:blip r:embed="rId9"/>
                          <a:stretch>
                            <a:fillRect/>
                          </a:stretch>
                        </pic:blipFill>
                        <pic:spPr>
                          <a:xfrm>
                            <a:off x="0" y="0"/>
                            <a:ext cx="2697480" cy="2022475"/>
                          </a:xfrm>
                          <a:prstGeom prst="rect">
                            <a:avLst/>
                          </a:prstGeom>
                        </pic:spPr>
                      </pic:pic>
                    </a:graphicData>
                  </a:graphic>
                </wp:inline>
              </w:drawing>
            </w:r>
          </w:p>
        </w:tc>
        <w:tc>
          <w:tcPr>
            <w:tcW w:w="240" w:type="dxa"/>
            <w:tcBorders>
              <w:left w:val="dotted" w:color="auto" w:sz="4" w:space="0"/>
              <w:right w:val="dotted" w:color="auto" w:sz="4" w:space="0"/>
            </w:tcBorders>
            <w:noWrap w:val="0"/>
            <w:vAlign w:val="center"/>
          </w:tcPr>
          <w:p w14:paraId="03F00E7A">
            <w:pPr>
              <w:adjustRightInd w:val="0"/>
              <w:snapToGrid w:val="0"/>
              <w:jc w:val="center"/>
              <w:rPr>
                <w:rFonts w:hint="default" w:ascii="Times New Roman" w:hAnsi="Times New Roman" w:cs="Times New Roman"/>
                <w:b/>
                <w:color w:val="000000"/>
                <w:sz w:val="28"/>
                <w:szCs w:val="28"/>
              </w:rPr>
            </w:pPr>
          </w:p>
        </w:tc>
        <w:tc>
          <w:tcPr>
            <w:tcW w:w="4269" w:type="dxa"/>
            <w:tcBorders>
              <w:left w:val="dotted" w:color="auto" w:sz="4" w:space="0"/>
              <w:tl2br w:val="nil"/>
              <w:tr2bl w:val="nil"/>
            </w:tcBorders>
            <w:noWrap w:val="0"/>
            <w:vAlign w:val="center"/>
          </w:tcPr>
          <w:p w14:paraId="5F199E38">
            <w:pPr>
              <w:adjustRightInd w:val="0"/>
              <w:snapToGrid w:val="0"/>
              <w:jc w:val="center"/>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drawing>
                <wp:inline distT="0" distB="0" distL="114300" distR="114300">
                  <wp:extent cx="2697480" cy="2022475"/>
                  <wp:effectExtent l="0" t="0" r="7620" b="9525"/>
                  <wp:docPr id="3" name="图片 3" descr="6a8cdd202da3ab0e1e6a46d9ddeec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a8cdd202da3ab0e1e6a46d9ddeec7e5"/>
                          <pic:cNvPicPr>
                            <a:picLocks noChangeAspect="1"/>
                          </pic:cNvPicPr>
                        </pic:nvPicPr>
                        <pic:blipFill>
                          <a:blip r:embed="rId10"/>
                          <a:stretch>
                            <a:fillRect/>
                          </a:stretch>
                        </pic:blipFill>
                        <pic:spPr>
                          <a:xfrm>
                            <a:off x="0" y="0"/>
                            <a:ext cx="2697480" cy="2022475"/>
                          </a:xfrm>
                          <a:prstGeom prst="rect">
                            <a:avLst/>
                          </a:prstGeom>
                        </pic:spPr>
                      </pic:pic>
                    </a:graphicData>
                  </a:graphic>
                </wp:inline>
              </w:drawing>
            </w:r>
          </w:p>
        </w:tc>
      </w:tr>
      <w:tr w14:paraId="022F04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4271" w:type="dxa"/>
            <w:tcBorders>
              <w:right w:val="dotted" w:color="auto" w:sz="4" w:space="0"/>
              <w:tl2br w:val="nil"/>
              <w:tr2bl w:val="nil"/>
            </w:tcBorders>
            <w:noWrap w:val="0"/>
            <w:vAlign w:val="center"/>
          </w:tcPr>
          <w:p w14:paraId="0D1389FD">
            <w:pPr>
              <w:adjustRightInd w:val="0"/>
              <w:snapToGrid w:val="0"/>
              <w:jc w:val="center"/>
              <w:rPr>
                <w:rFonts w:hint="default" w:ascii="Times New Roman" w:hAnsi="Times New Roman" w:eastAsia="宋体" w:cs="Times New Roman"/>
                <w:b/>
                <w:color w:val="000000"/>
                <w:szCs w:val="21"/>
                <w:lang w:val="en-US" w:eastAsia="zh-CN"/>
              </w:rPr>
            </w:pPr>
            <w:r>
              <w:rPr>
                <w:rFonts w:hint="eastAsia" w:cs="Times New Roman"/>
                <w:b/>
                <w:color w:val="000000"/>
                <w:szCs w:val="21"/>
                <w:lang w:val="en-US" w:eastAsia="zh-CN"/>
              </w:rPr>
              <w:t>项目门口</w:t>
            </w:r>
          </w:p>
        </w:tc>
        <w:tc>
          <w:tcPr>
            <w:tcW w:w="240" w:type="dxa"/>
            <w:tcBorders>
              <w:left w:val="dotted" w:color="auto" w:sz="4" w:space="0"/>
              <w:right w:val="dotted" w:color="auto" w:sz="4" w:space="0"/>
            </w:tcBorders>
            <w:noWrap w:val="0"/>
            <w:vAlign w:val="center"/>
          </w:tcPr>
          <w:p w14:paraId="20EB7F7E">
            <w:pPr>
              <w:adjustRightInd w:val="0"/>
              <w:snapToGrid w:val="0"/>
              <w:jc w:val="center"/>
              <w:rPr>
                <w:rFonts w:hint="default" w:ascii="Times New Roman" w:hAnsi="Times New Roman" w:eastAsia="宋体" w:cs="Times New Roman"/>
                <w:b/>
                <w:color w:val="000000"/>
                <w:szCs w:val="21"/>
                <w:lang w:val="en-US" w:eastAsia="zh-CN"/>
              </w:rPr>
            </w:pPr>
          </w:p>
        </w:tc>
        <w:tc>
          <w:tcPr>
            <w:tcW w:w="4269" w:type="dxa"/>
            <w:tcBorders>
              <w:left w:val="dotted" w:color="auto" w:sz="4" w:space="0"/>
              <w:tl2br w:val="nil"/>
              <w:tr2bl w:val="nil"/>
            </w:tcBorders>
            <w:noWrap w:val="0"/>
            <w:vAlign w:val="center"/>
          </w:tcPr>
          <w:p w14:paraId="3D81086F">
            <w:pPr>
              <w:adjustRightInd w:val="0"/>
              <w:snapToGrid w:val="0"/>
              <w:jc w:val="center"/>
              <w:rPr>
                <w:rFonts w:hint="default" w:ascii="Times New Roman" w:hAnsi="Times New Roman" w:eastAsia="宋体" w:cs="Times New Roman"/>
                <w:b/>
                <w:color w:val="000000"/>
                <w:szCs w:val="21"/>
                <w:lang w:val="en-US" w:eastAsia="zh-CN"/>
              </w:rPr>
            </w:pPr>
            <w:r>
              <w:rPr>
                <w:rFonts w:hint="eastAsia" w:cs="Times New Roman"/>
                <w:b/>
                <w:color w:val="000000"/>
                <w:szCs w:val="21"/>
                <w:lang w:val="en-US" w:eastAsia="zh-CN"/>
              </w:rPr>
              <w:t>项目区西侧</w:t>
            </w:r>
          </w:p>
        </w:tc>
      </w:tr>
      <w:tr w14:paraId="672F06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64" w:hRule="atLeast"/>
          <w:jc w:val="center"/>
        </w:trPr>
        <w:tc>
          <w:tcPr>
            <w:tcW w:w="4271" w:type="dxa"/>
            <w:tcBorders>
              <w:right w:val="dotted" w:color="auto" w:sz="4" w:space="0"/>
              <w:tl2br w:val="nil"/>
              <w:tr2bl w:val="nil"/>
            </w:tcBorders>
            <w:noWrap w:val="0"/>
            <w:vAlign w:val="center"/>
          </w:tcPr>
          <w:p w14:paraId="24E0EC6D">
            <w:pPr>
              <w:adjustRightInd w:val="0"/>
              <w:snapToGrid w:val="0"/>
              <w:jc w:val="center"/>
              <w:rPr>
                <w:rFonts w:hint="default" w:ascii="Times New Roman" w:hAnsi="Times New Roman" w:eastAsia="宋体" w:cs="Times New Roman"/>
                <w:b/>
                <w:color w:val="000000"/>
                <w:szCs w:val="21"/>
                <w:lang w:eastAsia="zh-CN"/>
              </w:rPr>
            </w:pPr>
            <w:r>
              <w:rPr>
                <w:rFonts w:hint="default" w:ascii="Times New Roman" w:hAnsi="Times New Roman" w:eastAsia="宋体" w:cs="Times New Roman"/>
                <w:b/>
                <w:color w:val="000000"/>
                <w:szCs w:val="21"/>
                <w:lang w:eastAsia="zh-CN"/>
              </w:rPr>
              <w:drawing>
                <wp:inline distT="0" distB="0" distL="114300" distR="114300">
                  <wp:extent cx="2697480" cy="2294255"/>
                  <wp:effectExtent l="0" t="0" r="7620" b="4445"/>
                  <wp:docPr id="11" name="图片 11" descr="466d36be6301b87e13d7c6602d8fe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66d36be6301b87e13d7c6602d8fe744"/>
                          <pic:cNvPicPr>
                            <a:picLocks noChangeAspect="1"/>
                          </pic:cNvPicPr>
                        </pic:nvPicPr>
                        <pic:blipFill>
                          <a:blip r:embed="rId11"/>
                          <a:stretch>
                            <a:fillRect/>
                          </a:stretch>
                        </pic:blipFill>
                        <pic:spPr>
                          <a:xfrm>
                            <a:off x="0" y="0"/>
                            <a:ext cx="2697480" cy="2294255"/>
                          </a:xfrm>
                          <a:prstGeom prst="rect">
                            <a:avLst/>
                          </a:prstGeom>
                        </pic:spPr>
                      </pic:pic>
                    </a:graphicData>
                  </a:graphic>
                </wp:inline>
              </w:drawing>
            </w:r>
          </w:p>
        </w:tc>
        <w:tc>
          <w:tcPr>
            <w:tcW w:w="240" w:type="dxa"/>
            <w:tcBorders>
              <w:left w:val="dotted" w:color="auto" w:sz="4" w:space="0"/>
              <w:right w:val="dotted" w:color="auto" w:sz="4" w:space="0"/>
            </w:tcBorders>
            <w:noWrap w:val="0"/>
            <w:vAlign w:val="center"/>
          </w:tcPr>
          <w:p w14:paraId="76E98008">
            <w:pPr>
              <w:adjustRightInd w:val="0"/>
              <w:snapToGrid w:val="0"/>
              <w:jc w:val="center"/>
              <w:rPr>
                <w:rFonts w:hint="default" w:ascii="Times New Roman" w:hAnsi="Times New Roman" w:cs="Times New Roman"/>
                <w:b/>
                <w:color w:val="000000"/>
                <w:sz w:val="28"/>
                <w:szCs w:val="28"/>
              </w:rPr>
            </w:pPr>
          </w:p>
        </w:tc>
        <w:tc>
          <w:tcPr>
            <w:tcW w:w="4269" w:type="dxa"/>
            <w:tcBorders>
              <w:left w:val="dotted" w:color="auto" w:sz="4" w:space="0"/>
              <w:tl2br w:val="nil"/>
              <w:tr2bl w:val="nil"/>
            </w:tcBorders>
            <w:noWrap w:val="0"/>
            <w:vAlign w:val="center"/>
          </w:tcPr>
          <w:p w14:paraId="6C98038B">
            <w:pPr>
              <w:adjustRightInd w:val="0"/>
              <w:snapToGrid w:val="0"/>
              <w:jc w:val="center"/>
              <w:rPr>
                <w:rFonts w:hint="default" w:ascii="Times New Roman" w:hAnsi="Times New Roman" w:eastAsia="宋体" w:cs="Times New Roman"/>
                <w:b/>
                <w:color w:val="000000"/>
                <w:sz w:val="28"/>
                <w:szCs w:val="28"/>
                <w:lang w:eastAsia="zh-CN"/>
              </w:rPr>
            </w:pPr>
            <w:r>
              <w:rPr>
                <w:rFonts w:hint="default" w:ascii="Times New Roman" w:hAnsi="Times New Roman" w:eastAsia="宋体" w:cs="Times New Roman"/>
                <w:b/>
                <w:color w:val="000000"/>
                <w:sz w:val="28"/>
                <w:szCs w:val="28"/>
                <w:lang w:eastAsia="zh-CN"/>
              </w:rPr>
              <w:drawing>
                <wp:inline distT="0" distB="0" distL="114300" distR="114300">
                  <wp:extent cx="2593340" cy="2248535"/>
                  <wp:effectExtent l="0" t="0" r="10160" b="12065"/>
                  <wp:docPr id="15" name="图片 15" descr="45ae80ef5d5268e7e0a97f2e14196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5ae80ef5d5268e7e0a97f2e1419629d"/>
                          <pic:cNvPicPr>
                            <a:picLocks noChangeAspect="1"/>
                          </pic:cNvPicPr>
                        </pic:nvPicPr>
                        <pic:blipFill>
                          <a:blip r:embed="rId12"/>
                          <a:srcRect t="37621"/>
                          <a:stretch>
                            <a:fillRect/>
                          </a:stretch>
                        </pic:blipFill>
                        <pic:spPr>
                          <a:xfrm>
                            <a:off x="0" y="0"/>
                            <a:ext cx="2593340" cy="2248535"/>
                          </a:xfrm>
                          <a:prstGeom prst="rect">
                            <a:avLst/>
                          </a:prstGeom>
                        </pic:spPr>
                      </pic:pic>
                    </a:graphicData>
                  </a:graphic>
                </wp:inline>
              </w:drawing>
            </w:r>
          </w:p>
        </w:tc>
      </w:tr>
      <w:tr w14:paraId="0C14EB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4271" w:type="dxa"/>
            <w:tcBorders>
              <w:right w:val="dotted" w:color="auto" w:sz="4" w:space="0"/>
              <w:tl2br w:val="nil"/>
              <w:tr2bl w:val="nil"/>
            </w:tcBorders>
            <w:noWrap w:val="0"/>
            <w:vAlign w:val="center"/>
          </w:tcPr>
          <w:p w14:paraId="1A9CF58B">
            <w:pPr>
              <w:adjustRightInd w:val="0"/>
              <w:snapToGrid w:val="0"/>
              <w:jc w:val="center"/>
              <w:rPr>
                <w:rFonts w:hint="default" w:ascii="Times New Roman" w:hAnsi="Times New Roman" w:cs="Times New Roman"/>
                <w:b/>
                <w:color w:val="000000"/>
                <w:szCs w:val="21"/>
                <w:lang w:val="en-US" w:eastAsia="zh-CN"/>
              </w:rPr>
            </w:pPr>
            <w:r>
              <w:rPr>
                <w:rFonts w:hint="eastAsia" w:cs="Times New Roman"/>
                <w:b/>
                <w:color w:val="000000"/>
                <w:szCs w:val="21"/>
                <w:lang w:val="en-US" w:eastAsia="zh-CN"/>
              </w:rPr>
              <w:t>项目区东侧</w:t>
            </w:r>
          </w:p>
        </w:tc>
        <w:tc>
          <w:tcPr>
            <w:tcW w:w="240" w:type="dxa"/>
            <w:tcBorders>
              <w:left w:val="dotted" w:color="auto" w:sz="4" w:space="0"/>
              <w:right w:val="dotted" w:color="auto" w:sz="4" w:space="0"/>
            </w:tcBorders>
            <w:noWrap w:val="0"/>
            <w:vAlign w:val="center"/>
          </w:tcPr>
          <w:p w14:paraId="5F2CB644">
            <w:pPr>
              <w:adjustRightInd w:val="0"/>
              <w:snapToGrid w:val="0"/>
              <w:jc w:val="center"/>
              <w:rPr>
                <w:rFonts w:hint="default" w:ascii="Times New Roman" w:hAnsi="Times New Roman" w:cs="Times New Roman"/>
                <w:b/>
                <w:color w:val="000000"/>
                <w:szCs w:val="21"/>
                <w:lang w:val="en-US" w:eastAsia="zh-CN"/>
              </w:rPr>
            </w:pPr>
          </w:p>
        </w:tc>
        <w:tc>
          <w:tcPr>
            <w:tcW w:w="4269" w:type="dxa"/>
            <w:tcBorders>
              <w:left w:val="dotted" w:color="auto" w:sz="4" w:space="0"/>
              <w:tl2br w:val="nil"/>
              <w:tr2bl w:val="nil"/>
            </w:tcBorders>
            <w:noWrap w:val="0"/>
            <w:vAlign w:val="center"/>
          </w:tcPr>
          <w:p w14:paraId="58ABE311">
            <w:pPr>
              <w:adjustRightInd w:val="0"/>
              <w:snapToGrid w:val="0"/>
              <w:jc w:val="center"/>
              <w:rPr>
                <w:rFonts w:hint="default" w:ascii="Times New Roman" w:hAnsi="Times New Roman" w:cs="Times New Roman"/>
                <w:b/>
                <w:color w:val="000000"/>
                <w:szCs w:val="21"/>
                <w:lang w:val="en-US" w:eastAsia="zh-CN"/>
              </w:rPr>
            </w:pPr>
            <w:r>
              <w:rPr>
                <w:rFonts w:hint="eastAsia" w:cs="Times New Roman"/>
                <w:b/>
                <w:color w:val="000000"/>
                <w:szCs w:val="21"/>
                <w:lang w:val="en-US" w:eastAsia="zh-CN"/>
              </w:rPr>
              <w:t>项目区南侧</w:t>
            </w:r>
          </w:p>
        </w:tc>
      </w:tr>
      <w:tr w14:paraId="5875C5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795" w:hRule="atLeast"/>
          <w:jc w:val="center"/>
        </w:trPr>
        <w:tc>
          <w:tcPr>
            <w:tcW w:w="4271" w:type="dxa"/>
            <w:tcBorders>
              <w:right w:val="dotted" w:color="auto" w:sz="4" w:space="0"/>
              <w:tl2br w:val="nil"/>
              <w:tr2bl w:val="nil"/>
            </w:tcBorders>
            <w:noWrap w:val="0"/>
            <w:vAlign w:val="center"/>
          </w:tcPr>
          <w:p w14:paraId="24144036">
            <w:pPr>
              <w:adjustRightInd w:val="0"/>
              <w:snapToGrid w:val="0"/>
              <w:jc w:val="center"/>
              <w:rPr>
                <w:rFonts w:hint="default" w:ascii="Times New Roman" w:hAnsi="Times New Roman" w:eastAsia="宋体" w:cs="Times New Roman"/>
                <w:b/>
                <w:color w:val="000000"/>
                <w:sz w:val="28"/>
                <w:szCs w:val="28"/>
                <w:lang w:eastAsia="zh-CN"/>
              </w:rPr>
            </w:pPr>
            <w:r>
              <w:rPr>
                <w:rFonts w:hint="default" w:ascii="Times New Roman" w:hAnsi="Times New Roman" w:eastAsia="宋体" w:cs="Times New Roman"/>
                <w:b/>
                <w:color w:val="000000"/>
                <w:sz w:val="28"/>
                <w:szCs w:val="28"/>
                <w:lang w:eastAsia="zh-CN"/>
              </w:rPr>
              <w:drawing>
                <wp:inline distT="0" distB="0" distL="114300" distR="114300">
                  <wp:extent cx="2697480" cy="2022475"/>
                  <wp:effectExtent l="0" t="0" r="7620" b="9525"/>
                  <wp:docPr id="8" name="图片 8" descr="aff8c2fa8e087e6c037e5883ed281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ff8c2fa8e087e6c037e5883ed281d98"/>
                          <pic:cNvPicPr>
                            <a:picLocks noChangeAspect="1"/>
                          </pic:cNvPicPr>
                        </pic:nvPicPr>
                        <pic:blipFill>
                          <a:blip r:embed="rId13"/>
                          <a:stretch>
                            <a:fillRect/>
                          </a:stretch>
                        </pic:blipFill>
                        <pic:spPr>
                          <a:xfrm>
                            <a:off x="0" y="0"/>
                            <a:ext cx="2697480" cy="2022475"/>
                          </a:xfrm>
                          <a:prstGeom prst="rect">
                            <a:avLst/>
                          </a:prstGeom>
                        </pic:spPr>
                      </pic:pic>
                    </a:graphicData>
                  </a:graphic>
                </wp:inline>
              </w:drawing>
            </w:r>
          </w:p>
        </w:tc>
        <w:tc>
          <w:tcPr>
            <w:tcW w:w="240" w:type="dxa"/>
            <w:tcBorders>
              <w:left w:val="dotted" w:color="auto" w:sz="4" w:space="0"/>
              <w:right w:val="dotted" w:color="auto" w:sz="4" w:space="0"/>
            </w:tcBorders>
            <w:noWrap w:val="0"/>
            <w:vAlign w:val="center"/>
          </w:tcPr>
          <w:p w14:paraId="40B7C1F5">
            <w:pPr>
              <w:adjustRightInd w:val="0"/>
              <w:snapToGrid w:val="0"/>
              <w:jc w:val="center"/>
              <w:rPr>
                <w:rFonts w:hint="default" w:ascii="Times New Roman" w:hAnsi="Times New Roman" w:eastAsia="宋体" w:cs="Times New Roman"/>
                <w:b/>
                <w:color w:val="000000"/>
                <w:sz w:val="28"/>
                <w:szCs w:val="28"/>
                <w:lang w:eastAsia="zh-CN"/>
              </w:rPr>
            </w:pPr>
          </w:p>
        </w:tc>
        <w:tc>
          <w:tcPr>
            <w:tcW w:w="4269" w:type="dxa"/>
            <w:tcBorders>
              <w:left w:val="dotted" w:color="auto" w:sz="4" w:space="0"/>
              <w:tl2br w:val="nil"/>
              <w:tr2bl w:val="nil"/>
            </w:tcBorders>
            <w:noWrap w:val="0"/>
            <w:vAlign w:val="center"/>
          </w:tcPr>
          <w:p w14:paraId="7DE28294">
            <w:pPr>
              <w:adjustRightInd w:val="0"/>
              <w:snapToGrid w:val="0"/>
              <w:jc w:val="center"/>
              <w:rPr>
                <w:rFonts w:hint="default" w:ascii="Times New Roman" w:hAnsi="Times New Roman" w:eastAsia="宋体" w:cs="Times New Roman"/>
                <w:b/>
                <w:color w:val="000000"/>
                <w:sz w:val="28"/>
                <w:szCs w:val="28"/>
                <w:lang w:eastAsia="zh-CN"/>
              </w:rPr>
            </w:pPr>
            <w:r>
              <w:rPr>
                <w:rFonts w:hint="default" w:ascii="Times New Roman" w:hAnsi="Times New Roman" w:eastAsia="宋体" w:cs="Times New Roman"/>
                <w:b/>
                <w:color w:val="000000"/>
                <w:sz w:val="28"/>
                <w:szCs w:val="28"/>
                <w:lang w:eastAsia="zh-CN"/>
              </w:rPr>
              <w:drawing>
                <wp:inline distT="0" distB="0" distL="114300" distR="114300">
                  <wp:extent cx="2697480" cy="2022475"/>
                  <wp:effectExtent l="0" t="0" r="7620" b="9525"/>
                  <wp:docPr id="10" name="图片 10" descr="ec46c041b21dd55ebb4f12f8ba698c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c46c041b21dd55ebb4f12f8ba698c8a"/>
                          <pic:cNvPicPr>
                            <a:picLocks noChangeAspect="1"/>
                          </pic:cNvPicPr>
                        </pic:nvPicPr>
                        <pic:blipFill>
                          <a:blip r:embed="rId14"/>
                          <a:stretch>
                            <a:fillRect/>
                          </a:stretch>
                        </pic:blipFill>
                        <pic:spPr>
                          <a:xfrm>
                            <a:off x="0" y="0"/>
                            <a:ext cx="2697480" cy="2022475"/>
                          </a:xfrm>
                          <a:prstGeom prst="rect">
                            <a:avLst/>
                          </a:prstGeom>
                        </pic:spPr>
                      </pic:pic>
                    </a:graphicData>
                  </a:graphic>
                </wp:inline>
              </w:drawing>
            </w:r>
          </w:p>
        </w:tc>
      </w:tr>
      <w:tr w14:paraId="0C2600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4271" w:type="dxa"/>
            <w:tcBorders>
              <w:right w:val="dotted" w:color="auto" w:sz="4" w:space="0"/>
              <w:tl2br w:val="nil"/>
              <w:tr2bl w:val="nil"/>
            </w:tcBorders>
            <w:noWrap w:val="0"/>
            <w:vAlign w:val="center"/>
          </w:tcPr>
          <w:p w14:paraId="624B0A96">
            <w:pPr>
              <w:adjustRightInd w:val="0"/>
              <w:snapToGrid w:val="0"/>
              <w:jc w:val="center"/>
              <w:rPr>
                <w:rFonts w:hint="default" w:ascii="Times New Roman" w:hAnsi="Times New Roman" w:eastAsia="宋体" w:cs="Times New Roman"/>
                <w:b/>
                <w:color w:val="000000"/>
                <w:szCs w:val="21"/>
                <w:lang w:val="en-US" w:eastAsia="zh-CN"/>
              </w:rPr>
            </w:pPr>
            <w:r>
              <w:rPr>
                <w:rFonts w:hint="eastAsia" w:cs="Times New Roman"/>
                <w:b/>
                <w:color w:val="000000"/>
                <w:szCs w:val="21"/>
                <w:lang w:val="en-US" w:eastAsia="zh-CN"/>
              </w:rPr>
              <w:t>项目区北侧</w:t>
            </w:r>
          </w:p>
        </w:tc>
        <w:tc>
          <w:tcPr>
            <w:tcW w:w="240" w:type="dxa"/>
            <w:tcBorders>
              <w:left w:val="dotted" w:color="auto" w:sz="4" w:space="0"/>
              <w:right w:val="dotted" w:color="auto" w:sz="4" w:space="0"/>
            </w:tcBorders>
            <w:noWrap w:val="0"/>
            <w:vAlign w:val="center"/>
          </w:tcPr>
          <w:p w14:paraId="3B6227E7">
            <w:pPr>
              <w:adjustRightInd w:val="0"/>
              <w:snapToGrid w:val="0"/>
              <w:jc w:val="center"/>
              <w:rPr>
                <w:rFonts w:hint="default" w:ascii="Times New Roman" w:hAnsi="Times New Roman" w:eastAsia="宋体" w:cs="Times New Roman"/>
                <w:b/>
                <w:color w:val="000000"/>
                <w:szCs w:val="21"/>
                <w:lang w:val="en-US" w:eastAsia="zh-CN"/>
              </w:rPr>
            </w:pPr>
          </w:p>
        </w:tc>
        <w:tc>
          <w:tcPr>
            <w:tcW w:w="4269" w:type="dxa"/>
            <w:tcBorders>
              <w:left w:val="dotted" w:color="auto" w:sz="4" w:space="0"/>
              <w:tl2br w:val="nil"/>
              <w:tr2bl w:val="nil"/>
            </w:tcBorders>
            <w:noWrap w:val="0"/>
            <w:vAlign w:val="center"/>
          </w:tcPr>
          <w:p w14:paraId="332B6F98">
            <w:pPr>
              <w:adjustRightInd w:val="0"/>
              <w:snapToGrid w:val="0"/>
              <w:jc w:val="center"/>
              <w:rPr>
                <w:rFonts w:hint="default" w:ascii="Times New Roman" w:hAnsi="Times New Roman" w:eastAsia="宋体" w:cs="Times New Roman"/>
                <w:b/>
                <w:color w:val="000000"/>
                <w:szCs w:val="21"/>
                <w:lang w:val="en-US" w:eastAsia="zh-CN"/>
              </w:rPr>
            </w:pPr>
            <w:r>
              <w:rPr>
                <w:rFonts w:hint="eastAsia" w:cs="Times New Roman"/>
                <w:b/>
                <w:color w:val="000000"/>
                <w:szCs w:val="21"/>
                <w:lang w:val="en-US" w:eastAsia="zh-CN"/>
              </w:rPr>
              <w:t>工程师现场勘查图</w:t>
            </w:r>
          </w:p>
        </w:tc>
      </w:tr>
      <w:tr w14:paraId="314688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63" w:hRule="atLeast"/>
          <w:jc w:val="center"/>
        </w:trPr>
        <w:tc>
          <w:tcPr>
            <w:tcW w:w="8780" w:type="dxa"/>
            <w:gridSpan w:val="3"/>
            <w:tcBorders>
              <w:tl2br w:val="nil"/>
              <w:tr2bl w:val="nil"/>
            </w:tcBorders>
            <w:noWrap w:val="0"/>
            <w:vAlign w:val="center"/>
          </w:tcPr>
          <w:p w14:paraId="1A87E4B5">
            <w:pPr>
              <w:adjustRightInd w:val="0"/>
              <w:snapToGrid w:val="0"/>
              <w:jc w:val="center"/>
              <w:rPr>
                <w:rFonts w:hint="default" w:ascii="Times New Roman" w:hAnsi="Times New Roman" w:cs="Times New Roman"/>
                <w:b/>
                <w:color w:val="000000"/>
                <w:szCs w:val="21"/>
              </w:rPr>
            </w:pPr>
          </w:p>
        </w:tc>
      </w:tr>
      <w:tr w14:paraId="0A4634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9" w:hRule="atLeast"/>
          <w:jc w:val="center"/>
        </w:trPr>
        <w:tc>
          <w:tcPr>
            <w:tcW w:w="8780" w:type="dxa"/>
            <w:gridSpan w:val="3"/>
            <w:tcBorders>
              <w:tl2br w:val="nil"/>
              <w:tr2bl w:val="nil"/>
            </w:tcBorders>
            <w:noWrap w:val="0"/>
            <w:vAlign w:val="center"/>
          </w:tcPr>
          <w:p w14:paraId="6EF31D4B">
            <w:pPr>
              <w:adjustRightInd w:val="0"/>
              <w:snapToGrid w:val="0"/>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4"/>
                <w:szCs w:val="24"/>
              </w:rPr>
              <w:t>现场照片</w:t>
            </w:r>
          </w:p>
        </w:tc>
      </w:tr>
    </w:tbl>
    <w:p w14:paraId="2D06C66D">
      <w:pPr>
        <w:pStyle w:val="4"/>
        <w:numPr>
          <w:ilvl w:val="0"/>
          <w:numId w:val="0"/>
        </w:numPr>
        <w:spacing w:line="360" w:lineRule="auto"/>
        <w:rPr>
          <w:rFonts w:hint="eastAsia" w:ascii="Times New Roman" w:hAnsi="Times New Roman" w:eastAsia="宋体" w:cstheme="minorBidi"/>
          <w:b/>
          <w:kern w:val="44"/>
          <w:sz w:val="30"/>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E237495">
      <w:pPr>
        <w:rPr>
          <w:rFonts w:hint="eastAsia"/>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6AE36B6">
      <w:pPr>
        <w:pStyle w:val="4"/>
        <w:numPr>
          <w:ilvl w:val="0"/>
          <w:numId w:val="0"/>
        </w:numPr>
        <w:spacing w:line="360" w:lineRule="auto"/>
        <w:jc w:val="center"/>
        <w:rPr>
          <w:rFonts w:hint="eastAsia" w:ascii="黑体" w:hAnsi="黑体" w:eastAsia="黑体" w:cs="黑体"/>
          <w:b w:val="0"/>
          <w:bCs/>
        </w:rPr>
      </w:pPr>
      <w:r>
        <w:rPr>
          <w:rFonts w:hint="eastAsia" w:ascii="黑体" w:hAnsi="黑体" w:eastAsia="黑体" w:cs="黑体"/>
          <w:b w:val="0"/>
          <w:bCs/>
          <w:kern w:val="44"/>
          <w:sz w:val="30"/>
          <w:szCs w:val="24"/>
          <w:lang w:val="en-US" w:eastAsia="zh-CN" w:bidi="ar-SA"/>
        </w:rPr>
        <w:t>一、</w:t>
      </w:r>
      <w:r>
        <w:rPr>
          <w:rFonts w:hint="eastAsia" w:ascii="黑体" w:hAnsi="黑体" w:eastAsia="黑体" w:cs="黑体"/>
          <w:b w:val="0"/>
          <w:bCs/>
        </w:rPr>
        <w:t>建设项目基本情况</w:t>
      </w:r>
    </w:p>
    <w:tbl>
      <w:tblPr>
        <w:tblStyle w:val="26"/>
        <w:tblW w:w="852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714"/>
        <w:gridCol w:w="2125"/>
        <w:gridCol w:w="1773"/>
        <w:gridCol w:w="2910"/>
      </w:tblGrid>
      <w:tr w14:paraId="6B355D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714" w:type="dxa"/>
            <w:tcBorders>
              <w:tl2br w:val="nil"/>
              <w:tr2bl w:val="nil"/>
            </w:tcBorders>
            <w:shd w:val="clear" w:color="auto" w:fill="auto"/>
            <w:vAlign w:val="center"/>
          </w:tcPr>
          <w:p w14:paraId="5BDE00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000000" w:themeColor="text1"/>
                <w14:textFill>
                  <w14:solidFill>
                    <w14:schemeClr w14:val="tx1"/>
                  </w14:solidFill>
                </w14:textFill>
              </w:rPr>
            </w:pPr>
            <w:r>
              <w:rPr>
                <w:b w:val="0"/>
                <w:bCs/>
                <w:color w:val="000000" w:themeColor="text1"/>
                <w14:textFill>
                  <w14:solidFill>
                    <w14:schemeClr w14:val="tx1"/>
                  </w14:solidFill>
                </w14:textFill>
              </w:rPr>
              <w:t>建设项目名称</w:t>
            </w:r>
          </w:p>
        </w:tc>
        <w:tc>
          <w:tcPr>
            <w:tcW w:w="6808" w:type="dxa"/>
            <w:gridSpan w:val="3"/>
            <w:tcBorders>
              <w:tl2br w:val="nil"/>
              <w:tr2bl w:val="nil"/>
            </w:tcBorders>
            <w:shd w:val="clear" w:color="auto" w:fill="auto"/>
            <w:vAlign w:val="center"/>
          </w:tcPr>
          <w:p w14:paraId="53958213">
            <w:pPr>
              <w:jc w:val="center"/>
              <w:rPr>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奇台县唯爱它宠物医院</w:t>
            </w:r>
            <w:r>
              <w:rPr>
                <w:rFonts w:hint="default"/>
                <w:b w:val="0"/>
                <w:bCs/>
                <w:color w:val="000000" w:themeColor="text1"/>
                <w14:textFill>
                  <w14:solidFill>
                    <w14:schemeClr w14:val="tx1"/>
                  </w14:solidFill>
                </w14:textFill>
              </w:rPr>
              <w:t>建设项目</w:t>
            </w:r>
          </w:p>
        </w:tc>
      </w:tr>
      <w:tr w14:paraId="6469CD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714" w:type="dxa"/>
            <w:tcBorders>
              <w:tl2br w:val="nil"/>
              <w:tr2bl w:val="nil"/>
            </w:tcBorders>
            <w:shd w:val="clear" w:color="auto" w:fill="auto"/>
            <w:vAlign w:val="center"/>
          </w:tcPr>
          <w:p w14:paraId="6A0E50D4">
            <w:pPr>
              <w:spacing w:line="360" w:lineRule="auto"/>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项目代码</w:t>
            </w:r>
          </w:p>
        </w:tc>
        <w:tc>
          <w:tcPr>
            <w:tcW w:w="6808" w:type="dxa"/>
            <w:gridSpan w:val="3"/>
            <w:tcBorders>
              <w:tl2br w:val="nil"/>
              <w:tr2bl w:val="nil"/>
            </w:tcBorders>
            <w:shd w:val="clear" w:color="auto" w:fill="auto"/>
            <w:vAlign w:val="center"/>
          </w:tcPr>
          <w:p w14:paraId="3EC74532">
            <w:pPr>
              <w:spacing w:line="360" w:lineRule="auto"/>
              <w:jc w:val="center"/>
              <w:rPr>
                <w:rFonts w:hint="eastAsia" w:eastAsia="宋体"/>
                <w:b w:val="0"/>
                <w:bCs/>
                <w:color w:val="000000" w:themeColor="text1"/>
                <w:lang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w:t>
            </w:r>
          </w:p>
        </w:tc>
      </w:tr>
      <w:tr w14:paraId="279C9F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714" w:type="dxa"/>
            <w:tcBorders>
              <w:tl2br w:val="nil"/>
              <w:tr2bl w:val="nil"/>
            </w:tcBorders>
            <w:shd w:val="clear" w:color="auto" w:fill="auto"/>
            <w:vAlign w:val="center"/>
          </w:tcPr>
          <w:p w14:paraId="37787C82">
            <w:pPr>
              <w:spacing w:line="240" w:lineRule="auto"/>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建设单位联系人</w:t>
            </w:r>
          </w:p>
        </w:tc>
        <w:tc>
          <w:tcPr>
            <w:tcW w:w="2125" w:type="dxa"/>
            <w:tcBorders>
              <w:tl2br w:val="nil"/>
              <w:tr2bl w:val="nil"/>
            </w:tcBorders>
            <w:shd w:val="clear" w:color="auto" w:fill="auto"/>
            <w:vAlign w:val="center"/>
          </w:tcPr>
          <w:p w14:paraId="7CBF1B5D">
            <w:pPr>
              <w:spacing w:line="360" w:lineRule="auto"/>
              <w:jc w:val="center"/>
              <w:rPr>
                <w:rFonts w:hint="default" w:eastAsia="宋体"/>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王军文</w:t>
            </w:r>
          </w:p>
        </w:tc>
        <w:tc>
          <w:tcPr>
            <w:tcW w:w="1773" w:type="dxa"/>
            <w:tcBorders>
              <w:tl2br w:val="nil"/>
              <w:tr2bl w:val="nil"/>
            </w:tcBorders>
            <w:shd w:val="clear" w:color="auto" w:fill="auto"/>
            <w:vAlign w:val="center"/>
          </w:tcPr>
          <w:p w14:paraId="7C12BD83">
            <w:pPr>
              <w:spacing w:line="360" w:lineRule="auto"/>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联系方式</w:t>
            </w:r>
          </w:p>
        </w:tc>
        <w:tc>
          <w:tcPr>
            <w:tcW w:w="2910" w:type="dxa"/>
            <w:tcBorders>
              <w:tl2br w:val="nil"/>
              <w:tr2bl w:val="nil"/>
            </w:tcBorders>
            <w:shd w:val="clear" w:color="auto" w:fill="auto"/>
            <w:vAlign w:val="center"/>
          </w:tcPr>
          <w:p w14:paraId="09BBF43E">
            <w:pPr>
              <w:spacing w:line="360" w:lineRule="auto"/>
              <w:jc w:val="center"/>
              <w:rPr>
                <w:rFonts w:hint="default" w:eastAsia="宋体"/>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15909005986</w:t>
            </w:r>
          </w:p>
        </w:tc>
      </w:tr>
      <w:tr w14:paraId="5E8163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714" w:type="dxa"/>
            <w:tcBorders>
              <w:tl2br w:val="nil"/>
              <w:tr2bl w:val="nil"/>
            </w:tcBorders>
            <w:shd w:val="clear" w:color="auto" w:fill="auto"/>
            <w:vAlign w:val="center"/>
          </w:tcPr>
          <w:p w14:paraId="1C9C309A">
            <w:pPr>
              <w:spacing w:line="360" w:lineRule="auto"/>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建设地点</w:t>
            </w:r>
          </w:p>
        </w:tc>
        <w:tc>
          <w:tcPr>
            <w:tcW w:w="6808" w:type="dxa"/>
            <w:gridSpan w:val="3"/>
            <w:tcBorders>
              <w:tl2br w:val="nil"/>
              <w:tr2bl w:val="nil"/>
            </w:tcBorders>
            <w:shd w:val="clear" w:color="auto" w:fill="auto"/>
            <w:vAlign w:val="center"/>
          </w:tcPr>
          <w:p w14:paraId="1E3B0C96">
            <w:pPr>
              <w:jc w:val="center"/>
              <w:rPr>
                <w:rFonts w:hint="default" w:eastAsia="宋体"/>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新疆维吾尔自治区</w:t>
            </w:r>
            <w:r>
              <w:rPr>
                <w:rFonts w:hint="default" w:eastAsia="宋体"/>
                <w:b w:val="0"/>
                <w:bCs/>
                <w:color w:val="000000" w:themeColor="text1"/>
                <w:lang w:val="en-US" w:eastAsia="zh-CN"/>
                <w14:textFill>
                  <w14:solidFill>
                    <w14:schemeClr w14:val="tx1"/>
                  </w14:solidFill>
                </w14:textFill>
              </w:rPr>
              <w:t>昌吉回族自治州奇台县团结路与</w:t>
            </w:r>
            <w:r>
              <w:rPr>
                <w:rFonts w:hint="eastAsia"/>
                <w:b w:val="0"/>
                <w:bCs/>
                <w:color w:val="000000" w:themeColor="text1"/>
                <w:lang w:val="en-US" w:eastAsia="zh-CN"/>
                <w14:textFill>
                  <w14:solidFill>
                    <w14:schemeClr w14:val="tx1"/>
                  </w14:solidFill>
                </w14:textFill>
              </w:rPr>
              <w:t>旱</w:t>
            </w:r>
            <w:r>
              <w:rPr>
                <w:rFonts w:hint="default" w:eastAsia="宋体"/>
                <w:b w:val="0"/>
                <w:bCs/>
                <w:color w:val="000000" w:themeColor="text1"/>
                <w:lang w:val="en-US" w:eastAsia="zh-CN"/>
                <w14:textFill>
                  <w14:solidFill>
                    <w14:schemeClr w14:val="tx1"/>
                  </w14:solidFill>
                </w14:textFill>
              </w:rPr>
              <w:t>码头中街交汇处圣水华庭1幢1层</w:t>
            </w:r>
            <w:r>
              <w:rPr>
                <w:rFonts w:hint="eastAsia"/>
                <w:b w:val="0"/>
                <w:bCs/>
                <w:color w:val="000000" w:themeColor="text1"/>
                <w:lang w:val="en-US" w:eastAsia="zh-CN"/>
                <w14:textFill>
                  <w14:solidFill>
                    <w14:schemeClr w14:val="tx1"/>
                  </w14:solidFill>
                </w14:textFill>
              </w:rPr>
              <w:t>4号、5号、</w:t>
            </w:r>
            <w:r>
              <w:rPr>
                <w:rFonts w:hint="default" w:eastAsia="宋体"/>
                <w:b w:val="0"/>
                <w:bCs/>
                <w:color w:val="000000" w:themeColor="text1"/>
                <w:lang w:val="en-US" w:eastAsia="zh-CN"/>
                <w14:textFill>
                  <w14:solidFill>
                    <w14:schemeClr w14:val="tx1"/>
                  </w14:solidFill>
                </w14:textFill>
              </w:rPr>
              <w:t>6号</w:t>
            </w:r>
          </w:p>
        </w:tc>
      </w:tr>
      <w:tr w14:paraId="7D8069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714" w:type="dxa"/>
            <w:tcBorders>
              <w:tl2br w:val="nil"/>
              <w:tr2bl w:val="nil"/>
            </w:tcBorders>
            <w:shd w:val="clear" w:color="auto" w:fill="auto"/>
            <w:vAlign w:val="center"/>
          </w:tcPr>
          <w:p w14:paraId="7BDA4FAD">
            <w:pPr>
              <w:spacing w:line="360" w:lineRule="auto"/>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地理坐标</w:t>
            </w:r>
          </w:p>
        </w:tc>
        <w:tc>
          <w:tcPr>
            <w:tcW w:w="6808" w:type="dxa"/>
            <w:gridSpan w:val="3"/>
            <w:tcBorders>
              <w:tl2br w:val="nil"/>
              <w:tr2bl w:val="nil"/>
            </w:tcBorders>
            <w:shd w:val="clear" w:color="auto" w:fill="auto"/>
            <w:vAlign w:val="center"/>
          </w:tcPr>
          <w:p w14:paraId="06EA01D4">
            <w:pPr>
              <w:spacing w:line="360" w:lineRule="auto"/>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w:t>
            </w:r>
            <w:r>
              <w:rPr>
                <w:rFonts w:hint="eastAsia"/>
                <w:b w:val="0"/>
                <w:bCs/>
                <w:color w:val="000000" w:themeColor="text1"/>
                <w:lang w:val="en-US" w:eastAsia="zh-CN"/>
                <w14:textFill>
                  <w14:solidFill>
                    <w14:schemeClr w14:val="tx1"/>
                  </w14:solidFill>
                </w14:textFill>
              </w:rPr>
              <w:t>东经</w:t>
            </w:r>
            <w:r>
              <w:rPr>
                <w:rFonts w:hint="eastAsia"/>
                <w:b w:val="0"/>
                <w:bCs/>
                <w:color w:val="000000" w:themeColor="text1"/>
                <w14:textFill>
                  <w14:solidFill>
                    <w14:schemeClr w14:val="tx1"/>
                  </w14:solidFill>
                </w14:textFill>
              </w:rPr>
              <w:t>8</w:t>
            </w:r>
            <w:r>
              <w:rPr>
                <w:rFonts w:hint="eastAsia"/>
                <w:b w:val="0"/>
                <w:bCs/>
                <w:color w:val="000000" w:themeColor="text1"/>
                <w:lang w:val="en-US" w:eastAsia="zh-CN"/>
                <w14:textFill>
                  <w14:solidFill>
                    <w14:schemeClr w14:val="tx1"/>
                  </w14:solidFill>
                </w14:textFill>
              </w:rPr>
              <w:t>9</w:t>
            </w:r>
            <w:r>
              <w:rPr>
                <w:b w:val="0"/>
                <w:bCs/>
                <w:color w:val="000000" w:themeColor="text1"/>
                <w14:textFill>
                  <w14:solidFill>
                    <w14:schemeClr w14:val="tx1"/>
                  </w14:solidFill>
                </w14:textFill>
              </w:rPr>
              <w:t>度</w:t>
            </w:r>
            <w:r>
              <w:rPr>
                <w:rFonts w:hint="eastAsia"/>
                <w:b w:val="0"/>
                <w:bCs/>
                <w:color w:val="000000" w:themeColor="text1"/>
                <w:lang w:val="en-US" w:eastAsia="zh-CN"/>
                <w14:textFill>
                  <w14:solidFill>
                    <w14:schemeClr w14:val="tx1"/>
                  </w14:solidFill>
                </w14:textFill>
              </w:rPr>
              <w:t>34</w:t>
            </w:r>
            <w:r>
              <w:rPr>
                <w:b w:val="0"/>
                <w:bCs/>
                <w:color w:val="000000" w:themeColor="text1"/>
                <w14:textFill>
                  <w14:solidFill>
                    <w14:schemeClr w14:val="tx1"/>
                  </w14:solidFill>
                </w14:textFill>
              </w:rPr>
              <w:t>分</w:t>
            </w:r>
            <w:r>
              <w:rPr>
                <w:rFonts w:hint="eastAsia"/>
                <w:b w:val="0"/>
                <w:bCs/>
                <w:color w:val="000000" w:themeColor="text1"/>
                <w:lang w:val="en-US" w:eastAsia="zh-CN"/>
                <w14:textFill>
                  <w14:solidFill>
                    <w14:schemeClr w14:val="tx1"/>
                  </w14:solidFill>
                </w14:textFill>
              </w:rPr>
              <w:t>42.590</w:t>
            </w:r>
            <w:r>
              <w:rPr>
                <w:b w:val="0"/>
                <w:bCs/>
                <w:color w:val="000000" w:themeColor="text1"/>
                <w14:textFill>
                  <w14:solidFill>
                    <w14:schemeClr w14:val="tx1"/>
                  </w14:solidFill>
                </w14:textFill>
              </w:rPr>
              <w:t>秒，</w:t>
            </w:r>
            <w:r>
              <w:rPr>
                <w:rFonts w:hint="eastAsia"/>
                <w:b w:val="0"/>
                <w:bCs/>
                <w:color w:val="000000" w:themeColor="text1"/>
                <w:lang w:val="en-US" w:eastAsia="zh-CN"/>
                <w14:textFill>
                  <w14:solidFill>
                    <w14:schemeClr w14:val="tx1"/>
                  </w14:solidFill>
                </w14:textFill>
              </w:rPr>
              <w:t>北纬</w:t>
            </w:r>
            <w:r>
              <w:rPr>
                <w:rFonts w:hint="eastAsia"/>
                <w:b w:val="0"/>
                <w:bCs/>
                <w:color w:val="000000" w:themeColor="text1"/>
                <w14:textFill>
                  <w14:solidFill>
                    <w14:schemeClr w14:val="tx1"/>
                  </w14:solidFill>
                </w14:textFill>
              </w:rPr>
              <w:t>4</w:t>
            </w:r>
            <w:r>
              <w:rPr>
                <w:rFonts w:hint="eastAsia"/>
                <w:b w:val="0"/>
                <w:bCs/>
                <w:color w:val="000000" w:themeColor="text1"/>
                <w:lang w:val="en-US" w:eastAsia="zh-CN"/>
                <w14:textFill>
                  <w14:solidFill>
                    <w14:schemeClr w14:val="tx1"/>
                  </w14:solidFill>
                </w14:textFill>
              </w:rPr>
              <w:t>4</w:t>
            </w:r>
            <w:r>
              <w:rPr>
                <w:b w:val="0"/>
                <w:bCs/>
                <w:color w:val="000000" w:themeColor="text1"/>
                <w14:textFill>
                  <w14:solidFill>
                    <w14:schemeClr w14:val="tx1"/>
                  </w14:solidFill>
                </w14:textFill>
              </w:rPr>
              <w:t>度</w:t>
            </w:r>
            <w:r>
              <w:rPr>
                <w:rFonts w:hint="eastAsia"/>
                <w:b w:val="0"/>
                <w:bCs/>
                <w:color w:val="000000" w:themeColor="text1"/>
                <w:lang w:val="en-US" w:eastAsia="zh-CN"/>
                <w14:textFill>
                  <w14:solidFill>
                    <w14:schemeClr w14:val="tx1"/>
                  </w14:solidFill>
                </w14:textFill>
              </w:rPr>
              <w:t>00</w:t>
            </w:r>
            <w:r>
              <w:rPr>
                <w:b w:val="0"/>
                <w:bCs/>
                <w:color w:val="000000" w:themeColor="text1"/>
                <w14:textFill>
                  <w14:solidFill>
                    <w14:schemeClr w14:val="tx1"/>
                  </w14:solidFill>
                </w14:textFill>
              </w:rPr>
              <w:t>分</w:t>
            </w:r>
            <w:r>
              <w:rPr>
                <w:rFonts w:hint="eastAsia"/>
                <w:b w:val="0"/>
                <w:bCs/>
                <w:color w:val="000000" w:themeColor="text1"/>
                <w:lang w:val="en-US" w:eastAsia="zh-CN"/>
                <w14:textFill>
                  <w14:solidFill>
                    <w14:schemeClr w14:val="tx1"/>
                  </w14:solidFill>
                </w14:textFill>
              </w:rPr>
              <w:t>33.103</w:t>
            </w:r>
            <w:r>
              <w:rPr>
                <w:b w:val="0"/>
                <w:bCs/>
                <w:color w:val="000000" w:themeColor="text1"/>
                <w14:textFill>
                  <w14:solidFill>
                    <w14:schemeClr w14:val="tx1"/>
                  </w14:solidFill>
                </w14:textFill>
              </w:rPr>
              <w:t>秒）</w:t>
            </w:r>
          </w:p>
        </w:tc>
      </w:tr>
      <w:tr w14:paraId="0BCB8B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c>
          <w:tcPr>
            <w:tcW w:w="1714" w:type="dxa"/>
            <w:tcBorders>
              <w:tl2br w:val="nil"/>
              <w:tr2bl w:val="nil"/>
            </w:tcBorders>
            <w:shd w:val="clear" w:color="auto" w:fill="auto"/>
            <w:vAlign w:val="center"/>
          </w:tcPr>
          <w:p w14:paraId="7D6B36E5">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国民经济</w:t>
            </w:r>
          </w:p>
          <w:p w14:paraId="200E1351">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行业类别</w:t>
            </w:r>
          </w:p>
        </w:tc>
        <w:tc>
          <w:tcPr>
            <w:tcW w:w="2125" w:type="dxa"/>
            <w:tcBorders>
              <w:tl2br w:val="nil"/>
              <w:tr2bl w:val="nil"/>
            </w:tcBorders>
            <w:shd w:val="clear" w:color="auto" w:fill="auto"/>
            <w:vAlign w:val="center"/>
          </w:tcPr>
          <w:p w14:paraId="2808E4D5">
            <w:pPr>
              <w:jc w:val="center"/>
              <w:rPr>
                <w:b w:val="0"/>
                <w:bCs/>
                <w:color w:val="000000" w:themeColor="text1"/>
                <w14:textFill>
                  <w14:solidFill>
                    <w14:schemeClr w14:val="tx1"/>
                  </w14:solidFill>
                </w14:textFill>
              </w:rPr>
            </w:pPr>
            <w:r>
              <w:rPr>
                <w:rFonts w:hint="eastAsia"/>
                <w:b w:val="0"/>
                <w:bCs/>
                <w:color w:val="000000" w:themeColor="text1"/>
                <w:lang w:val="en-US" w:eastAsia="zh-CN"/>
                <w14:textFill>
                  <w14:solidFill>
                    <w14:schemeClr w14:val="tx1"/>
                  </w14:solidFill>
                </w14:textFill>
              </w:rPr>
              <w:t>O8222宠物医院服务</w:t>
            </w:r>
          </w:p>
        </w:tc>
        <w:tc>
          <w:tcPr>
            <w:tcW w:w="1773" w:type="dxa"/>
            <w:tcBorders>
              <w:tl2br w:val="nil"/>
              <w:tr2bl w:val="nil"/>
            </w:tcBorders>
            <w:shd w:val="clear" w:color="auto" w:fill="auto"/>
            <w:vAlign w:val="center"/>
          </w:tcPr>
          <w:p w14:paraId="0271453F">
            <w:pPr>
              <w:jc w:val="center"/>
              <w:rPr>
                <w:b w:val="0"/>
                <w:bCs/>
                <w:color w:val="000000" w:themeColor="text1"/>
                <w14:textFill>
                  <w14:solidFill>
                    <w14:schemeClr w14:val="tx1"/>
                  </w14:solidFill>
                </w14:textFill>
              </w:rPr>
            </w:pPr>
            <w:bookmarkStart w:id="0" w:name="_Hlk49843745"/>
            <w:r>
              <w:rPr>
                <w:b w:val="0"/>
                <w:bCs/>
                <w:color w:val="000000" w:themeColor="text1"/>
                <w14:textFill>
                  <w14:solidFill>
                    <w14:schemeClr w14:val="tx1"/>
                  </w14:solidFill>
                </w14:textFill>
              </w:rPr>
              <w:t>建设项目</w:t>
            </w:r>
          </w:p>
          <w:p w14:paraId="7F58D0F9">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行业类别</w:t>
            </w:r>
            <w:bookmarkEnd w:id="0"/>
          </w:p>
        </w:tc>
        <w:tc>
          <w:tcPr>
            <w:tcW w:w="2910" w:type="dxa"/>
            <w:tcBorders>
              <w:tl2br w:val="nil"/>
              <w:tr2bl w:val="nil"/>
            </w:tcBorders>
            <w:shd w:val="clear" w:color="auto" w:fill="auto"/>
            <w:vAlign w:val="center"/>
          </w:tcPr>
          <w:p w14:paraId="37230C2A">
            <w:pPr>
              <w:jc w:val="center"/>
              <w:rPr>
                <w:rFonts w:hint="default"/>
                <w:b w:val="0"/>
                <w:bCs/>
                <w:color w:val="000000" w:themeColor="text1"/>
                <w:lang w:val="en-US"/>
                <w14:textFill>
                  <w14:solidFill>
                    <w14:schemeClr w14:val="tx1"/>
                  </w14:solidFill>
                </w14:textFill>
              </w:rPr>
            </w:pPr>
            <w:r>
              <w:rPr>
                <w:rFonts w:hint="eastAsia"/>
                <w:b w:val="0"/>
                <w:bCs/>
                <w:color w:val="000000" w:themeColor="text1"/>
                <w:lang w:val="en-US" w:eastAsia="zh-CN"/>
                <w14:textFill>
                  <w14:solidFill>
                    <w14:schemeClr w14:val="tx1"/>
                  </w14:solidFill>
                </w14:textFill>
              </w:rPr>
              <w:t>五十</w:t>
            </w:r>
            <w:r>
              <w:rPr>
                <w:rFonts w:hint="default"/>
                <w:b w:val="0"/>
                <w:bCs/>
                <w:color w:val="000000" w:themeColor="text1"/>
                <w14:textFill>
                  <w14:solidFill>
                    <w14:schemeClr w14:val="tx1"/>
                  </w14:solidFill>
                </w14:textFill>
              </w:rPr>
              <w:t>、社会事业与服务业</w:t>
            </w:r>
            <w:r>
              <w:rPr>
                <w:rFonts w:hint="eastAsia"/>
                <w:b w:val="0"/>
                <w:bCs/>
                <w:color w:val="000000" w:themeColor="text1"/>
                <w:lang w:val="en-US" w:eastAsia="zh-CN"/>
                <w14:textFill>
                  <w14:solidFill>
                    <w14:schemeClr w14:val="tx1"/>
                  </w14:solidFill>
                </w14:textFill>
              </w:rPr>
              <w:t>123</w:t>
            </w:r>
            <w:r>
              <w:rPr>
                <w:rFonts w:hint="default"/>
                <w:b w:val="0"/>
                <w:bCs/>
                <w:color w:val="000000" w:themeColor="text1"/>
                <w:lang w:val="en-US"/>
                <w14:textFill>
                  <w14:solidFill>
                    <w14:schemeClr w14:val="tx1"/>
                  </w14:solidFill>
                </w14:textFill>
              </w:rPr>
              <w:t>设有动物颅腔、胸腔或腹腔手术设施的</w:t>
            </w:r>
            <w:r>
              <w:rPr>
                <w:rFonts w:hint="eastAsia"/>
                <w:b w:val="0"/>
                <w:bCs/>
                <w:color w:val="000000" w:themeColor="text1"/>
                <w:lang w:val="en-US" w:eastAsia="zh-CN"/>
                <w14:textFill>
                  <w14:solidFill>
                    <w14:schemeClr w14:val="tx1"/>
                  </w14:solidFill>
                </w14:textFill>
              </w:rPr>
              <w:t>动物医院</w:t>
            </w:r>
          </w:p>
        </w:tc>
      </w:tr>
      <w:tr w14:paraId="476621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714" w:type="dxa"/>
            <w:tcBorders>
              <w:tl2br w:val="nil"/>
              <w:tr2bl w:val="nil"/>
            </w:tcBorders>
            <w:shd w:val="clear" w:color="auto" w:fill="auto"/>
            <w:vAlign w:val="center"/>
          </w:tcPr>
          <w:p w14:paraId="5C54C3B5">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建设性质</w:t>
            </w:r>
          </w:p>
        </w:tc>
        <w:tc>
          <w:tcPr>
            <w:tcW w:w="2125" w:type="dxa"/>
            <w:tcBorders>
              <w:tl2br w:val="nil"/>
              <w:tr2bl w:val="nil"/>
            </w:tcBorders>
            <w:shd w:val="clear" w:color="auto" w:fill="auto"/>
            <w:vAlign w:val="center"/>
          </w:tcPr>
          <w:p w14:paraId="4816FE04">
            <w:pPr>
              <w:jc w:val="both"/>
              <w:rPr>
                <w:b w:val="0"/>
                <w:bCs/>
                <w:color w:val="000000" w:themeColor="text1"/>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w:t>
            </w:r>
            <w:r>
              <w:rPr>
                <w:b w:val="0"/>
                <w:bCs/>
                <w:color w:val="000000" w:themeColor="text1"/>
                <w14:textFill>
                  <w14:solidFill>
                    <w14:schemeClr w14:val="tx1"/>
                  </w14:solidFill>
                </w14:textFill>
              </w:rPr>
              <w:t>新建（迁建）</w:t>
            </w:r>
          </w:p>
          <w:p w14:paraId="182C64C0">
            <w:pPr>
              <w:jc w:val="both"/>
              <w:rPr>
                <w:b w:val="0"/>
                <w:bCs/>
                <w:color w:val="000000" w:themeColor="text1"/>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w:t>
            </w:r>
            <w:r>
              <w:rPr>
                <w:b w:val="0"/>
                <w:bCs/>
                <w:color w:val="000000" w:themeColor="text1"/>
                <w14:textFill>
                  <w14:solidFill>
                    <w14:schemeClr w14:val="tx1"/>
                  </w14:solidFill>
                </w14:textFill>
              </w:rPr>
              <w:t>改建</w:t>
            </w:r>
          </w:p>
          <w:p w14:paraId="7EA4F70E">
            <w:pPr>
              <w:jc w:val="both"/>
              <w:rPr>
                <w:b w:val="0"/>
                <w:bCs/>
                <w:color w:val="000000" w:themeColor="text1"/>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w:t>
            </w:r>
            <w:r>
              <w:rPr>
                <w:b w:val="0"/>
                <w:bCs/>
                <w:color w:val="000000" w:themeColor="text1"/>
                <w14:textFill>
                  <w14:solidFill>
                    <w14:schemeClr w14:val="tx1"/>
                  </w14:solidFill>
                </w14:textFill>
              </w:rPr>
              <w:t>扩建</w:t>
            </w:r>
          </w:p>
          <w:p w14:paraId="1E52CCFF">
            <w:pPr>
              <w:jc w:val="both"/>
              <w:rPr>
                <w:b w:val="0"/>
                <w:bCs/>
                <w:color w:val="000000" w:themeColor="text1"/>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w:t>
            </w:r>
            <w:r>
              <w:rPr>
                <w:b w:val="0"/>
                <w:bCs/>
                <w:color w:val="000000" w:themeColor="text1"/>
                <w14:textFill>
                  <w14:solidFill>
                    <w14:schemeClr w14:val="tx1"/>
                  </w14:solidFill>
                </w14:textFill>
              </w:rPr>
              <w:t>技术改造</w:t>
            </w:r>
          </w:p>
        </w:tc>
        <w:tc>
          <w:tcPr>
            <w:tcW w:w="1773" w:type="dxa"/>
            <w:tcBorders>
              <w:tl2br w:val="nil"/>
              <w:tr2bl w:val="nil"/>
            </w:tcBorders>
            <w:shd w:val="clear" w:color="auto" w:fill="auto"/>
            <w:vAlign w:val="center"/>
          </w:tcPr>
          <w:p w14:paraId="1B2A9B32">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建设项目</w:t>
            </w:r>
          </w:p>
          <w:p w14:paraId="78FC06D3">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申报情形</w:t>
            </w:r>
          </w:p>
        </w:tc>
        <w:tc>
          <w:tcPr>
            <w:tcW w:w="2910" w:type="dxa"/>
            <w:tcBorders>
              <w:tl2br w:val="nil"/>
              <w:tr2bl w:val="nil"/>
            </w:tcBorders>
            <w:shd w:val="clear" w:color="auto" w:fill="auto"/>
            <w:tcMar>
              <w:top w:w="0" w:type="dxa"/>
              <w:left w:w="108" w:type="dxa"/>
              <w:bottom w:w="0" w:type="dxa"/>
              <w:right w:w="0" w:type="dxa"/>
            </w:tcMar>
            <w:vAlign w:val="center"/>
          </w:tcPr>
          <w:p w14:paraId="42E06BF8">
            <w:pPr>
              <w:jc w:val="both"/>
              <w:rPr>
                <w:b w:val="0"/>
                <w:bCs/>
                <w:color w:val="000000" w:themeColor="text1"/>
                <w14:textFill>
                  <w14:solidFill>
                    <w14:schemeClr w14:val="tx1"/>
                  </w14:solidFill>
                </w14:textFill>
              </w:rPr>
            </w:pPr>
            <w:r>
              <w:rPr>
                <w:rFonts w:hint="default" w:ascii="Times New Roman" w:hAnsi="Times New Roman" w:cs="Times New Roman"/>
                <w:b w:val="0"/>
                <w:bCs/>
                <w:color w:val="000000" w:themeColor="text1"/>
                <w:kern w:val="0"/>
                <w:sz w:val="24"/>
                <w14:textFill>
                  <w14:solidFill>
                    <w14:schemeClr w14:val="tx1"/>
                  </w14:solidFill>
                </w14:textFill>
              </w:rPr>
              <w:t>☑</w:t>
            </w:r>
            <w:r>
              <w:rPr>
                <w:b w:val="0"/>
                <w:bCs/>
                <w:color w:val="000000" w:themeColor="text1"/>
                <w14:textFill>
                  <w14:solidFill>
                    <w14:schemeClr w14:val="tx1"/>
                  </w14:solidFill>
                </w14:textFill>
              </w:rPr>
              <w:t>首次申报项目</w:t>
            </w:r>
          </w:p>
          <w:p w14:paraId="06D5C9F3">
            <w:pPr>
              <w:jc w:val="both"/>
              <w:rPr>
                <w:b w:val="0"/>
                <w:bCs/>
                <w:color w:val="000000" w:themeColor="text1"/>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w:t>
            </w:r>
            <w:r>
              <w:rPr>
                <w:b w:val="0"/>
                <w:bCs/>
                <w:color w:val="000000" w:themeColor="text1"/>
                <w14:textFill>
                  <w14:solidFill>
                    <w14:schemeClr w14:val="tx1"/>
                  </w14:solidFill>
                </w14:textFill>
              </w:rPr>
              <w:t>不予批准后再次申报项目</w:t>
            </w:r>
          </w:p>
          <w:p w14:paraId="2AA6270A">
            <w:pPr>
              <w:jc w:val="both"/>
              <w:rPr>
                <w:b w:val="0"/>
                <w:bCs/>
                <w:color w:val="000000" w:themeColor="text1"/>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w:t>
            </w:r>
            <w:r>
              <w:rPr>
                <w:b w:val="0"/>
                <w:bCs/>
                <w:color w:val="000000" w:themeColor="text1"/>
                <w14:textFill>
                  <w14:solidFill>
                    <w14:schemeClr w14:val="tx1"/>
                  </w14:solidFill>
                </w14:textFill>
              </w:rPr>
              <w:t>超五年重新审核项目</w:t>
            </w:r>
          </w:p>
          <w:p w14:paraId="401CDD99">
            <w:pPr>
              <w:jc w:val="both"/>
              <w:rPr>
                <w:b w:val="0"/>
                <w:bCs/>
                <w:color w:val="000000" w:themeColor="text1"/>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w:t>
            </w:r>
            <w:r>
              <w:rPr>
                <w:b w:val="0"/>
                <w:bCs/>
                <w:color w:val="000000" w:themeColor="text1"/>
                <w14:textFill>
                  <w14:solidFill>
                    <w14:schemeClr w14:val="tx1"/>
                  </w14:solidFill>
                </w14:textFill>
              </w:rPr>
              <w:t>重大变动重新报批项目</w:t>
            </w:r>
          </w:p>
        </w:tc>
      </w:tr>
      <w:tr w14:paraId="5FD142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36" w:hRule="atLeast"/>
        </w:trPr>
        <w:tc>
          <w:tcPr>
            <w:tcW w:w="1714" w:type="dxa"/>
            <w:tcBorders>
              <w:tl2br w:val="nil"/>
              <w:tr2bl w:val="nil"/>
            </w:tcBorders>
            <w:shd w:val="clear" w:color="auto" w:fill="auto"/>
            <w:vAlign w:val="center"/>
          </w:tcPr>
          <w:p w14:paraId="47627E21">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项目审批（核准/备案）部门（选填）</w:t>
            </w:r>
          </w:p>
        </w:tc>
        <w:tc>
          <w:tcPr>
            <w:tcW w:w="2125" w:type="dxa"/>
            <w:tcBorders>
              <w:tl2br w:val="nil"/>
              <w:tr2bl w:val="nil"/>
            </w:tcBorders>
            <w:shd w:val="clear" w:color="auto" w:fill="auto"/>
            <w:vAlign w:val="center"/>
          </w:tcPr>
          <w:p w14:paraId="597E380E">
            <w:pPr>
              <w:jc w:val="center"/>
              <w:rPr>
                <w:rFonts w:hint="eastAsia" w:eastAsia="宋体"/>
                <w:b w:val="0"/>
                <w:bCs/>
                <w:color w:val="000000" w:themeColor="text1"/>
                <w:lang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w:t>
            </w:r>
          </w:p>
        </w:tc>
        <w:tc>
          <w:tcPr>
            <w:tcW w:w="1773" w:type="dxa"/>
            <w:tcBorders>
              <w:tl2br w:val="nil"/>
              <w:tr2bl w:val="nil"/>
            </w:tcBorders>
            <w:shd w:val="clear" w:color="auto" w:fill="auto"/>
            <w:vAlign w:val="center"/>
          </w:tcPr>
          <w:p w14:paraId="39F0B1AC">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项目审批（核准/备案）文号（选填）</w:t>
            </w:r>
          </w:p>
        </w:tc>
        <w:tc>
          <w:tcPr>
            <w:tcW w:w="2910" w:type="dxa"/>
            <w:tcBorders>
              <w:tl2br w:val="nil"/>
              <w:tr2bl w:val="nil"/>
            </w:tcBorders>
            <w:shd w:val="clear" w:color="auto" w:fill="auto"/>
            <w:vAlign w:val="center"/>
          </w:tcPr>
          <w:p w14:paraId="42A746F6">
            <w:pPr>
              <w:adjustRightInd w:val="0"/>
              <w:snapToGrid w:val="0"/>
              <w:jc w:val="center"/>
              <w:rPr>
                <w:rFonts w:hint="eastAsia" w:eastAsia="宋体"/>
                <w:b w:val="0"/>
                <w:bCs/>
                <w:color w:val="000000" w:themeColor="text1"/>
                <w:lang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w:t>
            </w:r>
          </w:p>
        </w:tc>
      </w:tr>
      <w:tr w14:paraId="19F376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714" w:type="dxa"/>
            <w:tcBorders>
              <w:tl2br w:val="nil"/>
              <w:tr2bl w:val="nil"/>
            </w:tcBorders>
            <w:shd w:val="clear" w:color="auto" w:fill="auto"/>
            <w:vAlign w:val="center"/>
          </w:tcPr>
          <w:p w14:paraId="643D9209">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总投资（万元）</w:t>
            </w:r>
          </w:p>
        </w:tc>
        <w:tc>
          <w:tcPr>
            <w:tcW w:w="2125" w:type="dxa"/>
            <w:tcBorders>
              <w:tl2br w:val="nil"/>
              <w:tr2bl w:val="nil"/>
            </w:tcBorders>
            <w:shd w:val="clear" w:color="auto" w:fill="auto"/>
            <w:vAlign w:val="center"/>
          </w:tcPr>
          <w:p w14:paraId="7EE29C73">
            <w:pPr>
              <w:jc w:val="center"/>
              <w:rPr>
                <w:rFonts w:hint="default" w:eastAsia="宋体"/>
                <w:b w:val="0"/>
                <w:bCs/>
                <w:color w:val="auto"/>
                <w:highlight w:val="none"/>
                <w:lang w:val="en-US" w:eastAsia="zh-CN"/>
              </w:rPr>
            </w:pPr>
            <w:r>
              <w:rPr>
                <w:rFonts w:hint="eastAsia"/>
                <w:b w:val="0"/>
                <w:bCs/>
                <w:color w:val="auto"/>
                <w:highlight w:val="none"/>
                <w:lang w:val="en-US" w:eastAsia="zh-CN"/>
              </w:rPr>
              <w:t>12</w:t>
            </w:r>
          </w:p>
        </w:tc>
        <w:tc>
          <w:tcPr>
            <w:tcW w:w="1773" w:type="dxa"/>
            <w:tcBorders>
              <w:tl2br w:val="nil"/>
              <w:tr2bl w:val="nil"/>
            </w:tcBorders>
            <w:shd w:val="clear" w:color="auto" w:fill="auto"/>
            <w:vAlign w:val="center"/>
          </w:tcPr>
          <w:p w14:paraId="10791381">
            <w:pPr>
              <w:jc w:val="center"/>
              <w:rPr>
                <w:b w:val="0"/>
                <w:bCs/>
                <w:color w:val="auto"/>
              </w:rPr>
            </w:pPr>
            <w:r>
              <w:rPr>
                <w:b w:val="0"/>
                <w:bCs/>
                <w:color w:val="auto"/>
              </w:rPr>
              <w:t>环保投资</w:t>
            </w:r>
          </w:p>
          <w:p w14:paraId="400E89DB">
            <w:pPr>
              <w:jc w:val="center"/>
              <w:rPr>
                <w:b w:val="0"/>
                <w:bCs/>
                <w:color w:val="auto"/>
              </w:rPr>
            </w:pPr>
            <w:r>
              <w:rPr>
                <w:b w:val="0"/>
                <w:bCs/>
                <w:color w:val="auto"/>
              </w:rPr>
              <w:t>（万元）</w:t>
            </w:r>
          </w:p>
        </w:tc>
        <w:tc>
          <w:tcPr>
            <w:tcW w:w="2910" w:type="dxa"/>
            <w:tcBorders>
              <w:tl2br w:val="nil"/>
              <w:tr2bl w:val="nil"/>
            </w:tcBorders>
            <w:shd w:val="clear" w:color="auto" w:fill="auto"/>
            <w:vAlign w:val="center"/>
          </w:tcPr>
          <w:p w14:paraId="314B08D0">
            <w:pPr>
              <w:jc w:val="center"/>
              <w:rPr>
                <w:rFonts w:hint="default" w:eastAsia="宋体"/>
                <w:b w:val="0"/>
                <w:bCs/>
                <w:color w:val="auto"/>
                <w:lang w:val="en-US" w:eastAsia="zh-CN"/>
              </w:rPr>
            </w:pPr>
            <w:r>
              <w:rPr>
                <w:rFonts w:hint="eastAsia"/>
                <w:b w:val="0"/>
                <w:bCs/>
                <w:color w:val="auto"/>
                <w:lang w:val="en-US" w:eastAsia="zh-CN"/>
              </w:rPr>
              <w:t>3</w:t>
            </w:r>
          </w:p>
        </w:tc>
      </w:tr>
      <w:tr w14:paraId="07CEB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67" w:hRule="atLeast"/>
        </w:trPr>
        <w:tc>
          <w:tcPr>
            <w:tcW w:w="1714" w:type="dxa"/>
            <w:tcBorders>
              <w:tl2br w:val="nil"/>
              <w:tr2bl w:val="nil"/>
            </w:tcBorders>
            <w:shd w:val="clear" w:color="auto" w:fill="auto"/>
            <w:vAlign w:val="center"/>
          </w:tcPr>
          <w:p w14:paraId="67502BEE">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环保投资占比（%）</w:t>
            </w:r>
          </w:p>
        </w:tc>
        <w:tc>
          <w:tcPr>
            <w:tcW w:w="2125" w:type="dxa"/>
            <w:tcBorders>
              <w:tl2br w:val="nil"/>
              <w:tr2bl w:val="nil"/>
            </w:tcBorders>
            <w:shd w:val="clear" w:color="auto" w:fill="auto"/>
            <w:vAlign w:val="center"/>
          </w:tcPr>
          <w:p w14:paraId="7F43C06D">
            <w:pPr>
              <w:jc w:val="center"/>
              <w:rPr>
                <w:rFonts w:hint="default"/>
                <w:b w:val="0"/>
                <w:bCs/>
                <w:color w:val="auto"/>
                <w:highlight w:val="none"/>
                <w:lang w:val="en-US"/>
              </w:rPr>
            </w:pPr>
            <w:r>
              <w:rPr>
                <w:rFonts w:hint="eastAsia"/>
                <w:b w:val="0"/>
                <w:bCs/>
                <w:color w:val="auto"/>
                <w:highlight w:val="none"/>
                <w:lang w:val="en-US" w:eastAsia="zh-CN"/>
              </w:rPr>
              <w:t>25</w:t>
            </w:r>
          </w:p>
        </w:tc>
        <w:tc>
          <w:tcPr>
            <w:tcW w:w="1773" w:type="dxa"/>
            <w:tcBorders>
              <w:tl2br w:val="nil"/>
              <w:tr2bl w:val="nil"/>
            </w:tcBorders>
            <w:shd w:val="clear" w:color="auto" w:fill="auto"/>
            <w:vAlign w:val="center"/>
          </w:tcPr>
          <w:p w14:paraId="63FFC2D2">
            <w:pPr>
              <w:jc w:val="center"/>
              <w:rPr>
                <w:b w:val="0"/>
                <w:bCs/>
                <w:color w:val="auto"/>
              </w:rPr>
            </w:pPr>
            <w:r>
              <w:rPr>
                <w:b w:val="0"/>
                <w:bCs/>
                <w:color w:val="auto"/>
              </w:rPr>
              <w:t>施工工期</w:t>
            </w:r>
          </w:p>
        </w:tc>
        <w:tc>
          <w:tcPr>
            <w:tcW w:w="2910" w:type="dxa"/>
            <w:tcBorders>
              <w:tl2br w:val="nil"/>
              <w:tr2bl w:val="nil"/>
            </w:tcBorders>
            <w:shd w:val="clear" w:color="auto" w:fill="auto"/>
            <w:vAlign w:val="center"/>
          </w:tcPr>
          <w:p w14:paraId="656B3826">
            <w:pPr>
              <w:jc w:val="center"/>
              <w:rPr>
                <w:b w:val="0"/>
                <w:bCs/>
                <w:color w:val="auto"/>
              </w:rPr>
            </w:pPr>
            <w:r>
              <w:rPr>
                <w:rFonts w:hint="eastAsia"/>
                <w:b w:val="0"/>
                <w:bCs/>
                <w:color w:val="auto"/>
                <w:lang w:val="en-US" w:eastAsia="zh-CN"/>
              </w:rPr>
              <w:t>2</w:t>
            </w:r>
            <w:r>
              <w:rPr>
                <w:rFonts w:hint="eastAsia"/>
                <w:b w:val="0"/>
                <w:bCs/>
                <w:color w:val="auto"/>
              </w:rPr>
              <w:t>个月</w:t>
            </w:r>
          </w:p>
        </w:tc>
      </w:tr>
      <w:tr w14:paraId="255506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59" w:hRule="atLeast"/>
        </w:trPr>
        <w:tc>
          <w:tcPr>
            <w:tcW w:w="1714" w:type="dxa"/>
            <w:tcBorders>
              <w:tl2br w:val="nil"/>
              <w:tr2bl w:val="nil"/>
            </w:tcBorders>
            <w:shd w:val="clear" w:color="auto" w:fill="auto"/>
            <w:vAlign w:val="center"/>
          </w:tcPr>
          <w:p w14:paraId="337FF2F8">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是否开工建设</w:t>
            </w:r>
          </w:p>
        </w:tc>
        <w:tc>
          <w:tcPr>
            <w:tcW w:w="2125" w:type="dxa"/>
            <w:tcBorders>
              <w:tl2br w:val="nil"/>
              <w:tr2bl w:val="nil"/>
            </w:tcBorders>
            <w:shd w:val="clear" w:color="auto" w:fill="auto"/>
            <w:vAlign w:val="center"/>
          </w:tcPr>
          <w:p w14:paraId="249F7D12">
            <w:pPr>
              <w:jc w:val="both"/>
              <w:rPr>
                <w:b w:val="0"/>
                <w:bCs/>
                <w:color w:val="000000" w:themeColor="text1"/>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w:t>
            </w:r>
            <w:r>
              <w:rPr>
                <w:b w:val="0"/>
                <w:bCs/>
                <w:color w:val="000000" w:themeColor="text1"/>
                <w14:textFill>
                  <w14:solidFill>
                    <w14:schemeClr w14:val="tx1"/>
                  </w14:solidFill>
                </w14:textFill>
              </w:rPr>
              <w:t>否</w:t>
            </w:r>
          </w:p>
          <w:p w14:paraId="7A3893B7">
            <w:pPr>
              <w:jc w:val="both"/>
              <w:rPr>
                <w:rFonts w:hint="default" w:eastAsia="宋体"/>
                <w:b w:val="0"/>
                <w:bCs/>
                <w:color w:val="000000" w:themeColor="text1"/>
                <w:lang w:val="en-US" w:eastAsia="zh-CN"/>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w:t>
            </w:r>
            <w:r>
              <w:rPr>
                <w:b w:val="0"/>
                <w:bCs/>
                <w:color w:val="000000" w:themeColor="text1"/>
                <w14:textFill>
                  <w14:solidFill>
                    <w14:schemeClr w14:val="tx1"/>
                  </w14:solidFill>
                </w14:textFill>
              </w:rPr>
              <w:t>是</w:t>
            </w:r>
            <w:r>
              <w:rPr>
                <w:rFonts w:hint="eastAsia"/>
                <w:b w:val="0"/>
                <w:bCs/>
                <w:color w:val="000000" w:themeColor="text1"/>
                <w:lang w:eastAsia="zh-CN"/>
                <w14:textFill>
                  <w14:solidFill>
                    <w14:schemeClr w14:val="tx1"/>
                  </w14:solidFill>
                </w14:textFill>
              </w:rPr>
              <w:t>：</w:t>
            </w:r>
            <w:r>
              <w:rPr>
                <w:rFonts w:hint="eastAsia"/>
                <w:b w:val="0"/>
                <w:bCs/>
                <w:color w:val="000000" w:themeColor="text1"/>
                <w:u w:val="single"/>
                <w:lang w:val="en-US" w:eastAsia="zh-CN"/>
                <w14:textFill>
                  <w14:solidFill>
                    <w14:schemeClr w14:val="tx1"/>
                  </w14:solidFill>
                </w14:textFill>
              </w:rPr>
              <w:t xml:space="preserve">         </w:t>
            </w:r>
          </w:p>
        </w:tc>
        <w:tc>
          <w:tcPr>
            <w:tcW w:w="1773" w:type="dxa"/>
            <w:tcBorders>
              <w:tl2br w:val="nil"/>
              <w:tr2bl w:val="nil"/>
            </w:tcBorders>
            <w:shd w:val="clear" w:color="auto" w:fill="auto"/>
            <w:vAlign w:val="center"/>
          </w:tcPr>
          <w:p w14:paraId="22B54371">
            <w:pPr>
              <w:jc w:val="both"/>
              <w:rPr>
                <w:rFonts w:hint="eastAsia" w:cs="Times New Roman"/>
                <w:b w:val="0"/>
                <w:bCs/>
                <w:color w:val="000000" w:themeColor="text1"/>
                <w:kern w:val="0"/>
                <w:sz w:val="24"/>
                <w:lang w:eastAsia="zh-CN"/>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用地（用海）</w:t>
            </w:r>
          </w:p>
          <w:p w14:paraId="2B77D2F3">
            <w:pPr>
              <w:jc w:val="both"/>
              <w:rPr>
                <w:rFonts w:hint="eastAsia" w:cs="Times New Roman"/>
                <w:b w:val="0"/>
                <w:bCs/>
                <w:color w:val="000000" w:themeColor="text1"/>
                <w:kern w:val="0"/>
                <w:sz w:val="24"/>
                <w:lang w:eastAsia="zh-CN"/>
                <w14:textFill>
                  <w14:solidFill>
                    <w14:schemeClr w14:val="tx1"/>
                  </w14:solidFill>
                </w14:textFill>
              </w:rPr>
            </w:pPr>
            <w:r>
              <w:rPr>
                <w:rFonts w:hint="eastAsia" w:cs="Times New Roman"/>
                <w:b w:val="0"/>
                <w:bCs/>
                <w:color w:val="000000" w:themeColor="text1"/>
                <w:kern w:val="0"/>
                <w:sz w:val="24"/>
                <w:lang w:eastAsia="zh-CN"/>
                <w14:textFill>
                  <w14:solidFill>
                    <w14:schemeClr w14:val="tx1"/>
                  </w14:solidFill>
                </w14:textFill>
              </w:rPr>
              <w:t>面积（m</w:t>
            </w:r>
            <w:r>
              <w:rPr>
                <w:rFonts w:hint="eastAsia" w:cs="Times New Roman"/>
                <w:b w:val="0"/>
                <w:bCs/>
                <w:color w:val="000000" w:themeColor="text1"/>
                <w:kern w:val="0"/>
                <w:sz w:val="24"/>
                <w:vertAlign w:val="superscript"/>
                <w:lang w:eastAsia="zh-CN"/>
                <w14:textFill>
                  <w14:solidFill>
                    <w14:schemeClr w14:val="tx1"/>
                  </w14:solidFill>
                </w14:textFill>
              </w:rPr>
              <w:t>2</w:t>
            </w:r>
            <w:r>
              <w:rPr>
                <w:rFonts w:hint="eastAsia" w:cs="Times New Roman"/>
                <w:b w:val="0"/>
                <w:bCs/>
                <w:color w:val="000000" w:themeColor="text1"/>
                <w:kern w:val="0"/>
                <w:sz w:val="24"/>
                <w:lang w:eastAsia="zh-CN"/>
                <w14:textFill>
                  <w14:solidFill>
                    <w14:schemeClr w14:val="tx1"/>
                  </w14:solidFill>
                </w14:textFill>
              </w:rPr>
              <w:t>）</w:t>
            </w:r>
          </w:p>
        </w:tc>
        <w:tc>
          <w:tcPr>
            <w:tcW w:w="2910" w:type="dxa"/>
            <w:tcBorders>
              <w:tl2br w:val="nil"/>
              <w:tr2bl w:val="nil"/>
            </w:tcBorders>
            <w:shd w:val="clear" w:color="auto" w:fill="auto"/>
            <w:vAlign w:val="center"/>
          </w:tcPr>
          <w:p w14:paraId="03EEA9F0">
            <w:pPr>
              <w:jc w:val="center"/>
              <w:rPr>
                <w:rFonts w:hint="default" w:cs="Times New Roman"/>
                <w:b w:val="0"/>
                <w:bCs/>
                <w:color w:val="000000" w:themeColor="text1"/>
                <w:kern w:val="0"/>
                <w:sz w:val="24"/>
                <w:lang w:val="en-US" w:eastAsia="zh-CN"/>
                <w14:textFill>
                  <w14:solidFill>
                    <w14:schemeClr w14:val="tx1"/>
                  </w14:solidFill>
                </w14:textFill>
              </w:rPr>
            </w:pPr>
            <w:r>
              <w:rPr>
                <w:rFonts w:hint="eastAsia"/>
                <w:b w:val="0"/>
                <w:bCs/>
                <w:color w:val="000000" w:themeColor="text1"/>
                <w:highlight w:val="none"/>
                <w:lang w:val="en-US" w:eastAsia="zh-CN"/>
                <w14:textFill>
                  <w14:solidFill>
                    <w14:schemeClr w14:val="tx1"/>
                  </w14:solidFill>
                </w14:textFill>
              </w:rPr>
              <w:t>150</w:t>
            </w:r>
          </w:p>
        </w:tc>
      </w:tr>
      <w:tr w14:paraId="3FAB45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57" w:hRule="atLeast"/>
        </w:trPr>
        <w:tc>
          <w:tcPr>
            <w:tcW w:w="1714" w:type="dxa"/>
            <w:tcBorders>
              <w:tl2br w:val="nil"/>
              <w:tr2bl w:val="nil"/>
            </w:tcBorders>
            <w:shd w:val="clear" w:color="auto" w:fill="auto"/>
            <w:vAlign w:val="center"/>
          </w:tcPr>
          <w:p w14:paraId="4A0063BA">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专项评价设置情况</w:t>
            </w:r>
          </w:p>
        </w:tc>
        <w:tc>
          <w:tcPr>
            <w:tcW w:w="6808" w:type="dxa"/>
            <w:gridSpan w:val="3"/>
            <w:tcBorders>
              <w:tl2br w:val="nil"/>
              <w:tr2bl w:val="nil"/>
            </w:tcBorders>
            <w:shd w:val="clear" w:color="auto" w:fill="auto"/>
            <w:vAlign w:val="center"/>
          </w:tcPr>
          <w:p w14:paraId="57D48173">
            <w:pPr>
              <w:jc w:val="center"/>
              <w:rPr>
                <w:b w:val="0"/>
                <w:bCs/>
                <w:color w:val="000000" w:themeColor="text1"/>
                <w14:textFill>
                  <w14:solidFill>
                    <w14:schemeClr w14:val="tx1"/>
                  </w14:solidFill>
                </w14:textFill>
              </w:rPr>
            </w:pPr>
            <w:r>
              <w:rPr>
                <w:b w:val="0"/>
                <w:bCs/>
                <w:color w:val="000000" w:themeColor="text1"/>
                <w14:textFill>
                  <w14:solidFill>
                    <w14:schemeClr w14:val="tx1"/>
                  </w14:solidFill>
                </w14:textFill>
              </w:rPr>
              <w:t>无</w:t>
            </w:r>
          </w:p>
        </w:tc>
      </w:tr>
      <w:tr w14:paraId="267B9C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42" w:hRule="atLeast"/>
        </w:trPr>
        <w:tc>
          <w:tcPr>
            <w:tcW w:w="1714" w:type="dxa"/>
            <w:tcBorders>
              <w:tl2br w:val="nil"/>
              <w:tr2bl w:val="nil"/>
            </w:tcBorders>
            <w:shd w:val="clear" w:color="auto" w:fill="auto"/>
            <w:vAlign w:val="center"/>
          </w:tcPr>
          <w:p w14:paraId="29B74CCF">
            <w:pPr>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规划情况</w:t>
            </w:r>
          </w:p>
        </w:tc>
        <w:tc>
          <w:tcPr>
            <w:tcW w:w="6808" w:type="dxa"/>
            <w:gridSpan w:val="3"/>
            <w:tcBorders>
              <w:tl2br w:val="nil"/>
              <w:tr2bl w:val="nil"/>
            </w:tcBorders>
            <w:shd w:val="clear" w:color="auto" w:fill="auto"/>
            <w:vAlign w:val="center"/>
          </w:tcPr>
          <w:p w14:paraId="7A7F4851">
            <w:pPr>
              <w:pStyle w:val="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无</w:t>
            </w:r>
          </w:p>
        </w:tc>
      </w:tr>
      <w:tr w14:paraId="05E4B2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38" w:hRule="atLeast"/>
        </w:trPr>
        <w:tc>
          <w:tcPr>
            <w:tcW w:w="1714" w:type="dxa"/>
            <w:tcBorders>
              <w:tl2br w:val="nil"/>
              <w:tr2bl w:val="nil"/>
            </w:tcBorders>
            <w:shd w:val="clear" w:color="auto" w:fill="auto"/>
            <w:vAlign w:val="center"/>
          </w:tcPr>
          <w:p w14:paraId="1DA2DBF7">
            <w:pPr>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规划环境影响</w:t>
            </w:r>
          </w:p>
          <w:p w14:paraId="790B19E8">
            <w:pPr>
              <w:jc w:val="center"/>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评价情况</w:t>
            </w:r>
          </w:p>
        </w:tc>
        <w:tc>
          <w:tcPr>
            <w:tcW w:w="6808" w:type="dxa"/>
            <w:gridSpan w:val="3"/>
            <w:tcBorders>
              <w:tl2br w:val="nil"/>
              <w:tr2bl w:val="nil"/>
            </w:tcBorders>
            <w:shd w:val="clear" w:color="auto" w:fill="auto"/>
            <w:vAlign w:val="center"/>
          </w:tcPr>
          <w:p w14:paraId="4CEEC0AC">
            <w:pPr>
              <w:pStyle w:val="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14:paraId="00F460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01" w:hRule="atLeast"/>
        </w:trPr>
        <w:tc>
          <w:tcPr>
            <w:tcW w:w="1714" w:type="dxa"/>
            <w:tcBorders>
              <w:tl2br w:val="nil"/>
              <w:tr2bl w:val="nil"/>
            </w:tcBorders>
            <w:shd w:val="clear" w:color="auto" w:fill="auto"/>
            <w:vAlign w:val="center"/>
          </w:tcPr>
          <w:p w14:paraId="35C02513">
            <w:pPr>
              <w:jc w:val="center"/>
              <w:rPr>
                <w:b w:val="0"/>
                <w:bCs/>
                <w:color w:val="000000" w:themeColor="text1"/>
                <w14:textFill>
                  <w14:solidFill>
                    <w14:schemeClr w14:val="tx1"/>
                  </w14:solidFill>
                </w14:textFill>
              </w:rPr>
            </w:pPr>
            <w:r>
              <w:rPr>
                <w:rFonts w:hint="eastAsia" w:ascii="宋体" w:hAnsi="宋体" w:cs="宋体"/>
                <w:b w:val="0"/>
                <w:bCs/>
                <w:snapToGrid w:val="0"/>
                <w:color w:val="000000" w:themeColor="text1"/>
                <w:kern w:val="0"/>
                <w:szCs w:val="21"/>
                <w14:textFill>
                  <w14:solidFill>
                    <w14:schemeClr w14:val="tx1"/>
                  </w14:solidFill>
                </w14:textFill>
              </w:rPr>
              <w:t>规划及规划环境影响评价符合性分析</w:t>
            </w:r>
          </w:p>
        </w:tc>
        <w:tc>
          <w:tcPr>
            <w:tcW w:w="6808" w:type="dxa"/>
            <w:gridSpan w:val="3"/>
            <w:tcBorders>
              <w:tl2br w:val="nil"/>
              <w:tr2bl w:val="nil"/>
            </w:tcBorders>
            <w:shd w:val="clear" w:color="auto" w:fill="auto"/>
            <w:vAlign w:val="center"/>
          </w:tcPr>
          <w:p w14:paraId="04D65ACB">
            <w:pPr>
              <w:pStyle w:val="3"/>
              <w:ind w:firstLine="0" w:firstLineChars="0"/>
              <w:jc w:val="center"/>
              <w:rPr>
                <w:rFonts w:hint="eastAsia"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无</w:t>
            </w:r>
          </w:p>
        </w:tc>
      </w:tr>
      <w:tr w14:paraId="4C0940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883" w:hRule="atLeast"/>
        </w:trPr>
        <w:tc>
          <w:tcPr>
            <w:tcW w:w="1714" w:type="dxa"/>
            <w:tcBorders>
              <w:tl2br w:val="nil"/>
              <w:tr2bl w:val="nil"/>
            </w:tcBorders>
            <w:shd w:val="clear" w:color="auto" w:fill="auto"/>
            <w:vAlign w:val="center"/>
          </w:tcPr>
          <w:p w14:paraId="07A56099">
            <w:pPr>
              <w:autoSpaceDE w:val="0"/>
              <w:autoSpaceDN w:val="0"/>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其他符合性分析</w:t>
            </w:r>
          </w:p>
        </w:tc>
        <w:tc>
          <w:tcPr>
            <w:tcW w:w="6808" w:type="dxa"/>
            <w:gridSpan w:val="3"/>
            <w:tcBorders>
              <w:tl2br w:val="nil"/>
              <w:tr2bl w:val="nil"/>
            </w:tcBorders>
            <w:shd w:val="clear" w:color="auto" w:fill="auto"/>
            <w:vAlign w:val="center"/>
          </w:tcPr>
          <w:p w14:paraId="3C4CBAEC">
            <w:pPr>
              <w:pStyle w:val="5"/>
              <w:numPr>
                <w:ilvl w:val="0"/>
                <w:numId w:val="0"/>
              </w:numPr>
              <w:spacing w:line="360" w:lineRule="auto"/>
              <w:jc w:val="both"/>
              <w:outlineLvl w:val="1"/>
              <w:rPr>
                <w:color w:val="000000" w:themeColor="text1"/>
                <w:sz w:val="24"/>
                <w:szCs w:val="24"/>
                <w14:textFill>
                  <w14:solidFill>
                    <w14:schemeClr w14:val="tx1"/>
                  </w14:solidFill>
                </w14:textFill>
              </w:rPr>
            </w:pPr>
            <w:r>
              <w:rPr>
                <w:rFonts w:ascii="Times New Roman" w:hAnsi="Times New Roman" w:eastAsia="宋体" w:cstheme="minorBidi"/>
                <w:b/>
                <w:color w:val="000000" w:themeColor="text1"/>
                <w:kern w:val="2"/>
                <w:sz w:val="24"/>
                <w:szCs w:val="24"/>
                <w:lang w:val="en-US" w:eastAsia="zh-CN" w:bidi="ar-SA"/>
                <w14:textFill>
                  <w14:solidFill>
                    <w14:schemeClr w14:val="tx1"/>
                  </w14:solidFill>
                </w14:textFill>
              </w:rPr>
              <w:t>1</w:t>
            </w:r>
            <w:r>
              <w:rPr>
                <w:rFonts w:hint="eastAsia" w:cstheme="minorBidi"/>
                <w:b/>
                <w:color w:val="000000" w:themeColor="text1"/>
                <w:kern w:val="2"/>
                <w:sz w:val="24"/>
                <w:szCs w:val="24"/>
                <w:lang w:val="en-US" w:eastAsia="zh-CN" w:bidi="ar-SA"/>
                <w14:textFill>
                  <w14:solidFill>
                    <w14:schemeClr w14:val="tx1"/>
                  </w14:solidFill>
                </w14:textFill>
              </w:rPr>
              <w:t xml:space="preserve"> </w:t>
            </w:r>
            <w:r>
              <w:rPr>
                <w:color w:val="000000" w:themeColor="text1"/>
                <w:sz w:val="24"/>
                <w:szCs w:val="24"/>
                <w14:textFill>
                  <w14:solidFill>
                    <w14:schemeClr w14:val="tx1"/>
                  </w14:solidFill>
                </w14:textFill>
              </w:rPr>
              <w:t>产业政策符合性分析</w:t>
            </w:r>
          </w:p>
          <w:p w14:paraId="7ADC27A4">
            <w:pPr>
              <w:pStyle w:val="3"/>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根据《国民经济行业分类与代码》</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w:t>
            </w:r>
            <w:r>
              <w:rPr>
                <w:rFonts w:hint="eastAsia"/>
                <w:color w:val="000000" w:themeColor="text1"/>
                <w:lang w:val="en-US" w:eastAsia="zh-CN"/>
                <w14:textFill>
                  <w14:solidFill>
                    <w14:schemeClr w14:val="tx1"/>
                  </w14:solidFill>
                </w14:textFill>
              </w:rPr>
              <w:t>/T</w:t>
            </w:r>
            <w:r>
              <w:rPr>
                <w:rFonts w:hint="eastAsia"/>
                <w:color w:val="000000" w:themeColor="text1"/>
                <w14:textFill>
                  <w14:solidFill>
                    <w14:schemeClr w14:val="tx1"/>
                  </w14:solidFill>
                </w14:textFill>
              </w:rPr>
              <w:t>4754-2017</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，本项目属于“</w:t>
            </w:r>
            <w:r>
              <w:rPr>
                <w:rFonts w:hint="eastAsia"/>
                <w:color w:val="000000" w:themeColor="text1"/>
                <w:lang w:val="en-US" w:eastAsia="zh-CN"/>
                <w14:textFill>
                  <w14:solidFill>
                    <w14:schemeClr w14:val="tx1"/>
                  </w14:solidFill>
                </w14:textFill>
              </w:rPr>
              <w:t>O</w:t>
            </w:r>
            <w:r>
              <w:rPr>
                <w:rFonts w:hint="eastAsia"/>
                <w:color w:val="000000" w:themeColor="text1"/>
                <w14:textFill>
                  <w14:solidFill>
                    <w14:schemeClr w14:val="tx1"/>
                  </w14:solidFill>
                </w14:textFill>
              </w:rPr>
              <w:t>8222宠物医院服务”</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根据国家发展和改革委员会令第29号令《产业结构调整指导目录（20</w:t>
            </w: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年本）》</w:t>
            </w:r>
            <w:r>
              <w:rPr>
                <w:rFonts w:hint="eastAsia"/>
                <w:color w:val="000000" w:themeColor="text1"/>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本项目不属于</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14:textFill>
                  <w14:solidFill>
                    <w14:schemeClr w14:val="tx1"/>
                  </w14:solidFill>
                </w14:textFill>
              </w:rPr>
              <w:t>限制类</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14:textFill>
                  <w14:solidFill>
                    <w14:schemeClr w14:val="tx1"/>
                  </w14:solidFill>
                </w14:textFill>
              </w:rPr>
              <w:t>淘汰类和鼓励类</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属于</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14:textFill>
                  <w14:solidFill>
                    <w14:schemeClr w14:val="tx1"/>
                  </w14:solidFill>
                </w14:textFill>
              </w:rPr>
              <w:t>允许类</w:t>
            </w:r>
            <w:r>
              <w:rPr>
                <w:rFonts w:hint="eastAsia" w:ascii="Times New Roman" w:hAnsi="Times New Roman" w:cs="Times New Roman"/>
                <w:color w:val="000000" w:themeColor="text1"/>
                <w:sz w:val="24"/>
                <w:szCs w:val="24"/>
                <w:lang w:val="en-US" w:eastAsia="zh-CN"/>
                <w14:textFill>
                  <w14:solidFill>
                    <w14:schemeClr w14:val="tx1"/>
                  </w14:solidFill>
                </w14:textFill>
              </w:rPr>
              <w:t>”规定范畴，</w:t>
            </w:r>
            <w:r>
              <w:rPr>
                <w:rFonts w:hint="eastAsia"/>
                <w:color w:val="000000" w:themeColor="text1"/>
                <w14:textFill>
                  <w14:solidFill>
                    <w14:schemeClr w14:val="tx1"/>
                  </w14:solidFill>
                </w14:textFill>
              </w:rPr>
              <w:t>因此，本项目符合现行国家产业政策的有关要求。</w:t>
            </w:r>
          </w:p>
          <w:p w14:paraId="2E6F86E3">
            <w:pPr>
              <w:pStyle w:val="5"/>
              <w:numPr>
                <w:ilvl w:val="0"/>
                <w:numId w:val="0"/>
              </w:numPr>
              <w:spacing w:line="360" w:lineRule="auto"/>
              <w:jc w:val="both"/>
              <w:outlineLvl w:val="1"/>
              <w:rPr>
                <w:color w:val="000000" w:themeColor="text1"/>
                <w:sz w:val="24"/>
                <w:szCs w:val="24"/>
                <w14:textFill>
                  <w14:solidFill>
                    <w14:schemeClr w14:val="tx1"/>
                  </w14:solidFill>
                </w14:textFill>
              </w:rPr>
            </w:pPr>
            <w:r>
              <w:rPr>
                <w:rFonts w:ascii="Times New Roman" w:hAnsi="Times New Roman" w:eastAsia="宋体" w:cstheme="minorBidi"/>
                <w:b/>
                <w:color w:val="000000" w:themeColor="text1"/>
                <w:kern w:val="2"/>
                <w:sz w:val="24"/>
                <w:szCs w:val="24"/>
                <w:lang w:val="en-US" w:eastAsia="zh-CN" w:bidi="ar-SA"/>
                <w14:textFill>
                  <w14:solidFill>
                    <w14:schemeClr w14:val="tx1"/>
                  </w14:solidFill>
                </w14:textFill>
              </w:rPr>
              <w:t>2</w:t>
            </w:r>
            <w:r>
              <w:rPr>
                <w:rFonts w:hint="eastAsia" w:cstheme="minorBidi"/>
                <w:b/>
                <w:color w:val="000000" w:themeColor="text1"/>
                <w:kern w:val="2"/>
                <w:sz w:val="24"/>
                <w:szCs w:val="24"/>
                <w:lang w:val="en-US" w:eastAsia="zh-CN" w:bidi="ar-SA"/>
                <w14:textFill>
                  <w14:solidFill>
                    <w14:schemeClr w14:val="tx1"/>
                  </w14:solidFill>
                </w14:textFill>
              </w:rPr>
              <w:t xml:space="preserve"> </w:t>
            </w:r>
            <w:r>
              <w:rPr>
                <w:color w:val="000000" w:themeColor="text1"/>
                <w:sz w:val="24"/>
                <w:szCs w:val="24"/>
                <w14:textFill>
                  <w14:solidFill>
                    <w14:schemeClr w14:val="tx1"/>
                  </w14:solidFill>
                </w14:textFill>
              </w:rPr>
              <w:t>“三线一单”符合性分析</w:t>
            </w:r>
          </w:p>
          <w:p w14:paraId="31389FB6">
            <w:pPr>
              <w:pStyle w:val="5"/>
              <w:numPr>
                <w:ilvl w:val="0"/>
                <w:numId w:val="0"/>
              </w:numPr>
              <w:spacing w:line="360" w:lineRule="auto"/>
              <w:jc w:val="both"/>
              <w:outlineLvl w:val="1"/>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2.1 与</w:t>
            </w:r>
            <w:r>
              <w:rPr>
                <w:rFonts w:hint="default" w:ascii="Times New Roman" w:hAnsi="Times New Roman" w:eastAsia="宋体"/>
                <w:color w:val="000000" w:themeColor="text1"/>
                <w:sz w:val="24"/>
                <w:szCs w:val="24"/>
                <w:lang w:val="en-US" w:eastAsia="zh-CN"/>
                <w14:textFill>
                  <w14:solidFill>
                    <w14:schemeClr w14:val="tx1"/>
                  </w14:solidFill>
                </w14:textFill>
              </w:rPr>
              <w:t>新疆维吾尔自治区</w:t>
            </w:r>
            <w:r>
              <w:rPr>
                <w:rFonts w:hint="eastAsia" w:ascii="Times New Roman" w:hAnsi="Times New Roman" w:eastAsia="宋体"/>
                <w:color w:val="000000" w:themeColor="text1"/>
                <w:sz w:val="24"/>
                <w:szCs w:val="24"/>
                <w:lang w:val="en-US" w:eastAsia="zh-CN"/>
                <w14:textFill>
                  <w14:solidFill>
                    <w14:schemeClr w14:val="tx1"/>
                  </w14:solidFill>
                </w14:textFill>
              </w:rPr>
              <w:t>生态环境分区管控动态更新成果的符合性分析</w:t>
            </w:r>
          </w:p>
          <w:p w14:paraId="749389E6">
            <w:pPr>
              <w:pStyle w:val="3"/>
              <w:spacing w:line="360" w:lineRule="auto"/>
              <w:ind w:firstLine="480"/>
              <w:jc w:val="both"/>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2024年</w:t>
            </w:r>
            <w:r>
              <w:rPr>
                <w:rFonts w:hint="default" w:ascii="Times New Roman" w:hAnsi="Times New Roman" w:eastAsia="宋体"/>
                <w:color w:val="000000" w:themeColor="text1"/>
                <w:lang w:val="en-US" w:eastAsia="zh-CN"/>
                <w14:textFill>
                  <w14:solidFill>
                    <w14:schemeClr w14:val="tx1"/>
                  </w14:solidFill>
                </w14:textFill>
              </w:rPr>
              <w:t>11月15日新疆维吾尔自治区生态环境厅发布了</w:t>
            </w:r>
            <w:r>
              <w:rPr>
                <w:rFonts w:hint="eastAsia" w:ascii="Times New Roman" w:hAnsi="Times New Roman" w:eastAsia="宋体"/>
                <w:color w:val="000000" w:themeColor="text1"/>
                <w:lang w:val="en-US" w:eastAsia="zh-CN"/>
                <w14:textFill>
                  <w14:solidFill>
                    <w14:schemeClr w14:val="tx1"/>
                  </w14:solidFill>
                </w14:textFill>
              </w:rPr>
              <w:t>“</w:t>
            </w:r>
            <w:r>
              <w:rPr>
                <w:rFonts w:hint="default" w:ascii="Times New Roman" w:hAnsi="Times New Roman" w:eastAsia="宋体"/>
                <w:color w:val="000000" w:themeColor="text1"/>
                <w:lang w:val="en-US" w:eastAsia="zh-CN"/>
                <w14:textFill>
                  <w14:solidFill>
                    <w14:schemeClr w14:val="tx1"/>
                  </w14:solidFill>
                </w14:textFill>
              </w:rPr>
              <w:t>关于印发《新疆维吾尔自治区生态环境分区管控动态更新成果》的通知</w:t>
            </w:r>
            <w:r>
              <w:rPr>
                <w:rFonts w:hint="eastAsia" w:ascii="Times New Roman" w:hAnsi="Times New Roman" w:eastAsia="宋体"/>
                <w:color w:val="000000" w:themeColor="text1"/>
                <w:lang w:val="en-US" w:eastAsia="zh-CN"/>
                <w14:textFill>
                  <w14:solidFill>
                    <w14:schemeClr w14:val="tx1"/>
                  </w14:solidFill>
                </w14:textFill>
              </w:rPr>
              <w:t>”（</w:t>
            </w:r>
            <w:r>
              <w:rPr>
                <w:rFonts w:hint="default" w:ascii="Times New Roman" w:hAnsi="Times New Roman" w:eastAsia="宋体"/>
                <w:color w:val="000000" w:themeColor="text1"/>
                <w:lang w:val="en-US" w:eastAsia="zh-CN"/>
                <w14:textFill>
                  <w14:solidFill>
                    <w14:schemeClr w14:val="tx1"/>
                  </w14:solidFill>
                </w14:textFill>
              </w:rPr>
              <w:t>新环环评发〔2024〕157号</w:t>
            </w:r>
            <w:r>
              <w:rPr>
                <w:rFonts w:hint="eastAsia" w:ascii="Times New Roman" w:hAnsi="Times New Roman" w:eastAsia="宋体"/>
                <w:color w:val="000000" w:themeColor="text1"/>
                <w:lang w:val="en-US" w:eastAsia="zh-CN"/>
                <w14:textFill>
                  <w14:solidFill>
                    <w14:schemeClr w14:val="tx1"/>
                  </w14:solidFill>
                </w14:textFill>
              </w:rPr>
              <w:t>）</w:t>
            </w:r>
            <w:r>
              <w:rPr>
                <w:rFonts w:hint="default" w:ascii="Times New Roman" w:hAnsi="Times New Roman" w:eastAsia="宋体"/>
                <w:color w:val="000000" w:themeColor="text1"/>
                <w:lang w:val="en-US" w:eastAsia="zh-CN"/>
                <w14:textFill>
                  <w14:solidFill>
                    <w14:schemeClr w14:val="tx1"/>
                  </w14:solidFill>
                </w14:textFill>
              </w:rPr>
              <w:t>，自治区共划定1777个环境管控单元，分为优先保护单元、重点管控单元和一般管控单元三类，实施分类管控</w:t>
            </w:r>
            <w:r>
              <w:rPr>
                <w:rFonts w:hint="eastAsia" w:ascii="Times New Roman" w:hAnsi="Times New Roman" w:eastAsia="宋体"/>
                <w:color w:val="000000" w:themeColor="text1"/>
                <w:lang w:val="en-US" w:eastAsia="zh-CN"/>
                <w14:textFill>
                  <w14:solidFill>
                    <w14:schemeClr w14:val="tx1"/>
                  </w14:solidFill>
                </w14:textFill>
              </w:rPr>
              <w:t>。</w:t>
            </w:r>
          </w:p>
          <w:p w14:paraId="0179017F">
            <w:pPr>
              <w:pStyle w:val="3"/>
              <w:spacing w:line="360" w:lineRule="auto"/>
              <w:ind w:firstLine="480"/>
              <w:jc w:val="both"/>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本项目位于新疆维吾尔自治区昌吉</w:t>
            </w:r>
            <w:r>
              <w:rPr>
                <w:rFonts w:hint="eastAsia" w:ascii="Times New Roman" w:hAnsi="Times New Roman" w:eastAsia="宋体"/>
                <w:color w:val="000000" w:themeColor="text1"/>
                <w:lang w:val="en-US" w:eastAsia="zh-CN"/>
                <w14:textFill>
                  <w14:solidFill>
                    <w14:schemeClr w14:val="tx1"/>
                  </w14:solidFill>
                </w14:textFill>
              </w:rPr>
              <w:t>回族自治</w:t>
            </w:r>
            <w:r>
              <w:rPr>
                <w:rFonts w:hint="default" w:ascii="Times New Roman" w:hAnsi="Times New Roman" w:eastAsia="宋体"/>
                <w:color w:val="000000" w:themeColor="text1"/>
                <w:lang w:val="en-US" w:eastAsia="zh-CN"/>
                <w14:textFill>
                  <w14:solidFill>
                    <w14:schemeClr w14:val="tx1"/>
                  </w14:solidFill>
                </w14:textFill>
              </w:rPr>
              <w:t>州</w:t>
            </w:r>
            <w:r>
              <w:rPr>
                <w:rFonts w:hint="eastAsia" w:ascii="Times New Roman" w:hAnsi="Times New Roman" w:eastAsia="宋体"/>
                <w:color w:val="000000" w:themeColor="text1"/>
                <w:lang w:val="en-US" w:eastAsia="zh-CN"/>
                <w14:textFill>
                  <w14:solidFill>
                    <w14:schemeClr w14:val="tx1"/>
                  </w14:solidFill>
                </w14:textFill>
              </w:rPr>
              <w:t>奇台</w:t>
            </w:r>
            <w:r>
              <w:rPr>
                <w:rFonts w:hint="default" w:ascii="Times New Roman" w:hAnsi="Times New Roman" w:eastAsia="宋体"/>
                <w:color w:val="000000" w:themeColor="text1"/>
                <w:lang w:val="en-US" w:eastAsia="zh-CN"/>
                <w14:textFill>
                  <w14:solidFill>
                    <w14:schemeClr w14:val="tx1"/>
                  </w14:solidFill>
                </w14:textFill>
              </w:rPr>
              <w:t>县</w:t>
            </w:r>
            <w:r>
              <w:rPr>
                <w:rFonts w:hint="eastAsia" w:ascii="Times New Roman" w:hAnsi="Times New Roman" w:eastAsia="宋体"/>
                <w:color w:val="000000" w:themeColor="text1"/>
                <w:lang w:val="en-US" w:eastAsia="zh-CN"/>
                <w14:textFill>
                  <w14:solidFill>
                    <w14:schemeClr w14:val="tx1"/>
                  </w14:solidFill>
                </w14:textFill>
              </w:rPr>
              <w:t>，</w:t>
            </w:r>
            <w:r>
              <w:rPr>
                <w:rFonts w:hint="default" w:ascii="Times New Roman" w:hAnsi="Times New Roman" w:eastAsia="宋体"/>
                <w:color w:val="000000" w:themeColor="text1"/>
                <w:lang w:val="en-US" w:eastAsia="zh-CN"/>
                <w14:textFill>
                  <w14:solidFill>
                    <w14:schemeClr w14:val="tx1"/>
                  </w14:solidFill>
                </w14:textFill>
              </w:rPr>
              <w:t>属于《新疆维吾尔自治区生态环境分区管控动态更新成果》环境管控单元中的重点管控单元。重点管控单元要着力优化空间布局，不断提升资源利用效率，有针对性地加强污染物排放管控和环境风险防控，解决生态环境质量不达标、生态环境风险高等问题。</w:t>
            </w:r>
          </w:p>
          <w:p w14:paraId="6A217D47">
            <w:pPr>
              <w:pStyle w:val="3"/>
              <w:spacing w:line="360" w:lineRule="auto"/>
              <w:ind w:firstLine="480"/>
              <w:jc w:val="both"/>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本项目根据工艺流程，合理优化空间布局，针对本项目产生的污染物采取相应的治理措施，对生态环境影响较小，因此本项目符合《新疆维吾尔自治区生态环境分区管控动态更新成果》相关要求</w:t>
            </w:r>
            <w:r>
              <w:rPr>
                <w:rFonts w:hint="eastAsia" w:ascii="Times New Roman" w:hAnsi="Times New Roman" w:eastAsia="宋体"/>
                <w:color w:val="000000" w:themeColor="text1"/>
                <w:lang w:val="en-US" w:eastAsia="zh-CN"/>
                <w14:textFill>
                  <w14:solidFill>
                    <w14:schemeClr w14:val="tx1"/>
                  </w14:solidFill>
                </w14:textFill>
              </w:rPr>
              <w:t>。</w:t>
            </w:r>
          </w:p>
          <w:p w14:paraId="53DC1B1A">
            <w:pPr>
              <w:pStyle w:val="5"/>
              <w:numPr>
                <w:ilvl w:val="0"/>
                <w:numId w:val="0"/>
              </w:numPr>
              <w:spacing w:line="360" w:lineRule="auto"/>
              <w:jc w:val="both"/>
              <w:outlineLvl w:val="1"/>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 xml:space="preserve">2.2 </w:t>
            </w:r>
            <w:r>
              <w:rPr>
                <w:rFonts w:hint="default" w:ascii="Times New Roman" w:hAnsi="Times New Roman" w:eastAsia="宋体"/>
                <w:color w:val="000000" w:themeColor="text1"/>
                <w:sz w:val="24"/>
                <w:szCs w:val="24"/>
                <w:lang w:val="en-US" w:eastAsia="zh-CN"/>
                <w14:textFill>
                  <w14:solidFill>
                    <w14:schemeClr w14:val="tx1"/>
                  </w14:solidFill>
                </w14:textFill>
              </w:rPr>
              <w:t>与</w:t>
            </w:r>
            <w:r>
              <w:rPr>
                <w:rFonts w:hint="eastAsia" w:ascii="Times New Roman" w:hAnsi="Times New Roman" w:eastAsia="宋体"/>
                <w:color w:val="000000" w:themeColor="text1"/>
                <w:sz w:val="24"/>
                <w:szCs w:val="24"/>
                <w:lang w:val="en-US" w:eastAsia="zh-CN"/>
                <w14:textFill>
                  <w14:solidFill>
                    <w14:schemeClr w14:val="tx1"/>
                  </w14:solidFill>
                </w14:textFill>
              </w:rPr>
              <w:t>昌吉回族自治州生态环境分区管控动态更新成果的符合性分析</w:t>
            </w:r>
          </w:p>
          <w:p w14:paraId="02B06223">
            <w:pPr>
              <w:pStyle w:val="3"/>
              <w:spacing w:line="360" w:lineRule="auto"/>
              <w:ind w:firstLine="480"/>
              <w:jc w:val="both"/>
              <w:rPr>
                <w:rFonts w:hint="default" w:ascii="Times New Roman" w:hAnsi="Times New Roman" w:eastAsia="宋体"/>
                <w:b w:val="0"/>
                <w:bCs/>
                <w:color w:val="000000" w:themeColor="text1"/>
                <w:lang w:val="en-US" w:eastAsia="zh-CN"/>
                <w14:textFill>
                  <w14:solidFill>
                    <w14:schemeClr w14:val="tx1"/>
                  </w14:solidFill>
                </w14:textFill>
              </w:rPr>
            </w:pPr>
            <w:r>
              <w:rPr>
                <w:rFonts w:hint="eastAsia" w:cs="Times New Roman"/>
                <w:color w:val="000000" w:themeColor="text1"/>
                <w14:textFill>
                  <w14:solidFill>
                    <w14:schemeClr w14:val="tx1"/>
                  </w14:solidFill>
                </w14:textFill>
              </w:rPr>
              <w:t>本项目位于</w:t>
            </w:r>
            <w:r>
              <w:rPr>
                <w:rFonts w:hint="default" w:ascii="Times New Roman" w:hAnsi="Times New Roman" w:eastAsia="宋体"/>
                <w:color w:val="000000" w:themeColor="text1"/>
                <w:lang w:val="en-US" w:eastAsia="zh-CN"/>
                <w14:textFill>
                  <w14:solidFill>
                    <w14:schemeClr w14:val="tx1"/>
                  </w14:solidFill>
                </w14:textFill>
              </w:rPr>
              <w:t>新疆维吾尔自治区昌吉</w:t>
            </w:r>
            <w:r>
              <w:rPr>
                <w:rFonts w:hint="eastAsia" w:ascii="Times New Roman" w:hAnsi="Times New Roman" w:eastAsia="宋体"/>
                <w:color w:val="000000" w:themeColor="text1"/>
                <w:lang w:val="en-US" w:eastAsia="zh-CN"/>
                <w14:textFill>
                  <w14:solidFill>
                    <w14:schemeClr w14:val="tx1"/>
                  </w14:solidFill>
                </w14:textFill>
              </w:rPr>
              <w:t>回族自治</w:t>
            </w:r>
            <w:r>
              <w:rPr>
                <w:rFonts w:hint="default" w:ascii="Times New Roman" w:hAnsi="Times New Roman" w:eastAsia="宋体"/>
                <w:color w:val="000000" w:themeColor="text1"/>
                <w:lang w:val="en-US" w:eastAsia="zh-CN"/>
                <w14:textFill>
                  <w14:solidFill>
                    <w14:schemeClr w14:val="tx1"/>
                  </w14:solidFill>
                </w14:textFill>
              </w:rPr>
              <w:t>州</w:t>
            </w:r>
            <w:r>
              <w:rPr>
                <w:rFonts w:hint="eastAsia" w:ascii="Times New Roman" w:hAnsi="Times New Roman" w:eastAsia="宋体"/>
                <w:color w:val="000000" w:themeColor="text1"/>
                <w:lang w:val="en-US" w:eastAsia="zh-CN"/>
                <w14:textFill>
                  <w14:solidFill>
                    <w14:schemeClr w14:val="tx1"/>
                  </w14:solidFill>
                </w14:textFill>
              </w:rPr>
              <w:t>奇台</w:t>
            </w:r>
            <w:r>
              <w:rPr>
                <w:rFonts w:hint="default" w:ascii="Times New Roman" w:hAnsi="Times New Roman" w:eastAsia="宋体"/>
                <w:color w:val="000000" w:themeColor="text1"/>
                <w:lang w:val="en-US" w:eastAsia="zh-CN"/>
                <w14:textFill>
                  <w14:solidFill>
                    <w14:schemeClr w14:val="tx1"/>
                  </w14:solidFill>
                </w14:textFill>
              </w:rPr>
              <w:t>县</w:t>
            </w:r>
            <w:r>
              <w:rPr>
                <w:rFonts w:hint="default" w:eastAsia="宋体"/>
                <w:b w:val="0"/>
                <w:bCs/>
                <w:color w:val="000000" w:themeColor="text1"/>
                <w:lang w:val="en-US" w:eastAsia="zh-CN"/>
                <w14:textFill>
                  <w14:solidFill>
                    <w14:schemeClr w14:val="tx1"/>
                  </w14:solidFill>
                </w14:textFill>
              </w:rPr>
              <w:t>团结路与</w:t>
            </w:r>
            <w:r>
              <w:rPr>
                <w:rFonts w:hint="eastAsia"/>
                <w:b w:val="0"/>
                <w:bCs/>
                <w:color w:val="000000" w:themeColor="text1"/>
                <w:lang w:val="en-US" w:eastAsia="zh-CN"/>
                <w14:textFill>
                  <w14:solidFill>
                    <w14:schemeClr w14:val="tx1"/>
                  </w14:solidFill>
                </w14:textFill>
              </w:rPr>
              <w:t>旱</w:t>
            </w:r>
            <w:r>
              <w:rPr>
                <w:rFonts w:hint="default" w:eastAsia="宋体"/>
                <w:b w:val="0"/>
                <w:bCs/>
                <w:color w:val="000000" w:themeColor="text1"/>
                <w:lang w:val="en-US" w:eastAsia="zh-CN"/>
                <w14:textFill>
                  <w14:solidFill>
                    <w14:schemeClr w14:val="tx1"/>
                  </w14:solidFill>
                </w14:textFill>
              </w:rPr>
              <w:t>码头中街交汇处圣水华庭1幢1层</w:t>
            </w:r>
            <w:r>
              <w:rPr>
                <w:rFonts w:hint="eastAsia" w:ascii="Times New Roman" w:hAnsi="Times New Roman" w:eastAsia="宋体"/>
                <w:b w:val="0"/>
                <w:bCs/>
                <w:color w:val="000000" w:themeColor="text1"/>
                <w:lang w:val="en-US" w:eastAsia="zh-CN"/>
                <w14:textFill>
                  <w14:solidFill>
                    <w14:schemeClr w14:val="tx1"/>
                  </w14:solidFill>
                </w14:textFill>
              </w:rPr>
              <w:t>4号、5号、</w:t>
            </w:r>
            <w:r>
              <w:rPr>
                <w:rFonts w:hint="default" w:ascii="Times New Roman" w:hAnsi="Times New Roman" w:eastAsia="宋体"/>
                <w:b w:val="0"/>
                <w:bCs/>
                <w:color w:val="000000" w:themeColor="text1"/>
                <w:lang w:val="en-US" w:eastAsia="zh-CN"/>
                <w14:textFill>
                  <w14:solidFill>
                    <w14:schemeClr w14:val="tx1"/>
                  </w14:solidFill>
                </w14:textFill>
              </w:rPr>
              <w:t>6号</w:t>
            </w:r>
            <w:r>
              <w:rPr>
                <w:rFonts w:hint="eastAsia" w:ascii="Times New Roman" w:hAnsi="Times New Roman" w:eastAsia="宋体"/>
                <w:b w:val="0"/>
                <w:bCs/>
                <w:color w:val="000000" w:themeColor="text1"/>
                <w:lang w:val="en-US" w:eastAsia="zh-CN"/>
                <w14:textFill>
                  <w14:solidFill>
                    <w14:schemeClr w14:val="tx1"/>
                  </w14:solidFill>
                </w14:textFill>
              </w:rPr>
              <w:t>，根据《昌吉回族自治州生态环境分区管控动态更新成果》，本项目属于</w:t>
            </w:r>
            <w:r>
              <w:rPr>
                <w:rFonts w:hint="default" w:ascii="Times New Roman" w:hAnsi="Times New Roman" w:eastAsia="宋体"/>
                <w:b w:val="0"/>
                <w:bCs/>
                <w:color w:val="000000" w:themeColor="text1"/>
                <w:lang w:val="en-US" w:eastAsia="zh-CN"/>
                <w14:textFill>
                  <w14:solidFill>
                    <w14:schemeClr w14:val="tx1"/>
                  </w14:solidFill>
                </w14:textFill>
              </w:rPr>
              <w:t>奇台县城镇集中建设区</w:t>
            </w:r>
            <w:r>
              <w:rPr>
                <w:rFonts w:hint="eastAsia" w:ascii="Times New Roman" w:hAnsi="Times New Roman" w:eastAsia="宋体"/>
                <w:b w:val="0"/>
                <w:bCs/>
                <w:color w:val="000000" w:themeColor="text1"/>
                <w:lang w:val="en-US" w:eastAsia="zh-CN"/>
                <w14:textFill>
                  <w14:solidFill>
                    <w14:schemeClr w14:val="tx1"/>
                  </w14:solidFill>
                </w14:textFill>
              </w:rPr>
              <w:t>块重点管控单元，环境管控单元编码为：</w:t>
            </w:r>
            <w:r>
              <w:rPr>
                <w:rFonts w:hint="default" w:ascii="Times New Roman" w:hAnsi="Times New Roman" w:eastAsia="宋体"/>
                <w:b w:val="0"/>
                <w:bCs/>
                <w:color w:val="000000" w:themeColor="text1"/>
                <w:lang w:val="en-US" w:eastAsia="zh-CN"/>
                <w14:textFill>
                  <w14:solidFill>
                    <w14:schemeClr w14:val="tx1"/>
                  </w14:solidFill>
                </w14:textFill>
              </w:rPr>
              <w:t>ZH65232520001</w:t>
            </w:r>
            <w:r>
              <w:rPr>
                <w:rFonts w:hint="eastAsia" w:ascii="Times New Roman" w:hAnsi="Times New Roman" w:eastAsia="宋体"/>
                <w:b w:val="0"/>
                <w:bCs/>
                <w:color w:val="000000" w:themeColor="text1"/>
                <w:lang w:val="en-US" w:eastAsia="zh-CN"/>
                <w14:textFill>
                  <w14:solidFill>
                    <w14:schemeClr w14:val="tx1"/>
                  </w14:solidFill>
                </w14:textFill>
              </w:rPr>
              <w:t>。本项目与其符合情况见下表1-2。</w:t>
            </w:r>
          </w:p>
          <w:p w14:paraId="4901CBC3">
            <w:pPr>
              <w:pStyle w:val="3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 xml:space="preserve">   </w:t>
            </w:r>
            <w:r>
              <w:rPr>
                <w:rFonts w:hint="eastAsia" w:ascii="Times New Roman" w:hAnsi="Times New Roman" w:eastAsia="宋体" w:cs="Times New Roman"/>
                <w:b/>
                <w:bCs/>
                <w:color w:val="auto"/>
                <w:kern w:val="0"/>
                <w:sz w:val="21"/>
                <w:szCs w:val="21"/>
                <w:lang w:val="en-US" w:eastAsia="zh-CN"/>
              </w:rPr>
              <w:t>项目与环境管控要求的符合性分析</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3128"/>
              <w:gridCol w:w="1971"/>
              <w:gridCol w:w="770"/>
            </w:tblGrid>
            <w:tr w14:paraId="1A4CC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919" w:type="pct"/>
                  <w:gridSpan w:val="2"/>
                  <w:tcBorders>
                    <w:bottom w:val="single" w:color="auto" w:sz="12" w:space="0"/>
                  </w:tcBorders>
                  <w:vAlign w:val="center"/>
                </w:tcPr>
                <w:p w14:paraId="49B30B5C">
                  <w:pPr>
                    <w:pStyle w:val="35"/>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管控要求</w:t>
                  </w:r>
                </w:p>
              </w:tc>
              <w:tc>
                <w:tcPr>
                  <w:tcW w:w="1496" w:type="pct"/>
                  <w:tcBorders>
                    <w:bottom w:val="single" w:color="auto" w:sz="12" w:space="0"/>
                  </w:tcBorders>
                  <w:vAlign w:val="center"/>
                </w:tcPr>
                <w:p w14:paraId="4630E74B">
                  <w:pPr>
                    <w:pStyle w:val="35"/>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本项目工程概况</w:t>
                  </w:r>
                </w:p>
              </w:tc>
              <w:tc>
                <w:tcPr>
                  <w:tcW w:w="584" w:type="pct"/>
                  <w:tcBorders>
                    <w:bottom w:val="single" w:color="auto" w:sz="12" w:space="0"/>
                  </w:tcBorders>
                  <w:vAlign w:val="center"/>
                </w:tcPr>
                <w:p w14:paraId="34592248">
                  <w:pPr>
                    <w:pStyle w:val="35"/>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w:t>
                  </w:r>
                </w:p>
              </w:tc>
            </w:tr>
            <w:tr w14:paraId="129CF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5" w:type="pct"/>
                  <w:tcBorders>
                    <w:top w:val="single" w:color="auto" w:sz="12" w:space="0"/>
                  </w:tcBorders>
                  <w:vAlign w:val="center"/>
                </w:tcPr>
                <w:p w14:paraId="28E47610">
                  <w:pPr>
                    <w:pStyle w:val="35"/>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2373" w:type="pct"/>
                  <w:tcBorders>
                    <w:top w:val="single" w:color="auto" w:sz="12" w:space="0"/>
                  </w:tcBorders>
                  <w:vAlign w:val="center"/>
                </w:tcPr>
                <w:p w14:paraId="1A6FF6C0">
                  <w:pPr>
                    <w:pStyle w:val="35"/>
                    <w:jc w:val="both"/>
                    <w:rPr>
                      <w:rFonts w:hint="eastAsia"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1、城市建成区内不得建设高污染的火电、化工、冶金、造纸、钢铁、建材等工业项目；已经建成的，应当逐步搬迁。2、在居民住宅区等人口密集区域和机关、医院、学校、幼儿 园、养老院等其他需要特殊保护的区域及其周边，不得新建、改建和扩建易产生恶臭气体的生产项目，或者从事其他产生恶臭气体的生产经营活动。已建成的，应当逐步搬迁或升级改造。3、在集中供热管网覆盖区域内，禁止新建、改建、扩建燃煤供热锅炉，集中供热管网覆盖前，已建成使用的燃煤供热锅炉应当限期停止使用。4、推进燃气锅炉低氮燃烧改造和65蒸吨/小时及以上燃煤锅炉超低排放改造，到2024年县级及以上城市建成区基本淘汰35蒸吨/小时及以下的燃煤锅炉。</w:t>
                  </w:r>
                </w:p>
              </w:tc>
              <w:tc>
                <w:tcPr>
                  <w:tcW w:w="1496" w:type="pct"/>
                  <w:tcBorders>
                    <w:top w:val="single" w:color="auto" w:sz="12" w:space="0"/>
                  </w:tcBorders>
                  <w:vAlign w:val="center"/>
                </w:tcPr>
                <w:p w14:paraId="501ECDD8">
                  <w:pPr>
                    <w:pStyle w:val="35"/>
                    <w:jc w:val="both"/>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本项目为宠物医院建设项目，</w:t>
                  </w:r>
                  <w:r>
                    <w:rPr>
                      <w:rFonts w:hint="eastAsia"/>
                      <w:color w:val="000000" w:themeColor="text1"/>
                      <w:lang w:eastAsia="zh-CN"/>
                      <w14:textFill>
                        <w14:solidFill>
                          <w14:schemeClr w14:val="tx1"/>
                        </w14:solidFill>
                      </w14:textFill>
                    </w:rPr>
                    <w:t>供暖由</w:t>
                  </w:r>
                  <w:r>
                    <w:rPr>
                      <w:rFonts w:hint="eastAsia"/>
                      <w:color w:val="000000" w:themeColor="text1"/>
                      <w:lang w:val="en-US" w:eastAsia="zh-CN"/>
                      <w14:textFill>
                        <w14:solidFill>
                          <w14:schemeClr w14:val="tx1"/>
                        </w14:solidFill>
                      </w14:textFill>
                    </w:rPr>
                    <w:t>市区集中供暖</w:t>
                  </w:r>
                  <w:r>
                    <w:rPr>
                      <w:rFonts w:hint="eastAsia"/>
                      <w:color w:val="000000" w:themeColor="text1"/>
                      <w:lang w:eastAsia="zh-CN"/>
                      <w14:textFill>
                        <w14:solidFill>
                          <w14:schemeClr w14:val="tx1"/>
                        </w14:solidFill>
                      </w14:textFill>
                    </w:rPr>
                    <w:t>提供</w:t>
                  </w:r>
                  <w:r>
                    <w:rPr>
                      <w:rFonts w:hint="eastAsia"/>
                      <w:color w:val="000000" w:themeColor="text1"/>
                      <w:lang w:val="en-US" w:eastAsia="zh-CN"/>
                      <w14:textFill>
                        <w14:solidFill>
                          <w14:schemeClr w14:val="tx1"/>
                        </w14:solidFill>
                      </w14:textFill>
                    </w:rPr>
                    <w:t>。</w:t>
                  </w:r>
                </w:p>
              </w:tc>
              <w:tc>
                <w:tcPr>
                  <w:tcW w:w="584" w:type="pct"/>
                  <w:tcBorders>
                    <w:top w:val="single" w:color="auto" w:sz="12" w:space="0"/>
                  </w:tcBorders>
                  <w:vAlign w:val="center"/>
                </w:tcPr>
                <w:p w14:paraId="381F9DEE">
                  <w:pPr>
                    <w:jc w:val="center"/>
                    <w:rPr>
                      <w:rFonts w:hint="eastAsia" w:eastAsia="宋体"/>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符合</w:t>
                  </w:r>
                </w:p>
              </w:tc>
            </w:tr>
            <w:tr w14:paraId="3AA92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tcBorders>
                    <w:tl2br w:val="nil"/>
                    <w:tr2bl w:val="nil"/>
                  </w:tcBorders>
                  <w:vAlign w:val="center"/>
                </w:tcPr>
                <w:p w14:paraId="62DE2CA5">
                  <w:pPr>
                    <w:pStyle w:val="35"/>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128" w:type="dxa"/>
                  <w:tcBorders>
                    <w:tl2br w:val="nil"/>
                    <w:tr2bl w:val="nil"/>
                  </w:tcBorders>
                  <w:vAlign w:val="center"/>
                </w:tcPr>
                <w:p w14:paraId="0E325D94">
                  <w:pPr>
                    <w:pStyle w:val="35"/>
                    <w:jc w:val="both"/>
                    <w:rPr>
                      <w:rFonts w:hint="eastAsia"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1、新（改、扩）建项目应执行最严格的大气污染物排放限值。2、向城镇污水集中处理设施排放水污染物，应当达到《污水综合排放标准》（GB8978-1996）要求。排污许可中另有要求的执行许可的标准限值。3、施工工地全面落实“六个百分之百”（施工工地周边围挡、物料堆放覆盖、出入车辆冲洗、施工现场地面硬化、拆迁工地湿法作业、 渣土车辆密闭运输）。</w:t>
                  </w:r>
                </w:p>
              </w:tc>
              <w:tc>
                <w:tcPr>
                  <w:tcW w:w="1496" w:type="pct"/>
                  <w:tcBorders>
                    <w:tl2br w:val="nil"/>
                    <w:tr2bl w:val="nil"/>
                  </w:tcBorders>
                  <w:vAlign w:val="center"/>
                </w:tcPr>
                <w:p w14:paraId="3A63AE3F">
                  <w:pPr>
                    <w:pStyle w:val="36"/>
                    <w:ind w:left="0" w:leftChars="0" w:firstLine="0" w:firstLineChars="0"/>
                    <w:jc w:val="left"/>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本项目无组织废气参照执行《恶臭污染物排放标准》（GB14554-93）中表1中相关标准限值。医疗废水处理设施出水限值参照执行《医疗机构水污染物排放标准》（GB18466-2005）表2中的“预处理标准”相关标准限值。</w:t>
                  </w:r>
                </w:p>
              </w:tc>
              <w:tc>
                <w:tcPr>
                  <w:tcW w:w="584" w:type="pct"/>
                  <w:tcBorders>
                    <w:tl2br w:val="nil"/>
                    <w:tr2bl w:val="nil"/>
                  </w:tcBorders>
                  <w:vAlign w:val="center"/>
                </w:tcPr>
                <w:p w14:paraId="1685C244">
                  <w:pPr>
                    <w:jc w:val="center"/>
                    <w:rPr>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符合</w:t>
                  </w:r>
                </w:p>
              </w:tc>
            </w:tr>
            <w:tr w14:paraId="55C49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tcBorders>
                    <w:tl2br w:val="nil"/>
                    <w:tr2bl w:val="nil"/>
                  </w:tcBorders>
                  <w:vAlign w:val="center"/>
                </w:tcPr>
                <w:p w14:paraId="46A941BC">
                  <w:pPr>
                    <w:pStyle w:val="35"/>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环境风险防控</w:t>
                  </w:r>
                </w:p>
              </w:tc>
              <w:tc>
                <w:tcPr>
                  <w:tcW w:w="3128" w:type="dxa"/>
                  <w:tcBorders>
                    <w:tl2br w:val="nil"/>
                    <w:tr2bl w:val="nil"/>
                  </w:tcBorders>
                  <w:vAlign w:val="center"/>
                </w:tcPr>
                <w:p w14:paraId="7280DC01">
                  <w:pPr>
                    <w:pStyle w:val="35"/>
                    <w:jc w:val="both"/>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auto"/>
                      <w:sz w:val="21"/>
                      <w:szCs w:val="21"/>
                      <w:lang w:val="en-US" w:eastAsia="zh-CN"/>
                    </w:rPr>
                    <w:t>1、严格危险化学品废弃处置。对城镇人口密集区现有不符合安全和卫生防护距离要求的危险化学品生产企业，进行定量风险评估，就地改造达标、搬迁进入规范化工园区或关闭退出。2、提升饮用水安全保障水平。以县级及以上集中式饮用水水源地为重点，推进饮用水水源保护区规范化建设，统筹推进备用水源或应急水源建设。强化饮用水水源保护区环境应急管理，完善重大突发环境事件的物资和技术储备。针对汇水区、补给区存在兵地跨界的，建立统一的饮用水水源应急和执法机制，共享应急物资。</w:t>
                  </w:r>
                </w:p>
              </w:tc>
              <w:tc>
                <w:tcPr>
                  <w:tcW w:w="1496" w:type="pct"/>
                  <w:tcBorders>
                    <w:tl2br w:val="nil"/>
                    <w:tr2bl w:val="nil"/>
                  </w:tcBorders>
                  <w:vAlign w:val="center"/>
                </w:tcPr>
                <w:p w14:paraId="16BD890B">
                  <w:pPr>
                    <w:pStyle w:val="36"/>
                    <w:ind w:left="0" w:leftChars="0" w:firstLine="0" w:firstLineChars="0"/>
                    <w:jc w:val="left"/>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本项目对运营期产生的环境风险物质进行了识别，并提出了相对应的风险防范措施，同时要求企业建立环境管理制度，在采取以上措施后，本项目环境风险可控。</w:t>
                  </w:r>
                </w:p>
              </w:tc>
              <w:tc>
                <w:tcPr>
                  <w:tcW w:w="584" w:type="pct"/>
                  <w:tcBorders>
                    <w:tl2br w:val="nil"/>
                    <w:tr2bl w:val="nil"/>
                  </w:tcBorders>
                  <w:vAlign w:val="center"/>
                </w:tcPr>
                <w:p w14:paraId="66A0D34C">
                  <w:pPr>
                    <w:jc w:val="center"/>
                    <w:rPr>
                      <w:color w:val="000000" w:themeColor="text1"/>
                      <w:sz w:val="21"/>
                      <w:szCs w:val="21"/>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符合</w:t>
                  </w:r>
                </w:p>
              </w:tc>
            </w:tr>
            <w:tr w14:paraId="25A08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pct"/>
                  <w:tcBorders>
                    <w:tl2br w:val="nil"/>
                    <w:tr2bl w:val="nil"/>
                  </w:tcBorders>
                  <w:vAlign w:val="center"/>
                </w:tcPr>
                <w:p w14:paraId="035B3B14">
                  <w:pPr>
                    <w:pStyle w:val="35"/>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资源利用效率要求</w:t>
                  </w:r>
                </w:p>
              </w:tc>
              <w:tc>
                <w:tcPr>
                  <w:tcW w:w="3128" w:type="dxa"/>
                  <w:tcBorders>
                    <w:tl2br w:val="nil"/>
                    <w:tr2bl w:val="nil"/>
                  </w:tcBorders>
                  <w:vAlign w:val="center"/>
                </w:tcPr>
                <w:p w14:paraId="0009EAC5">
                  <w:pPr>
                    <w:pStyle w:val="35"/>
                    <w:jc w:val="both"/>
                    <w:rPr>
                      <w:rFonts w:hint="eastAsia"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auto"/>
                      <w:sz w:val="21"/>
                      <w:szCs w:val="21"/>
                      <w:highlight w:val="none"/>
                      <w:lang w:val="en-US" w:eastAsia="zh-CN"/>
                    </w:rPr>
                    <w:t>1.禁止销售、燃用原煤、粉煤、各种可燃废物等高污染燃料；禁止新建、扩建燃用高污染燃料的设施，已建设成的，应当在规定的期限内改用清洁能源。</w:t>
                  </w:r>
                </w:p>
              </w:tc>
              <w:tc>
                <w:tcPr>
                  <w:tcW w:w="1496" w:type="pct"/>
                  <w:tcBorders>
                    <w:tl2br w:val="nil"/>
                    <w:tr2bl w:val="nil"/>
                  </w:tcBorders>
                  <w:vAlign w:val="center"/>
                </w:tcPr>
                <w:p w14:paraId="2C272931">
                  <w:pPr>
                    <w:pStyle w:val="36"/>
                    <w:ind w:left="0" w:leftChars="0" w:firstLine="0" w:firstLineChars="0"/>
                    <w:jc w:val="both"/>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本项目为动物医院</w:t>
                  </w:r>
                  <w:r>
                    <w:rPr>
                      <w:rFonts w:hint="eastAsia" w:cs="Times New Roman"/>
                      <w:b w:val="0"/>
                      <w:bCs w:val="0"/>
                      <w:color w:val="000000" w:themeColor="text1"/>
                      <w:kern w:val="2"/>
                      <w:sz w:val="21"/>
                      <w:szCs w:val="21"/>
                      <w:lang w:val="en-US" w:eastAsia="zh-CN" w:bidi="ar-SA"/>
                      <w14:textFill>
                        <w14:solidFill>
                          <w14:schemeClr w14:val="tx1"/>
                        </w14:solidFill>
                      </w14:textFill>
                    </w:rPr>
                    <w:t>建设项目，</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运营期用水</w:t>
                  </w:r>
                  <w:r>
                    <w:rPr>
                      <w:rFonts w:hint="eastAsia" w:cs="Times New Roman"/>
                      <w:b w:val="0"/>
                      <w:bCs w:val="0"/>
                      <w:color w:val="000000" w:themeColor="text1"/>
                      <w:kern w:val="2"/>
                      <w:sz w:val="21"/>
                      <w:szCs w:val="21"/>
                      <w:lang w:val="en-US" w:eastAsia="zh-CN" w:bidi="ar-SA"/>
                      <w14:textFill>
                        <w14:solidFill>
                          <w14:schemeClr w14:val="tx1"/>
                        </w14:solidFill>
                      </w14:textFill>
                    </w:rPr>
                    <w:t>由</w:t>
                  </w: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市政给水管网，供电由市政电网供给</w:t>
                  </w:r>
                  <w:r>
                    <w:rPr>
                      <w:rFonts w:hint="eastAsia" w:cs="Times New Roman"/>
                      <w:b w:val="0"/>
                      <w:bCs w:val="0"/>
                      <w:color w:val="000000" w:themeColor="text1"/>
                      <w:kern w:val="2"/>
                      <w:sz w:val="21"/>
                      <w:szCs w:val="21"/>
                      <w:lang w:val="en-US" w:eastAsia="zh-CN" w:bidi="ar-SA"/>
                      <w14:textFill>
                        <w14:solidFill>
                          <w14:schemeClr w14:val="tx1"/>
                        </w14:solidFill>
                      </w14:textFill>
                    </w:rPr>
                    <w:t>，供暖由市区集中供暖提供。</w:t>
                  </w:r>
                </w:p>
              </w:tc>
              <w:tc>
                <w:tcPr>
                  <w:tcW w:w="584" w:type="pct"/>
                  <w:tcBorders>
                    <w:tl2br w:val="nil"/>
                    <w:tr2bl w:val="nil"/>
                  </w:tcBorders>
                  <w:vAlign w:val="center"/>
                </w:tcPr>
                <w:p w14:paraId="661BE059">
                  <w:pPr>
                    <w:pStyle w:val="35"/>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10B8E6EB">
            <w:pPr>
              <w:pStyle w:val="5"/>
              <w:numPr>
                <w:ilvl w:val="0"/>
                <w:numId w:val="0"/>
              </w:numPr>
              <w:spacing w:line="360" w:lineRule="auto"/>
              <w:jc w:val="both"/>
              <w:outlineLvl w:val="1"/>
              <w:rPr>
                <w:rFonts w:hint="default" w:ascii="Times New Roman" w:hAnsi="Times New Roman" w:eastAsia="宋体" w:cstheme="minorBidi"/>
                <w:b/>
                <w:color w:val="000000" w:themeColor="text1"/>
                <w:kern w:val="2"/>
                <w:sz w:val="24"/>
                <w:szCs w:val="24"/>
                <w:lang w:val="en-US" w:eastAsia="zh-CN" w:bidi="ar-SA"/>
                <w14:textFill>
                  <w14:solidFill>
                    <w14:schemeClr w14:val="tx1"/>
                  </w14:solidFill>
                </w14:textFill>
              </w:rPr>
            </w:pPr>
            <w:r>
              <w:rPr>
                <w:rFonts w:hint="eastAsia" w:cstheme="minorBidi"/>
                <w:b/>
                <w:color w:val="000000" w:themeColor="text1"/>
                <w:kern w:val="2"/>
                <w:sz w:val="24"/>
                <w:szCs w:val="24"/>
                <w:lang w:val="en-US" w:eastAsia="zh-CN" w:bidi="ar-SA"/>
                <w14:textFill>
                  <w14:solidFill>
                    <w14:schemeClr w14:val="tx1"/>
                  </w14:solidFill>
                </w14:textFill>
              </w:rPr>
              <w:t>3 本项目</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与《国务院关于印发</w:t>
            </w:r>
            <w:r>
              <w:rPr>
                <w:rFonts w:hint="eastAsia"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空气质量持续改善行动计划</w:t>
            </w:r>
            <w:r>
              <w:rPr>
                <w:rFonts w:hint="eastAsia"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的通知》</w:t>
            </w:r>
            <w:r>
              <w:rPr>
                <w:rFonts w:hint="eastAsia" w:cs="Times New Roman"/>
                <w:b/>
                <w:bCs/>
                <w:color w:val="000000" w:themeColor="text1"/>
                <w:kern w:val="2"/>
                <w:sz w:val="24"/>
                <w:szCs w:val="24"/>
                <w:lang w:val="en-US" w:eastAsia="zh-CN" w:bidi="ar-SA"/>
                <w14:textFill>
                  <w14:solidFill>
                    <w14:schemeClr w14:val="tx1"/>
                  </w14:solidFill>
                </w14:textFill>
              </w:rPr>
              <w:t>符合性分析</w:t>
            </w:r>
          </w:p>
          <w:p w14:paraId="692EEC1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《国务院关于印发</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空气质量持续改善行动计划</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的通知》</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指出：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231946E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本项目属于</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设有动物</w:t>
            </w:r>
            <w:r>
              <w:rPr>
                <w:rFonts w:hint="default"/>
                <w:b w:val="0"/>
                <w:bCs/>
                <w:color w:val="000000" w:themeColor="text1"/>
                <w:lang w:val="en-US"/>
                <w14:textFill>
                  <w14:solidFill>
                    <w14:schemeClr w14:val="tx1"/>
                  </w14:solidFill>
                </w14:textFill>
              </w:rPr>
              <w:t>颅腔、胸腔或腹腔手术设施的</w:t>
            </w:r>
            <w:r>
              <w:rPr>
                <w:rFonts w:hint="eastAsia"/>
                <w:b w:val="0"/>
                <w:bCs/>
                <w:color w:val="000000" w:themeColor="text1"/>
                <w:lang w:val="en-US" w:eastAsia="zh-CN"/>
                <w14:textFill>
                  <w14:solidFill>
                    <w14:schemeClr w14:val="tx1"/>
                  </w14:solidFill>
                </w14:textFill>
              </w:rPr>
              <w:t>动物医院项</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目，不涉及产能置换，属于低耗能项目，</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对生态环境影响较小，因此本项目符合《国务院关于印发</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空气质量持续改善行动计划</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的通知》</w:t>
            </w:r>
          </w:p>
          <w:p w14:paraId="11B56A6E">
            <w:pPr>
              <w:pStyle w:val="5"/>
              <w:numPr>
                <w:ilvl w:val="0"/>
                <w:numId w:val="0"/>
              </w:numPr>
              <w:spacing w:line="360" w:lineRule="auto"/>
              <w:jc w:val="both"/>
              <w:outlineLvl w:val="1"/>
              <w:rPr>
                <w:rFonts w:ascii="Times New Roman" w:hAnsi="Times New Roman" w:eastAsia="宋体" w:cstheme="minorBidi"/>
                <w:b/>
                <w:color w:val="000000" w:themeColor="text1"/>
                <w:kern w:val="2"/>
                <w:sz w:val="24"/>
                <w:szCs w:val="24"/>
                <w:lang w:val="en-US" w:eastAsia="zh-CN" w:bidi="ar-SA"/>
                <w14:textFill>
                  <w14:solidFill>
                    <w14:schemeClr w14:val="tx1"/>
                  </w14:solidFill>
                </w14:textFill>
              </w:rPr>
            </w:pPr>
            <w:r>
              <w:rPr>
                <w:rFonts w:hint="eastAsia" w:cstheme="minorBidi"/>
                <w:b/>
                <w:color w:val="000000" w:themeColor="text1"/>
                <w:kern w:val="2"/>
                <w:sz w:val="24"/>
                <w:szCs w:val="24"/>
                <w:lang w:val="en-US" w:eastAsia="zh-CN" w:bidi="ar-SA"/>
                <w14:textFill>
                  <w14:solidFill>
                    <w14:schemeClr w14:val="tx1"/>
                  </w14:solidFill>
                </w14:textFill>
              </w:rPr>
              <w:t>4 本项目与《动物诊疗机构管理办法》符合性分析</w:t>
            </w:r>
          </w:p>
          <w:p w14:paraId="0E87EDE4">
            <w:pPr>
              <w:pStyle w:val="3"/>
              <w:ind w:firstLine="480"/>
              <w:jc w:val="both"/>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对照《动物诊疗机构管理办法》（中华人民共和国农业农村部令，2022年第5号）符合性分析见表1-</w:t>
            </w:r>
            <w:r>
              <w:rPr>
                <w:rFonts w:hint="eastAsia"/>
                <w:color w:val="000000" w:themeColor="text1"/>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w:t>
            </w:r>
          </w:p>
          <w:p w14:paraId="73462A3C">
            <w:pPr>
              <w:pStyle w:val="3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《动物诊疗机构管理办法》</w:t>
            </w:r>
            <w:r>
              <w:rPr>
                <w:color w:val="000000" w:themeColor="text1"/>
                <w:sz w:val="21"/>
                <w:szCs w:val="21"/>
                <w14:textFill>
                  <w14:solidFill>
                    <w14:schemeClr w14:val="tx1"/>
                  </w14:solidFill>
                </w14:textFill>
              </w:rPr>
              <w:t>符合性分析一览表</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2691"/>
              <w:gridCol w:w="770"/>
            </w:tblGrid>
            <w:tr w14:paraId="1B21E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bottom w:val="single" w:color="auto" w:sz="12" w:space="0"/>
                  </w:tcBorders>
                  <w:vAlign w:val="center"/>
                </w:tcPr>
                <w:p w14:paraId="4F5F7560">
                  <w:pPr>
                    <w:pStyle w:val="35"/>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动物诊疗机构管理办法</w:t>
                  </w:r>
                </w:p>
              </w:tc>
              <w:tc>
                <w:tcPr>
                  <w:tcW w:w="2042" w:type="pct"/>
                  <w:tcBorders>
                    <w:bottom w:val="single" w:color="auto" w:sz="12" w:space="0"/>
                  </w:tcBorders>
                  <w:vAlign w:val="center"/>
                </w:tcPr>
                <w:p w14:paraId="6214F048">
                  <w:pPr>
                    <w:pStyle w:val="35"/>
                    <w:rPr>
                      <w:b/>
                      <w:bCs/>
                      <w:color w:val="000000" w:themeColor="text1"/>
                      <w14:textFill>
                        <w14:solidFill>
                          <w14:schemeClr w14:val="tx1"/>
                        </w14:solidFill>
                      </w14:textFill>
                    </w:rPr>
                  </w:pPr>
                  <w:r>
                    <w:rPr>
                      <w:b/>
                      <w:bCs/>
                      <w:color w:val="000000" w:themeColor="text1"/>
                      <w14:textFill>
                        <w14:solidFill>
                          <w14:schemeClr w14:val="tx1"/>
                        </w14:solidFill>
                      </w14:textFill>
                    </w:rPr>
                    <w:t>本项目工程概况</w:t>
                  </w:r>
                </w:p>
              </w:tc>
              <w:tc>
                <w:tcPr>
                  <w:tcW w:w="584" w:type="pct"/>
                  <w:tcBorders>
                    <w:bottom w:val="single" w:color="auto" w:sz="12" w:space="0"/>
                  </w:tcBorders>
                  <w:vAlign w:val="center"/>
                </w:tcPr>
                <w:p w14:paraId="0BFB557A">
                  <w:pPr>
                    <w:pStyle w:val="35"/>
                    <w:rPr>
                      <w:b/>
                      <w:bCs/>
                      <w:color w:val="000000" w:themeColor="text1"/>
                      <w14:textFill>
                        <w14:solidFill>
                          <w14:schemeClr w14:val="tx1"/>
                        </w14:solidFill>
                      </w14:textFill>
                    </w:rPr>
                  </w:pPr>
                  <w:r>
                    <w:rPr>
                      <w:b/>
                      <w:bCs/>
                      <w:color w:val="000000" w:themeColor="text1"/>
                      <w14:textFill>
                        <w14:solidFill>
                          <w14:schemeClr w14:val="tx1"/>
                        </w14:solidFill>
                      </w14:textFill>
                    </w:rPr>
                    <w:t>符合性</w:t>
                  </w:r>
                </w:p>
              </w:tc>
            </w:tr>
            <w:tr w14:paraId="308DF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12" w:space="0"/>
                    <w:bottom w:val="single" w:color="auto" w:sz="4" w:space="0"/>
                  </w:tcBorders>
                  <w:vAlign w:val="center"/>
                </w:tcPr>
                <w:p w14:paraId="7474FD11">
                  <w:pPr>
                    <w:pStyle w:val="35"/>
                    <w:jc w:val="left"/>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有固定的动物诊疗场所，且动物诊疗场所使用面积符合省、自治区、直辖市人民政府农业农村主管部门的规定。</w:t>
                  </w:r>
                </w:p>
              </w:tc>
              <w:tc>
                <w:tcPr>
                  <w:tcW w:w="2042" w:type="pct"/>
                  <w:tcBorders>
                    <w:top w:val="single" w:color="auto" w:sz="12" w:space="0"/>
                    <w:bottom w:val="single" w:color="auto" w:sz="4" w:space="0"/>
                  </w:tcBorders>
                  <w:vAlign w:val="center"/>
                </w:tcPr>
                <w:p w14:paraId="3072C1D1">
                  <w:pPr>
                    <w:pStyle w:val="35"/>
                    <w:bidi w:val="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本项目位于</w:t>
                  </w:r>
                  <w:r>
                    <w:rPr>
                      <w:rFonts w:hint="default" w:ascii="Times New Roman" w:hAnsi="Times New Roman" w:eastAsia="宋体"/>
                      <w:color w:val="000000" w:themeColor="text1"/>
                      <w:lang w:val="en-US" w:eastAsia="zh-CN"/>
                      <w14:textFill>
                        <w14:solidFill>
                          <w14:schemeClr w14:val="tx1"/>
                        </w14:solidFill>
                      </w14:textFill>
                    </w:rPr>
                    <w:t>新疆维吾尔自治区昌吉</w:t>
                  </w:r>
                  <w:r>
                    <w:rPr>
                      <w:rFonts w:hint="eastAsia" w:ascii="Times New Roman" w:hAnsi="Times New Roman" w:eastAsia="宋体"/>
                      <w:color w:val="000000" w:themeColor="text1"/>
                      <w:lang w:val="en-US" w:eastAsia="zh-CN"/>
                      <w14:textFill>
                        <w14:solidFill>
                          <w14:schemeClr w14:val="tx1"/>
                        </w14:solidFill>
                      </w14:textFill>
                    </w:rPr>
                    <w:t>回族自治</w:t>
                  </w:r>
                  <w:r>
                    <w:rPr>
                      <w:rFonts w:hint="default" w:ascii="Times New Roman" w:hAnsi="Times New Roman" w:eastAsia="宋体"/>
                      <w:color w:val="000000" w:themeColor="text1"/>
                      <w:lang w:val="en-US" w:eastAsia="zh-CN"/>
                      <w14:textFill>
                        <w14:solidFill>
                          <w14:schemeClr w14:val="tx1"/>
                        </w14:solidFill>
                      </w14:textFill>
                    </w:rPr>
                    <w:t>州</w:t>
                  </w:r>
                  <w:r>
                    <w:rPr>
                      <w:rFonts w:hint="eastAsia" w:ascii="Times New Roman" w:hAnsi="Times New Roman" w:eastAsia="宋体"/>
                      <w:color w:val="000000" w:themeColor="text1"/>
                      <w:lang w:val="en-US" w:eastAsia="zh-CN"/>
                      <w14:textFill>
                        <w14:solidFill>
                          <w14:schemeClr w14:val="tx1"/>
                        </w14:solidFill>
                      </w14:textFill>
                    </w:rPr>
                    <w:t>奇台</w:t>
                  </w:r>
                  <w:r>
                    <w:rPr>
                      <w:rFonts w:hint="default" w:ascii="Times New Roman" w:hAnsi="Times New Roman" w:eastAsia="宋体"/>
                      <w:color w:val="000000" w:themeColor="text1"/>
                      <w:lang w:val="en-US" w:eastAsia="zh-CN"/>
                      <w14:textFill>
                        <w14:solidFill>
                          <w14:schemeClr w14:val="tx1"/>
                        </w14:solidFill>
                      </w14:textFill>
                    </w:rPr>
                    <w:t>县</w:t>
                  </w:r>
                  <w:r>
                    <w:rPr>
                      <w:rFonts w:hint="default" w:eastAsia="宋体"/>
                      <w:b w:val="0"/>
                      <w:bCs/>
                      <w:color w:val="000000" w:themeColor="text1"/>
                      <w:lang w:val="en-US" w:eastAsia="zh-CN"/>
                      <w14:textFill>
                        <w14:solidFill>
                          <w14:schemeClr w14:val="tx1"/>
                        </w14:solidFill>
                      </w14:textFill>
                    </w:rPr>
                    <w:t>团结路与</w:t>
                  </w:r>
                  <w:r>
                    <w:rPr>
                      <w:rFonts w:hint="eastAsia"/>
                      <w:b w:val="0"/>
                      <w:bCs/>
                      <w:color w:val="000000" w:themeColor="text1"/>
                      <w:lang w:val="en-US" w:eastAsia="zh-CN"/>
                      <w14:textFill>
                        <w14:solidFill>
                          <w14:schemeClr w14:val="tx1"/>
                        </w14:solidFill>
                      </w14:textFill>
                    </w:rPr>
                    <w:t>旱</w:t>
                  </w:r>
                  <w:r>
                    <w:rPr>
                      <w:rFonts w:hint="default" w:eastAsia="宋体"/>
                      <w:b w:val="0"/>
                      <w:bCs/>
                      <w:color w:val="000000" w:themeColor="text1"/>
                      <w:lang w:val="en-US" w:eastAsia="zh-CN"/>
                      <w14:textFill>
                        <w14:solidFill>
                          <w14:schemeClr w14:val="tx1"/>
                        </w14:solidFill>
                      </w14:textFill>
                    </w:rPr>
                    <w:t>码头中街交汇处圣水华庭1幢1层</w:t>
                  </w:r>
                  <w:r>
                    <w:rPr>
                      <w:rFonts w:hint="eastAsia" w:ascii="Times New Roman" w:hAnsi="Times New Roman" w:eastAsia="宋体"/>
                      <w:b w:val="0"/>
                      <w:bCs/>
                      <w:color w:val="000000" w:themeColor="text1"/>
                      <w:lang w:val="en-US" w:eastAsia="zh-CN"/>
                      <w14:textFill>
                        <w14:solidFill>
                          <w14:schemeClr w14:val="tx1"/>
                        </w14:solidFill>
                      </w14:textFill>
                    </w:rPr>
                    <w:t>4号、5号、</w:t>
                  </w:r>
                  <w:r>
                    <w:rPr>
                      <w:rFonts w:hint="default" w:ascii="Times New Roman" w:hAnsi="Times New Roman" w:eastAsia="宋体"/>
                      <w:b w:val="0"/>
                      <w:bCs/>
                      <w:color w:val="000000" w:themeColor="text1"/>
                      <w:lang w:val="en-US" w:eastAsia="zh-CN"/>
                      <w14:textFill>
                        <w14:solidFill>
                          <w14:schemeClr w14:val="tx1"/>
                        </w14:solidFill>
                      </w14:textFill>
                    </w:rPr>
                    <w:t>6号</w:t>
                  </w:r>
                  <w:r>
                    <w:rPr>
                      <w:rFonts w:hint="default"/>
                      <w:color w:val="000000" w:themeColor="text1"/>
                      <w:lang w:val="en-US" w:eastAsia="zh-CN"/>
                      <w14:textFill>
                        <w14:solidFill>
                          <w14:schemeClr w14:val="tx1"/>
                        </w14:solidFill>
                      </w14:textFill>
                    </w:rPr>
                    <w:t>，租赁现有商铺</w:t>
                  </w:r>
                  <w:r>
                    <w:rPr>
                      <w:rFonts w:hint="eastAsia"/>
                      <w:color w:val="000000" w:themeColor="text1"/>
                      <w:lang w:val="en-US" w:eastAsia="zh-CN"/>
                      <w14:textFill>
                        <w14:solidFill>
                          <w14:schemeClr w14:val="tx1"/>
                        </w14:solidFill>
                      </w14:textFill>
                    </w:rPr>
                    <w:t>，符合相关要求。</w:t>
                  </w:r>
                </w:p>
              </w:tc>
              <w:tc>
                <w:tcPr>
                  <w:tcW w:w="584" w:type="pct"/>
                  <w:tcBorders>
                    <w:top w:val="single" w:color="auto" w:sz="12" w:space="0"/>
                    <w:bottom w:val="single" w:color="auto" w:sz="4" w:space="0"/>
                  </w:tcBorders>
                  <w:vAlign w:val="center"/>
                </w:tcPr>
                <w:p w14:paraId="1251CD18">
                  <w:pPr>
                    <w:pStyle w:val="35"/>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44778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bottom w:val="single" w:color="auto" w:sz="4" w:space="0"/>
                  </w:tcBorders>
                  <w:vAlign w:val="center"/>
                </w:tcPr>
                <w:p w14:paraId="4EFBE78B">
                  <w:pPr>
                    <w:pStyle w:val="35"/>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动物</w:t>
                  </w:r>
                  <w:r>
                    <w:rPr>
                      <w:rFonts w:hint="eastAsia"/>
                      <w:color w:val="000000" w:themeColor="text1"/>
                      <w:lang w:val="en-US" w:eastAsia="zh-CN"/>
                      <w14:textFill>
                        <w14:solidFill>
                          <w14:schemeClr w14:val="tx1"/>
                        </w14:solidFill>
                      </w14:textFill>
                    </w:rPr>
                    <w:t>诊疗</w:t>
                  </w:r>
                  <w:r>
                    <w:rPr>
                      <w:rFonts w:hint="eastAsia"/>
                      <w:color w:val="000000" w:themeColor="text1"/>
                      <w14:textFill>
                        <w14:solidFill>
                          <w14:schemeClr w14:val="tx1"/>
                        </w14:solidFill>
                      </w14:textFill>
                    </w:rPr>
                    <w:t>场所选址距离动物饲养场动物屠宰加工场所、经营动物的集贸市场不少于二百米</w:t>
                  </w:r>
                  <w:r>
                    <w:rPr>
                      <w:rFonts w:hint="eastAsia"/>
                      <w:color w:val="000000" w:themeColor="text1"/>
                      <w:lang w:eastAsia="zh-CN"/>
                      <w14:textFill>
                        <w14:solidFill>
                          <w14:schemeClr w14:val="tx1"/>
                        </w14:solidFill>
                      </w14:textFill>
                    </w:rPr>
                    <w:t>。</w:t>
                  </w:r>
                </w:p>
              </w:tc>
              <w:tc>
                <w:tcPr>
                  <w:tcW w:w="2042" w:type="pct"/>
                  <w:tcBorders>
                    <w:top w:val="single" w:color="auto" w:sz="4" w:space="0"/>
                    <w:bottom w:val="single" w:color="auto" w:sz="4" w:space="0"/>
                  </w:tcBorders>
                  <w:vAlign w:val="center"/>
                </w:tcPr>
                <w:p w14:paraId="1D20E02F">
                  <w:pPr>
                    <w:pStyle w:val="35"/>
                    <w:bidi w:val="0"/>
                    <w:jc w:val="left"/>
                    <w:rPr>
                      <w:rFonts w:hint="eastAsia"/>
                      <w:color w:val="000000" w:themeColor="text1"/>
                      <w:lang w:val="en-US" w:eastAsia="zh-CN"/>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w:t>
                  </w: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项目周边</w:t>
                  </w:r>
                  <w:r>
                    <w:rPr>
                      <w:rFonts w:hint="eastAsia" w:cs="Times New Roman"/>
                      <w:b w:val="0"/>
                      <w:bCs/>
                      <w:color w:val="000000" w:themeColor="text1"/>
                      <w:kern w:val="2"/>
                      <w:sz w:val="21"/>
                      <w:szCs w:val="24"/>
                      <w:lang w:val="en-US" w:eastAsia="zh-CN" w:bidi="ar-SA"/>
                      <w14:textFill>
                        <w14:solidFill>
                          <w14:schemeClr w14:val="tx1"/>
                        </w14:solidFill>
                      </w14:textFill>
                    </w:rPr>
                    <w:t>为居民住宅，经营范围200m内无</w:t>
                  </w: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动物饲养场、动物屠宰加工场所、经营动物的集贸市场</w:t>
                  </w:r>
                  <w:r>
                    <w:rPr>
                      <w:rFonts w:hint="eastAsia" w:cs="Times New Roman"/>
                      <w:b w:val="0"/>
                      <w:bCs/>
                      <w:color w:val="000000" w:themeColor="text1"/>
                      <w:kern w:val="2"/>
                      <w:sz w:val="21"/>
                      <w:szCs w:val="24"/>
                      <w:lang w:val="en-US" w:eastAsia="zh-CN" w:bidi="ar-SA"/>
                      <w14:textFill>
                        <w14:solidFill>
                          <w14:schemeClr w14:val="tx1"/>
                        </w14:solidFill>
                      </w14:textFill>
                    </w:rPr>
                    <w:t>。</w:t>
                  </w:r>
                </w:p>
              </w:tc>
              <w:tc>
                <w:tcPr>
                  <w:tcW w:w="584" w:type="pct"/>
                  <w:tcBorders>
                    <w:top w:val="single" w:color="auto" w:sz="4" w:space="0"/>
                    <w:bottom w:val="single" w:color="auto" w:sz="4" w:space="0"/>
                  </w:tcBorders>
                  <w:vAlign w:val="center"/>
                </w:tcPr>
                <w:p w14:paraId="386514C2">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53059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70BC3B6B">
                  <w:pPr>
                    <w:pStyle w:val="35"/>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动物诊疗场所设有独立的</w:t>
                  </w:r>
                  <w:r>
                    <w:rPr>
                      <w:rFonts w:hint="eastAsia"/>
                      <w:color w:val="000000" w:themeColor="text1"/>
                      <w:lang w:eastAsia="zh-CN"/>
                      <w14:textFill>
                        <w14:solidFill>
                          <w14:schemeClr w14:val="tx1"/>
                        </w14:solidFill>
                      </w14:textFill>
                    </w:rPr>
                    <w:t>出入口</w:t>
                  </w:r>
                  <w:r>
                    <w:rPr>
                      <w:rFonts w:hint="eastAsia"/>
                      <w:color w:val="000000" w:themeColor="text1"/>
                      <w14:textFill>
                        <w14:solidFill>
                          <w14:schemeClr w14:val="tx1"/>
                        </w14:solidFill>
                      </w14:textFill>
                    </w:rPr>
                    <w:t>不得设在居民住宅楼内或者院内不得与同一建筑物的其他用户共用通道</w:t>
                  </w:r>
                  <w:r>
                    <w:rPr>
                      <w:rFonts w:hint="eastAsia"/>
                      <w:color w:val="000000" w:themeColor="text1"/>
                      <w:lang w:eastAsia="zh-CN"/>
                      <w14:textFill>
                        <w14:solidFill>
                          <w14:schemeClr w14:val="tx1"/>
                        </w14:solidFill>
                      </w14:textFill>
                    </w:rPr>
                    <w:t>。</w:t>
                  </w:r>
                </w:p>
              </w:tc>
              <w:tc>
                <w:tcPr>
                  <w:tcW w:w="2042" w:type="pct"/>
                  <w:tcBorders>
                    <w:top w:val="single" w:color="auto" w:sz="4" w:space="0"/>
                  </w:tcBorders>
                  <w:vAlign w:val="center"/>
                </w:tcPr>
                <w:p w14:paraId="27697FC3">
                  <w:pPr>
                    <w:pStyle w:val="35"/>
                    <w:bidi w:val="0"/>
                    <w:jc w:val="both"/>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本项目租赁现有门面房，北侧设有独立的出入口，不与同一建筑物的其他用户共用通道。</w:t>
                  </w:r>
                </w:p>
              </w:tc>
              <w:tc>
                <w:tcPr>
                  <w:tcW w:w="584" w:type="pct"/>
                  <w:tcBorders>
                    <w:top w:val="single" w:color="auto" w:sz="4" w:space="0"/>
                  </w:tcBorders>
                  <w:vAlign w:val="center"/>
                </w:tcPr>
                <w:p w14:paraId="40B6C5C4">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09B20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5DD7BE82">
                  <w:pPr>
                    <w:pStyle w:val="35"/>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具有布局合理的</w:t>
                  </w:r>
                  <w:r>
                    <w:rPr>
                      <w:rFonts w:hint="eastAsia"/>
                      <w:color w:val="000000" w:themeColor="text1"/>
                      <w:lang w:val="en-US" w:eastAsia="zh-CN"/>
                      <w14:textFill>
                        <w14:solidFill>
                          <w14:schemeClr w14:val="tx1"/>
                        </w14:solidFill>
                      </w14:textFill>
                    </w:rPr>
                    <w:t>诊疗</w:t>
                  </w:r>
                  <w:r>
                    <w:rPr>
                      <w:rFonts w:hint="eastAsia"/>
                      <w:color w:val="000000" w:themeColor="text1"/>
                      <w14:textFill>
                        <w14:solidFill>
                          <w14:schemeClr w14:val="tx1"/>
                        </w14:solidFill>
                      </w14:textFill>
                    </w:rPr>
                    <w:t>室、隔离室、药房等功能区</w:t>
                  </w:r>
                  <w:r>
                    <w:rPr>
                      <w:rFonts w:hint="eastAsia"/>
                      <w:color w:val="000000" w:themeColor="text1"/>
                      <w:lang w:eastAsia="zh-CN"/>
                      <w14:textFill>
                        <w14:solidFill>
                          <w14:schemeClr w14:val="tx1"/>
                        </w14:solidFill>
                      </w14:textFill>
                    </w:rPr>
                    <w:t>。</w:t>
                  </w:r>
                </w:p>
              </w:tc>
              <w:tc>
                <w:tcPr>
                  <w:tcW w:w="2042" w:type="pct"/>
                  <w:tcBorders>
                    <w:top w:val="single" w:color="auto" w:sz="4" w:space="0"/>
                  </w:tcBorders>
                  <w:vAlign w:val="center"/>
                </w:tcPr>
                <w:p w14:paraId="7F7403A5">
                  <w:pPr>
                    <w:pStyle w:val="35"/>
                    <w:bidi w:val="0"/>
                    <w:jc w:val="left"/>
                    <w:rPr>
                      <w:rFonts w:hint="default" w:cs="Times New Roman"/>
                      <w:b w:val="0"/>
                      <w:bCs/>
                      <w:color w:val="000000" w:themeColor="text1"/>
                      <w:kern w:val="2"/>
                      <w:sz w:val="21"/>
                      <w:szCs w:val="24"/>
                      <w:lang w:val="en-US" w:eastAsia="zh-CN" w:bidi="ar-SA"/>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本项目设有诊疗室、手术室、药房等设施，各设施布局合理。</w:t>
                  </w:r>
                </w:p>
              </w:tc>
              <w:tc>
                <w:tcPr>
                  <w:tcW w:w="584" w:type="pct"/>
                  <w:tcBorders>
                    <w:top w:val="single" w:color="auto" w:sz="4" w:space="0"/>
                  </w:tcBorders>
                  <w:vAlign w:val="center"/>
                </w:tcPr>
                <w:p w14:paraId="15D53778">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4008E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4721DB7F">
                  <w:pPr>
                    <w:pStyle w:val="35"/>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具有诊断、消毒、冷藏、常规化验污水处理等器械设备</w:t>
                  </w:r>
                  <w:r>
                    <w:rPr>
                      <w:rFonts w:hint="eastAsia"/>
                      <w:color w:val="000000" w:themeColor="text1"/>
                      <w:lang w:eastAsia="zh-CN"/>
                      <w14:textFill>
                        <w14:solidFill>
                          <w14:schemeClr w14:val="tx1"/>
                        </w14:solidFill>
                      </w14:textFill>
                    </w:rPr>
                    <w:t>。</w:t>
                  </w:r>
                </w:p>
              </w:tc>
              <w:tc>
                <w:tcPr>
                  <w:tcW w:w="2042" w:type="pct"/>
                  <w:tcBorders>
                    <w:top w:val="single" w:color="auto" w:sz="4" w:space="0"/>
                  </w:tcBorders>
                  <w:vAlign w:val="center"/>
                </w:tcPr>
                <w:p w14:paraId="71486872">
                  <w:pPr>
                    <w:pStyle w:val="35"/>
                    <w:bidi w:val="0"/>
                    <w:jc w:val="left"/>
                    <w:rPr>
                      <w:rFonts w:hint="default" w:cs="Times New Roman"/>
                      <w:b w:val="0"/>
                      <w:bCs/>
                      <w:color w:val="000000" w:themeColor="text1"/>
                      <w:kern w:val="2"/>
                      <w:sz w:val="21"/>
                      <w:szCs w:val="24"/>
                      <w:lang w:val="en-US" w:eastAsia="zh-CN" w:bidi="ar-SA"/>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本项目设有诊断室、手术床、紫外灯、医疗废水处理器等器材设备。</w:t>
                  </w:r>
                </w:p>
              </w:tc>
              <w:tc>
                <w:tcPr>
                  <w:tcW w:w="584" w:type="pct"/>
                  <w:tcBorders>
                    <w:top w:val="single" w:color="auto" w:sz="4" w:space="0"/>
                  </w:tcBorders>
                  <w:vAlign w:val="center"/>
                </w:tcPr>
                <w:p w14:paraId="7F5D689A">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2CC7B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07D009E1">
                  <w:pPr>
                    <w:pStyle w:val="35"/>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具有</w:t>
                  </w:r>
                  <w:r>
                    <w:rPr>
                      <w:rFonts w:hint="eastAsia"/>
                      <w:color w:val="000000" w:themeColor="text1"/>
                      <w:lang w:eastAsia="zh-CN"/>
                      <w14:textFill>
                        <w14:solidFill>
                          <w14:schemeClr w14:val="tx1"/>
                        </w14:solidFill>
                      </w14:textFill>
                    </w:rPr>
                    <w:t>医疗</w:t>
                  </w:r>
                  <w:r>
                    <w:rPr>
                      <w:rFonts w:hint="eastAsia"/>
                      <w:color w:val="000000" w:themeColor="text1"/>
                      <w14:textFill>
                        <w14:solidFill>
                          <w14:schemeClr w14:val="tx1"/>
                        </w14:solidFill>
                      </w14:textFill>
                    </w:rPr>
                    <w:t>废弃物暂存处理设施，并委托专业处理机构处理</w:t>
                  </w:r>
                  <w:r>
                    <w:rPr>
                      <w:rFonts w:hint="eastAsia"/>
                      <w:color w:val="000000" w:themeColor="text1"/>
                      <w:lang w:eastAsia="zh-CN"/>
                      <w14:textFill>
                        <w14:solidFill>
                          <w14:schemeClr w14:val="tx1"/>
                        </w14:solidFill>
                      </w14:textFill>
                    </w:rPr>
                    <w:t>。</w:t>
                  </w:r>
                </w:p>
              </w:tc>
              <w:tc>
                <w:tcPr>
                  <w:tcW w:w="2042" w:type="pct"/>
                  <w:tcBorders>
                    <w:top w:val="single" w:color="auto" w:sz="4" w:space="0"/>
                  </w:tcBorders>
                  <w:vAlign w:val="center"/>
                </w:tcPr>
                <w:p w14:paraId="516DE934">
                  <w:pPr>
                    <w:pStyle w:val="35"/>
                    <w:bidi w:val="0"/>
                    <w:jc w:val="left"/>
                    <w:rPr>
                      <w:rFonts w:hint="default" w:cs="Times New Roman"/>
                      <w:b w:val="0"/>
                      <w:bCs/>
                      <w:color w:val="000000" w:themeColor="text1"/>
                      <w:kern w:val="2"/>
                      <w:sz w:val="21"/>
                      <w:szCs w:val="24"/>
                      <w:lang w:val="en-US" w:eastAsia="zh-CN" w:bidi="ar-SA"/>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本项目拟设置1座医疗废物暂存间暂存医疗废物，并委托有资质单位处理。</w:t>
                  </w:r>
                </w:p>
              </w:tc>
              <w:tc>
                <w:tcPr>
                  <w:tcW w:w="584" w:type="pct"/>
                  <w:tcBorders>
                    <w:top w:val="single" w:color="auto" w:sz="4" w:space="0"/>
                  </w:tcBorders>
                  <w:vAlign w:val="center"/>
                </w:tcPr>
                <w:p w14:paraId="277E9CAA">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505F3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7C62A123">
                  <w:pPr>
                    <w:pStyle w:val="35"/>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具有染疫或者疑似染疫动物的隔离控制措施及设施设备</w:t>
                  </w:r>
                  <w:r>
                    <w:rPr>
                      <w:rFonts w:hint="eastAsia"/>
                      <w:color w:val="000000" w:themeColor="text1"/>
                      <w:lang w:eastAsia="zh-CN"/>
                      <w14:textFill>
                        <w14:solidFill>
                          <w14:schemeClr w14:val="tx1"/>
                        </w14:solidFill>
                      </w14:textFill>
                    </w:rPr>
                    <w:t>。</w:t>
                  </w:r>
                </w:p>
              </w:tc>
              <w:tc>
                <w:tcPr>
                  <w:tcW w:w="2042" w:type="pct"/>
                  <w:tcBorders>
                    <w:top w:val="single" w:color="auto" w:sz="4" w:space="0"/>
                  </w:tcBorders>
                  <w:vAlign w:val="center"/>
                </w:tcPr>
                <w:p w14:paraId="37D662DD">
                  <w:pPr>
                    <w:pStyle w:val="35"/>
                    <w:bidi w:val="0"/>
                    <w:jc w:val="left"/>
                    <w:rPr>
                      <w:rFonts w:hint="default" w:cs="Times New Roman"/>
                      <w:b w:val="0"/>
                      <w:bCs/>
                      <w:color w:val="000000" w:themeColor="text1"/>
                      <w:kern w:val="2"/>
                      <w:sz w:val="21"/>
                      <w:szCs w:val="24"/>
                      <w:lang w:val="en-US" w:eastAsia="zh-CN" w:bidi="ar-SA"/>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本项目拟设置传染病隔离室</w:t>
                  </w: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并配套隔离设施设备</w:t>
                  </w:r>
                  <w:r>
                    <w:rPr>
                      <w:rFonts w:hint="eastAsia" w:cs="Times New Roman"/>
                      <w:b w:val="0"/>
                      <w:bCs/>
                      <w:color w:val="000000" w:themeColor="text1"/>
                      <w:kern w:val="2"/>
                      <w:sz w:val="21"/>
                      <w:szCs w:val="24"/>
                      <w:lang w:val="en-US" w:eastAsia="zh-CN" w:bidi="ar-SA"/>
                      <w14:textFill>
                        <w14:solidFill>
                          <w14:schemeClr w14:val="tx1"/>
                        </w14:solidFill>
                      </w14:textFill>
                    </w:rPr>
                    <w:t>。</w:t>
                  </w:r>
                </w:p>
              </w:tc>
              <w:tc>
                <w:tcPr>
                  <w:tcW w:w="584" w:type="pct"/>
                  <w:tcBorders>
                    <w:top w:val="single" w:color="auto" w:sz="4" w:space="0"/>
                  </w:tcBorders>
                  <w:vAlign w:val="center"/>
                </w:tcPr>
                <w:p w14:paraId="54B5DEB1">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47C35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066D1D56">
                  <w:pPr>
                    <w:pStyle w:val="35"/>
                    <w:jc w:val="both"/>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具有完善的诊疗服务、疫情报告、卫生安全防护、消毒、隔离、诊疗废弃物暂存、兽医器械、兽医处方、药物和无害化处理等管理制度。</w:t>
                  </w:r>
                </w:p>
              </w:tc>
              <w:tc>
                <w:tcPr>
                  <w:tcW w:w="2042" w:type="pct"/>
                  <w:tcBorders>
                    <w:top w:val="single" w:color="auto" w:sz="4" w:space="0"/>
                  </w:tcBorders>
                  <w:vAlign w:val="center"/>
                </w:tcPr>
                <w:p w14:paraId="7FED9B7D">
                  <w:pPr>
                    <w:pStyle w:val="35"/>
                    <w:bidi w:val="0"/>
                    <w:jc w:val="left"/>
                    <w:rPr>
                      <w:rFonts w:hint="eastAsia" w:cs="Times New Roman"/>
                      <w:b w:val="0"/>
                      <w:bCs/>
                      <w:color w:val="000000" w:themeColor="text1"/>
                      <w:kern w:val="2"/>
                      <w:sz w:val="21"/>
                      <w:szCs w:val="24"/>
                      <w:lang w:val="en-US" w:eastAsia="zh-CN" w:bidi="ar-SA"/>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w:t>
                  </w: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项目具有完善的</w:t>
                  </w:r>
                  <w:r>
                    <w:rPr>
                      <w:rFonts w:hint="eastAsia" w:cs="Times New Roman"/>
                      <w:b w:val="0"/>
                      <w:bCs/>
                      <w:color w:val="000000" w:themeColor="text1"/>
                      <w:kern w:val="2"/>
                      <w:sz w:val="21"/>
                      <w:szCs w:val="24"/>
                      <w:lang w:val="en-US" w:eastAsia="zh-CN" w:bidi="ar-SA"/>
                      <w14:textFill>
                        <w14:solidFill>
                          <w14:schemeClr w14:val="tx1"/>
                        </w14:solidFill>
                      </w14:textFill>
                    </w:rPr>
                    <w:t>诊疗</w:t>
                  </w: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服务、疫情报告、卫生安全防护、消毒、隔离、</w:t>
                  </w:r>
                  <w:r>
                    <w:rPr>
                      <w:rFonts w:hint="eastAsia" w:cs="Times New Roman"/>
                      <w:b w:val="0"/>
                      <w:bCs/>
                      <w:color w:val="000000" w:themeColor="text1"/>
                      <w:kern w:val="2"/>
                      <w:sz w:val="21"/>
                      <w:szCs w:val="24"/>
                      <w:lang w:val="en-US" w:eastAsia="zh-CN" w:bidi="ar-SA"/>
                      <w14:textFill>
                        <w14:solidFill>
                          <w14:schemeClr w14:val="tx1"/>
                        </w14:solidFill>
                      </w14:textFill>
                    </w:rPr>
                    <w:t>医疗</w:t>
                  </w: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废弃物暂存、兽医器械、兽医处方等管理制度，病死的宠物由就诊人员带离，宠物医院不负责处理</w:t>
                  </w:r>
                  <w:r>
                    <w:rPr>
                      <w:rFonts w:hint="eastAsia" w:cs="Times New Roman"/>
                      <w:b w:val="0"/>
                      <w:bCs/>
                      <w:color w:val="000000" w:themeColor="text1"/>
                      <w:kern w:val="2"/>
                      <w:sz w:val="21"/>
                      <w:szCs w:val="24"/>
                      <w:lang w:val="en-US" w:eastAsia="zh-CN" w:bidi="ar-SA"/>
                      <w14:textFill>
                        <w14:solidFill>
                          <w14:schemeClr w14:val="tx1"/>
                        </w14:solidFill>
                      </w14:textFill>
                    </w:rPr>
                    <w:t>。</w:t>
                  </w:r>
                </w:p>
              </w:tc>
              <w:tc>
                <w:tcPr>
                  <w:tcW w:w="584" w:type="pct"/>
                  <w:tcBorders>
                    <w:top w:val="single" w:color="auto" w:sz="4" w:space="0"/>
                  </w:tcBorders>
                  <w:vAlign w:val="center"/>
                </w:tcPr>
                <w:p w14:paraId="3FD32758">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3A269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2184AE65">
                  <w:pPr>
                    <w:pStyle w:val="35"/>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具有三名以上执业兽医师</w:t>
                  </w:r>
                  <w:r>
                    <w:rPr>
                      <w:rFonts w:hint="eastAsia"/>
                      <w:color w:val="000000" w:themeColor="text1"/>
                      <w:lang w:eastAsia="zh-CN"/>
                      <w14:textFill>
                        <w14:solidFill>
                          <w14:schemeClr w14:val="tx1"/>
                        </w14:solidFill>
                      </w14:textFill>
                    </w:rPr>
                    <w:t>。</w:t>
                  </w:r>
                </w:p>
              </w:tc>
              <w:tc>
                <w:tcPr>
                  <w:tcW w:w="2042" w:type="pct"/>
                  <w:tcBorders>
                    <w:top w:val="single" w:color="auto" w:sz="4" w:space="0"/>
                  </w:tcBorders>
                  <w:vAlign w:val="center"/>
                </w:tcPr>
                <w:p w14:paraId="1869EB12">
                  <w:pPr>
                    <w:pStyle w:val="35"/>
                    <w:bidi w:val="0"/>
                    <w:jc w:val="left"/>
                    <w:rPr>
                      <w:rFonts w:hint="default" w:cs="Times New Roman"/>
                      <w:b w:val="0"/>
                      <w:bCs/>
                      <w:color w:val="000000" w:themeColor="text1"/>
                      <w:kern w:val="2"/>
                      <w:sz w:val="21"/>
                      <w:szCs w:val="24"/>
                      <w:lang w:val="en-US" w:eastAsia="zh-CN" w:bidi="ar-SA"/>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本项目拟配三名执业兽医师。</w:t>
                  </w:r>
                </w:p>
              </w:tc>
              <w:tc>
                <w:tcPr>
                  <w:tcW w:w="584" w:type="pct"/>
                  <w:tcBorders>
                    <w:top w:val="single" w:color="auto" w:sz="4" w:space="0"/>
                  </w:tcBorders>
                  <w:vAlign w:val="center"/>
                </w:tcPr>
                <w:p w14:paraId="3EA4BD3A">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6B5D6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7199B39D">
                  <w:pPr>
                    <w:pStyle w:val="35"/>
                    <w:jc w:val="both"/>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lang w:val="zh-TW" w:eastAsia="zh-TW" w:bidi="ar-SA"/>
                      <w14:textFill>
                        <w14:solidFill>
                          <w14:schemeClr w14:val="tx1"/>
                        </w14:solidFill>
                      </w14:textFill>
                    </w:rPr>
                    <w:t>具有</w:t>
                  </w:r>
                  <w:r>
                    <w:rPr>
                      <w:rFonts w:hint="eastAsia" w:ascii="Times New Roman" w:hAnsi="Times New Roman" w:eastAsia="宋体" w:cs="Times New Roman"/>
                      <w:color w:val="000000" w:themeColor="text1"/>
                      <w:kern w:val="2"/>
                      <w:sz w:val="21"/>
                      <w:szCs w:val="24"/>
                      <w:lang w:val="zh-TW" w:eastAsia="zh-CN" w:bidi="ar-SA"/>
                      <w14:textFill>
                        <w14:solidFill>
                          <w14:schemeClr w14:val="tx1"/>
                        </w14:solidFill>
                      </w14:textFill>
                    </w:rPr>
                    <w:t>DR</w:t>
                  </w:r>
                  <w:r>
                    <w:rPr>
                      <w:rFonts w:hint="eastAsia" w:ascii="Times New Roman" w:hAnsi="Times New Roman" w:eastAsia="宋体" w:cs="Times New Roman"/>
                      <w:color w:val="000000" w:themeColor="text1"/>
                      <w:kern w:val="2"/>
                      <w:sz w:val="21"/>
                      <w:szCs w:val="24"/>
                      <w:lang w:val="zh-TW" w:eastAsia="zh-TW" w:bidi="ar-SA"/>
                      <w14:textFill>
                        <w14:solidFill>
                          <w14:schemeClr w14:val="tx1"/>
                        </w14:solidFill>
                      </w14:textFill>
                    </w:rPr>
                    <w:t>机或者B超等器械设备</w:t>
                  </w:r>
                  <w:r>
                    <w:rPr>
                      <w:rFonts w:hint="eastAsia" w:cs="Times New Roman"/>
                      <w:color w:val="000000" w:themeColor="text1"/>
                      <w:kern w:val="2"/>
                      <w:sz w:val="21"/>
                      <w:szCs w:val="24"/>
                      <w:lang w:val="zh-TW" w:eastAsia="zh-CN" w:bidi="ar-SA"/>
                      <w14:textFill>
                        <w14:solidFill>
                          <w14:schemeClr w14:val="tx1"/>
                        </w14:solidFill>
                      </w14:textFill>
                    </w:rPr>
                    <w:t>。</w:t>
                  </w:r>
                </w:p>
              </w:tc>
              <w:tc>
                <w:tcPr>
                  <w:tcW w:w="2042" w:type="pct"/>
                  <w:tcBorders>
                    <w:top w:val="single" w:color="auto" w:sz="4" w:space="0"/>
                  </w:tcBorders>
                  <w:vAlign w:val="center"/>
                </w:tcPr>
                <w:p w14:paraId="7C8CA312">
                  <w:pPr>
                    <w:pStyle w:val="35"/>
                    <w:bidi w:val="0"/>
                    <w:jc w:val="left"/>
                    <w:rPr>
                      <w:rFonts w:hint="default" w:cs="Times New Roman"/>
                      <w:b w:val="0"/>
                      <w:bCs/>
                      <w:color w:val="000000" w:themeColor="text1"/>
                      <w:kern w:val="2"/>
                      <w:sz w:val="21"/>
                      <w:szCs w:val="24"/>
                      <w:lang w:val="en-US" w:eastAsia="zh-CN" w:bidi="ar-SA"/>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本项目配套设置DR机和B超设备。</w:t>
                  </w:r>
                </w:p>
              </w:tc>
              <w:tc>
                <w:tcPr>
                  <w:tcW w:w="584" w:type="pct"/>
                  <w:tcBorders>
                    <w:top w:val="single" w:color="auto" w:sz="4" w:space="0"/>
                  </w:tcBorders>
                  <w:vAlign w:val="center"/>
                </w:tcPr>
                <w:p w14:paraId="3A608B3D">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0EA06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6529DA16">
                  <w:pPr>
                    <w:pStyle w:val="35"/>
                    <w:jc w:val="both"/>
                    <w:rPr>
                      <w:rFonts w:hint="eastAsia" w:ascii="Times New Roman" w:hAnsi="Times New Roman" w:eastAsia="宋体" w:cs="Times New Roman"/>
                      <w:color w:val="000000" w:themeColor="text1"/>
                      <w:kern w:val="2"/>
                      <w:sz w:val="21"/>
                      <w:szCs w:val="24"/>
                      <w:lang w:val="zh-TW"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zh-TW" w:eastAsia="zh-TW" w:bidi="ar-SA"/>
                      <w14:textFill>
                        <w14:solidFill>
                          <w14:schemeClr w14:val="tx1"/>
                        </w14:solidFill>
                      </w14:textFill>
                    </w:rPr>
                    <w:t>具有布局合理的手术室和手术设备</w:t>
                  </w:r>
                  <w:r>
                    <w:rPr>
                      <w:rFonts w:hint="eastAsia" w:cs="Times New Roman"/>
                      <w:color w:val="000000" w:themeColor="text1"/>
                      <w:kern w:val="2"/>
                      <w:sz w:val="21"/>
                      <w:szCs w:val="24"/>
                      <w:lang w:val="zh-TW" w:eastAsia="zh-CN" w:bidi="ar-SA"/>
                      <w14:textFill>
                        <w14:solidFill>
                          <w14:schemeClr w14:val="tx1"/>
                        </w14:solidFill>
                      </w14:textFill>
                    </w:rPr>
                    <w:t>。</w:t>
                  </w:r>
                </w:p>
              </w:tc>
              <w:tc>
                <w:tcPr>
                  <w:tcW w:w="2042" w:type="pct"/>
                  <w:tcBorders>
                    <w:top w:val="single" w:color="auto" w:sz="4" w:space="0"/>
                  </w:tcBorders>
                  <w:vAlign w:val="center"/>
                </w:tcPr>
                <w:p w14:paraId="2132C99B">
                  <w:pPr>
                    <w:pStyle w:val="35"/>
                    <w:bidi w:val="0"/>
                    <w:jc w:val="both"/>
                    <w:rPr>
                      <w:rFonts w:hint="default" w:cs="Times New Roman"/>
                      <w:b w:val="0"/>
                      <w:bCs/>
                      <w:color w:val="000000" w:themeColor="text1"/>
                      <w:kern w:val="2"/>
                      <w:sz w:val="21"/>
                      <w:szCs w:val="24"/>
                      <w:lang w:val="en-US" w:eastAsia="zh-CN" w:bidi="ar-SA"/>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本项目具有布局合理的手术室和手术设备。</w:t>
                  </w:r>
                </w:p>
              </w:tc>
              <w:tc>
                <w:tcPr>
                  <w:tcW w:w="584" w:type="pct"/>
                  <w:tcBorders>
                    <w:top w:val="single" w:color="auto" w:sz="4" w:space="0"/>
                  </w:tcBorders>
                  <w:vAlign w:val="center"/>
                </w:tcPr>
                <w:p w14:paraId="1E901912">
                  <w:pPr>
                    <w:jc w:val="cente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bl>
          <w:p w14:paraId="3E1C967A">
            <w:pPr>
              <w:pStyle w:val="5"/>
              <w:numPr>
                <w:ilvl w:val="0"/>
                <w:numId w:val="0"/>
              </w:numPr>
              <w:spacing w:line="360" w:lineRule="auto"/>
              <w:jc w:val="both"/>
              <w:outlineLvl w:val="1"/>
              <w:rPr>
                <w:rFonts w:hint="eastAsia" w:ascii="Times New Roman" w:hAnsi="Times New Roman" w:eastAsia="宋体" w:cstheme="minorBidi"/>
                <w:b/>
                <w:color w:val="000000" w:themeColor="text1"/>
                <w:kern w:val="2"/>
                <w:sz w:val="24"/>
                <w:szCs w:val="24"/>
                <w:lang w:val="en-US" w:eastAsia="zh-CN" w:bidi="ar-SA"/>
                <w14:textFill>
                  <w14:solidFill>
                    <w14:schemeClr w14:val="tx1"/>
                  </w14:solidFill>
                </w14:textFill>
              </w:rPr>
            </w:pPr>
            <w:r>
              <w:rPr>
                <w:rFonts w:hint="eastAsia" w:cstheme="minorBidi"/>
                <w:b/>
                <w:color w:val="000000" w:themeColor="text1"/>
                <w:kern w:val="2"/>
                <w:sz w:val="24"/>
                <w:szCs w:val="24"/>
                <w:lang w:val="en-US" w:eastAsia="zh-CN" w:bidi="ar-SA"/>
                <w14:textFill>
                  <w14:solidFill>
                    <w14:schemeClr w14:val="tx1"/>
                  </w14:solidFill>
                </w14:textFill>
              </w:rPr>
              <w:t>5 本项目与《新疆维吾尔自治区动物诊疗机构管理（技术）规范》符合性分析</w:t>
            </w:r>
          </w:p>
          <w:p w14:paraId="0DFD86BD">
            <w:pPr>
              <w:pStyle w:val="5"/>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1"/>
              <w:rPr>
                <w:rFonts w:hint="default" w:ascii="Times New Roman" w:hAnsi="Times New Roman" w:eastAsia="宋体" w:cstheme="minorBidi"/>
                <w:b w:val="0"/>
                <w:color w:val="000000" w:themeColor="text1"/>
                <w:kern w:val="2"/>
                <w:sz w:val="24"/>
                <w:szCs w:val="24"/>
                <w:lang w:val="en-US" w:eastAsia="zh-CN" w:bidi="ar-SA"/>
                <w14:textFill>
                  <w14:solidFill>
                    <w14:schemeClr w14:val="tx1"/>
                  </w14:solidFill>
                </w14:textFill>
              </w:rPr>
            </w:pPr>
            <w:r>
              <w:rPr>
                <w:rFonts w:hint="eastAsia" w:cstheme="minorBidi"/>
                <w:b w:val="0"/>
                <w:color w:val="000000" w:themeColor="text1"/>
                <w:kern w:val="2"/>
                <w:sz w:val="24"/>
                <w:szCs w:val="24"/>
                <w:lang w:val="en-US" w:eastAsia="zh-CN" w:bidi="ar-SA"/>
                <w14:textFill>
                  <w14:solidFill>
                    <w14:schemeClr w14:val="tx1"/>
                  </w14:solidFill>
                </w14:textFill>
              </w:rPr>
              <w:t>本</w:t>
            </w:r>
            <w:r>
              <w:rPr>
                <w:rFonts w:hint="eastAsia" w:ascii="Times New Roman" w:hAnsi="Times New Roman" w:eastAsia="宋体" w:cstheme="minorBidi"/>
                <w:b w:val="0"/>
                <w:color w:val="000000" w:themeColor="text1"/>
                <w:kern w:val="2"/>
                <w:sz w:val="24"/>
                <w:szCs w:val="24"/>
                <w:lang w:val="en-US" w:eastAsia="zh-CN" w:bidi="ar-SA"/>
                <w14:textFill>
                  <w14:solidFill>
                    <w14:schemeClr w14:val="tx1"/>
                  </w14:solidFill>
                </w14:textFill>
              </w:rPr>
              <w:t>项目与《新疆维吾尔自治区动物诊疗机构管理（技术）规范》符合性分析见表</w:t>
            </w:r>
            <w:r>
              <w:rPr>
                <w:rFonts w:hint="default" w:ascii="Times New Roman" w:hAnsi="Times New Roman" w:eastAsia="宋体" w:cstheme="minorBidi"/>
                <w:b w:val="0"/>
                <w:color w:val="000000" w:themeColor="text1"/>
                <w:kern w:val="2"/>
                <w:sz w:val="24"/>
                <w:szCs w:val="24"/>
                <w:lang w:val="en-US" w:eastAsia="zh-CN" w:bidi="ar-SA"/>
                <w14:textFill>
                  <w14:solidFill>
                    <w14:schemeClr w14:val="tx1"/>
                  </w14:solidFill>
                </w14:textFill>
              </w:rPr>
              <w:t>1-</w:t>
            </w:r>
            <w:r>
              <w:rPr>
                <w:rFonts w:hint="eastAsia" w:cstheme="minorBidi"/>
                <w:b w:val="0"/>
                <w:color w:val="000000" w:themeColor="text1"/>
                <w:kern w:val="2"/>
                <w:sz w:val="24"/>
                <w:szCs w:val="24"/>
                <w:lang w:val="en-US" w:eastAsia="zh-CN" w:bidi="ar-SA"/>
                <w14:textFill>
                  <w14:solidFill>
                    <w14:schemeClr w14:val="tx1"/>
                  </w14:solidFill>
                </w14:textFill>
              </w:rPr>
              <w:t>4。</w:t>
            </w:r>
          </w:p>
          <w:p w14:paraId="65493151">
            <w:pPr>
              <w:pStyle w:val="34"/>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《新疆维吾尔自治区动物诊疗机构管理（技术）规范》</w:t>
            </w:r>
            <w:r>
              <w:rPr>
                <w:color w:val="000000" w:themeColor="text1"/>
                <w:sz w:val="21"/>
                <w:szCs w:val="21"/>
                <w14:textFill>
                  <w14:solidFill>
                    <w14:schemeClr w14:val="tx1"/>
                  </w14:solidFill>
                </w14:textFill>
              </w:rPr>
              <w:t>符合性分析一览表</w:t>
            </w:r>
          </w:p>
          <w:tbl>
            <w:tblPr>
              <w:tblStyle w:val="25"/>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2691"/>
              <w:gridCol w:w="770"/>
            </w:tblGrid>
            <w:tr w14:paraId="08C7B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bottom w:val="single" w:color="auto" w:sz="12" w:space="0"/>
                  </w:tcBorders>
                  <w:vAlign w:val="center"/>
                </w:tcPr>
                <w:p w14:paraId="7AB64F83">
                  <w:pPr>
                    <w:pStyle w:val="35"/>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新疆维吾尔自治区动物诊疗机构管理（技术）规范</w:t>
                  </w:r>
                </w:p>
              </w:tc>
              <w:tc>
                <w:tcPr>
                  <w:tcW w:w="2042" w:type="pct"/>
                  <w:tcBorders>
                    <w:bottom w:val="single" w:color="auto" w:sz="12" w:space="0"/>
                  </w:tcBorders>
                  <w:vAlign w:val="center"/>
                </w:tcPr>
                <w:p w14:paraId="70C57624">
                  <w:pPr>
                    <w:pStyle w:val="35"/>
                    <w:rPr>
                      <w:b/>
                      <w:bCs/>
                      <w:color w:val="000000" w:themeColor="text1"/>
                      <w14:textFill>
                        <w14:solidFill>
                          <w14:schemeClr w14:val="tx1"/>
                        </w14:solidFill>
                      </w14:textFill>
                    </w:rPr>
                  </w:pPr>
                  <w:r>
                    <w:rPr>
                      <w:b/>
                      <w:bCs/>
                      <w:color w:val="000000" w:themeColor="text1"/>
                      <w14:textFill>
                        <w14:solidFill>
                          <w14:schemeClr w14:val="tx1"/>
                        </w14:solidFill>
                      </w14:textFill>
                    </w:rPr>
                    <w:t>本项目工程概况</w:t>
                  </w:r>
                </w:p>
              </w:tc>
              <w:tc>
                <w:tcPr>
                  <w:tcW w:w="584" w:type="pct"/>
                  <w:tcBorders>
                    <w:bottom w:val="single" w:color="auto" w:sz="12" w:space="0"/>
                  </w:tcBorders>
                  <w:vAlign w:val="center"/>
                </w:tcPr>
                <w:p w14:paraId="0907B95D">
                  <w:pPr>
                    <w:pStyle w:val="35"/>
                    <w:rPr>
                      <w:b/>
                      <w:bCs/>
                      <w:color w:val="000000" w:themeColor="text1"/>
                      <w14:textFill>
                        <w14:solidFill>
                          <w14:schemeClr w14:val="tx1"/>
                        </w14:solidFill>
                      </w14:textFill>
                    </w:rPr>
                  </w:pPr>
                  <w:r>
                    <w:rPr>
                      <w:b/>
                      <w:bCs/>
                      <w:color w:val="000000" w:themeColor="text1"/>
                      <w14:textFill>
                        <w14:solidFill>
                          <w14:schemeClr w14:val="tx1"/>
                        </w14:solidFill>
                      </w14:textFill>
                    </w:rPr>
                    <w:t>符合性</w:t>
                  </w:r>
                </w:p>
              </w:tc>
            </w:tr>
            <w:tr w14:paraId="469E7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12" w:space="0"/>
                    <w:bottom w:val="single" w:color="auto" w:sz="4" w:space="0"/>
                  </w:tcBorders>
                  <w:vAlign w:val="center"/>
                </w:tcPr>
                <w:p w14:paraId="144FFC9F">
                  <w:pPr>
                    <w:pStyle w:val="35"/>
                    <w:jc w:val="left"/>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动物医院使用面积应在150</w:t>
                  </w:r>
                  <w:r>
                    <w:rPr>
                      <w:rFonts w:hint="eastAsia"/>
                      <w:color w:val="000000" w:themeColor="text1"/>
                      <w:lang w:val="en-US" w:eastAsia="zh-CN"/>
                      <w14:textFill>
                        <w14:solidFill>
                          <w14:schemeClr w14:val="tx1"/>
                        </w14:solidFill>
                      </w14:textFill>
                    </w:rPr>
                    <w:t>平方米</w:t>
                  </w:r>
                  <w:r>
                    <w:rPr>
                      <w:rFonts w:hint="eastAsia" w:eastAsia="宋体"/>
                      <w:color w:val="000000" w:themeColor="text1"/>
                      <w:lang w:eastAsia="zh-CN"/>
                      <w14:textFill>
                        <w14:solidFill>
                          <w14:schemeClr w14:val="tx1"/>
                        </w14:solidFill>
                      </w14:textFill>
                    </w:rPr>
                    <w:t>以上，有相对独立的隔离室、</w:t>
                  </w:r>
                  <w:r>
                    <w:rPr>
                      <w:rFonts w:hint="eastAsia"/>
                      <w:color w:val="000000" w:themeColor="text1"/>
                      <w:lang w:val="en-US" w:eastAsia="zh-CN"/>
                      <w14:textFill>
                        <w14:solidFill>
                          <w14:schemeClr w14:val="tx1"/>
                        </w14:solidFill>
                      </w14:textFill>
                    </w:rPr>
                    <w:t>诊疗</w:t>
                  </w:r>
                  <w:r>
                    <w:rPr>
                      <w:rFonts w:hint="eastAsia" w:eastAsia="宋体"/>
                      <w:color w:val="000000" w:themeColor="text1"/>
                      <w:lang w:eastAsia="zh-CN"/>
                      <w14:textFill>
                        <w14:solidFill>
                          <w14:schemeClr w14:val="tx1"/>
                        </w14:solidFill>
                      </w14:textFill>
                    </w:rPr>
                    <w:t>室、普通病处置室和传染病处置室、住院室、手术室、相关检验室、器具清洗消毒室，器械药品室、办公室等工作室。</w:t>
                  </w:r>
                </w:p>
              </w:tc>
              <w:tc>
                <w:tcPr>
                  <w:tcW w:w="2042" w:type="pct"/>
                  <w:tcBorders>
                    <w:top w:val="single" w:color="auto" w:sz="12" w:space="0"/>
                    <w:bottom w:val="single" w:color="auto" w:sz="4" w:space="0"/>
                  </w:tcBorders>
                  <w:vAlign w:val="center"/>
                </w:tcPr>
                <w:p w14:paraId="4EEB350B">
                  <w:pPr>
                    <w:pStyle w:val="35"/>
                    <w:bidi w:val="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本项目建筑面积150平方米</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有独立的隔离室、诊疗</w:t>
                  </w:r>
                  <w:r>
                    <w:rPr>
                      <w:rFonts w:hint="eastAsia" w:eastAsia="宋体"/>
                      <w:color w:val="000000" w:themeColor="text1"/>
                      <w:lang w:eastAsia="zh-CN"/>
                      <w14:textFill>
                        <w14:solidFill>
                          <w14:schemeClr w14:val="tx1"/>
                        </w14:solidFill>
                      </w14:textFill>
                    </w:rPr>
                    <w:t>室</w:t>
                  </w:r>
                  <w:r>
                    <w:rPr>
                      <w:rFonts w:hint="eastAsia"/>
                      <w:color w:val="000000" w:themeColor="text1"/>
                      <w:lang w:val="en-US" w:eastAsia="zh-CN"/>
                      <w14:textFill>
                        <w14:solidFill>
                          <w14:schemeClr w14:val="tx1"/>
                        </w14:solidFill>
                      </w14:textFill>
                    </w:rPr>
                    <w:t>、住院室、手术室等相关工作室。</w:t>
                  </w:r>
                </w:p>
              </w:tc>
              <w:tc>
                <w:tcPr>
                  <w:tcW w:w="584" w:type="pct"/>
                  <w:tcBorders>
                    <w:top w:val="single" w:color="auto" w:sz="12" w:space="0"/>
                    <w:bottom w:val="single" w:color="auto" w:sz="4" w:space="0"/>
                  </w:tcBorders>
                  <w:vAlign w:val="center"/>
                </w:tcPr>
                <w:p w14:paraId="36848FE2">
                  <w:pPr>
                    <w:pStyle w:val="35"/>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4A1DD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bottom w:val="single" w:color="auto" w:sz="4" w:space="0"/>
                  </w:tcBorders>
                  <w:vAlign w:val="center"/>
                </w:tcPr>
                <w:p w14:paraId="65398723">
                  <w:pPr>
                    <w:pStyle w:val="35"/>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动物诊疗机构应有固定的营业场所，环境应整洁，距动物饲养、交易场所200米以上，距离动物屠宰和动物、动物产品经营、加工，以及药品生产等场所3000米以上并符合动物防疫要求。</w:t>
                  </w:r>
                </w:p>
              </w:tc>
              <w:tc>
                <w:tcPr>
                  <w:tcW w:w="2042" w:type="pct"/>
                  <w:tcBorders>
                    <w:top w:val="single" w:color="auto" w:sz="4" w:space="0"/>
                    <w:bottom w:val="single" w:color="auto" w:sz="4" w:space="0"/>
                  </w:tcBorders>
                  <w:vAlign w:val="center"/>
                </w:tcPr>
                <w:p w14:paraId="2183502E">
                  <w:pPr>
                    <w:pStyle w:val="35"/>
                    <w:bidi w:val="0"/>
                    <w:jc w:val="left"/>
                    <w:rPr>
                      <w:rFonts w:hint="eastAsia"/>
                      <w:color w:val="000000" w:themeColor="text1"/>
                      <w:lang w:val="en-US" w:eastAsia="zh-CN"/>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w:t>
                  </w: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项目</w:t>
                  </w:r>
                  <w:r>
                    <w:rPr>
                      <w:rFonts w:hint="eastAsia" w:cs="Times New Roman"/>
                      <w:b w:val="0"/>
                      <w:bCs/>
                      <w:color w:val="000000" w:themeColor="text1"/>
                      <w:kern w:val="2"/>
                      <w:sz w:val="21"/>
                      <w:szCs w:val="24"/>
                      <w:lang w:val="en-US" w:eastAsia="zh-CN" w:bidi="ar-SA"/>
                      <w14:textFill>
                        <w14:solidFill>
                          <w14:schemeClr w14:val="tx1"/>
                        </w14:solidFill>
                      </w14:textFill>
                    </w:rPr>
                    <w:t>租赁现有商铺，</w:t>
                  </w: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周边</w:t>
                  </w:r>
                  <w:r>
                    <w:rPr>
                      <w:rFonts w:hint="eastAsia" w:cs="Times New Roman"/>
                      <w:b w:val="0"/>
                      <w:bCs/>
                      <w:color w:val="000000" w:themeColor="text1"/>
                      <w:kern w:val="2"/>
                      <w:sz w:val="21"/>
                      <w:szCs w:val="24"/>
                      <w:lang w:val="en-US" w:eastAsia="zh-CN" w:bidi="ar-SA"/>
                      <w14:textFill>
                        <w14:solidFill>
                          <w14:schemeClr w14:val="tx1"/>
                        </w14:solidFill>
                      </w14:textFill>
                    </w:rPr>
                    <w:t>为居民住宅，经营范围200m内无</w:t>
                  </w: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动物饲养场、动物屠宰加工场所、经营动物的集贸市场</w:t>
                  </w:r>
                  <w:r>
                    <w:rPr>
                      <w:rFonts w:hint="eastAsia" w:cs="Times New Roman"/>
                      <w:b w:val="0"/>
                      <w:bCs/>
                      <w:color w:val="000000" w:themeColor="text1"/>
                      <w:kern w:val="2"/>
                      <w:sz w:val="21"/>
                      <w:szCs w:val="24"/>
                      <w:lang w:val="en-US" w:eastAsia="zh-CN" w:bidi="ar-SA"/>
                      <w14:textFill>
                        <w14:solidFill>
                          <w14:schemeClr w14:val="tx1"/>
                        </w14:solidFill>
                      </w14:textFill>
                    </w:rPr>
                    <w:t>。</w:t>
                  </w:r>
                </w:p>
              </w:tc>
              <w:tc>
                <w:tcPr>
                  <w:tcW w:w="584" w:type="pct"/>
                  <w:tcBorders>
                    <w:top w:val="single" w:color="auto" w:sz="4" w:space="0"/>
                    <w:bottom w:val="single" w:color="auto" w:sz="4" w:space="0"/>
                  </w:tcBorders>
                  <w:vAlign w:val="center"/>
                </w:tcPr>
                <w:p w14:paraId="27840CBA">
                  <w:pPr>
                    <w:jc w:val="cente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60331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153DBB77">
                  <w:pPr>
                    <w:pStyle w:val="35"/>
                    <w:jc w:val="both"/>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动物诊疗机构的营业场所应当设有独立的对外出入口，出入口不应设在居民楼内或院内，不应与同一建筑物的其他用户共用通道，并确保不影响居民正常生活。</w:t>
                  </w:r>
                </w:p>
              </w:tc>
              <w:tc>
                <w:tcPr>
                  <w:tcW w:w="2042" w:type="pct"/>
                  <w:tcBorders>
                    <w:top w:val="single" w:color="auto" w:sz="4" w:space="0"/>
                  </w:tcBorders>
                  <w:vAlign w:val="center"/>
                </w:tcPr>
                <w:p w14:paraId="5BCDD3B7">
                  <w:pPr>
                    <w:pStyle w:val="35"/>
                    <w:bidi w:val="0"/>
                    <w:jc w:val="left"/>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本项目租赁现有门面房，北侧设有独立的出入口，不与同一建筑物的其他用户共用通道，</w:t>
                  </w:r>
                  <w:r>
                    <w:rPr>
                      <w:rFonts w:hint="eastAsia"/>
                      <w:color w:val="000000" w:themeColor="text1"/>
                      <w:lang w:eastAsia="zh-CN"/>
                      <w14:textFill>
                        <w14:solidFill>
                          <w14:schemeClr w14:val="tx1"/>
                        </w14:solidFill>
                      </w14:textFill>
                    </w:rPr>
                    <w:t>不影响居民正常生活。</w:t>
                  </w:r>
                </w:p>
              </w:tc>
              <w:tc>
                <w:tcPr>
                  <w:tcW w:w="584" w:type="pct"/>
                  <w:tcBorders>
                    <w:top w:val="single" w:color="auto" w:sz="4" w:space="0"/>
                  </w:tcBorders>
                  <w:vAlign w:val="center"/>
                </w:tcPr>
                <w:p w14:paraId="00945C17">
                  <w:pPr>
                    <w:jc w:val="cente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r w14:paraId="40F16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72" w:type="pct"/>
                  <w:tcBorders>
                    <w:top w:val="single" w:color="auto" w:sz="4" w:space="0"/>
                  </w:tcBorders>
                  <w:vAlign w:val="center"/>
                </w:tcPr>
                <w:p w14:paraId="05510555">
                  <w:pPr>
                    <w:pStyle w:val="35"/>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动物诊疗机构应具备暂存污水、污物、病死动物及其他医疗废弃物的防止二次污染的用具，存放处应有明显标志。</w:t>
                  </w:r>
                </w:p>
              </w:tc>
              <w:tc>
                <w:tcPr>
                  <w:tcW w:w="2042" w:type="pct"/>
                  <w:tcBorders>
                    <w:top w:val="single" w:color="auto" w:sz="4" w:space="0"/>
                  </w:tcBorders>
                  <w:vAlign w:val="center"/>
                </w:tcPr>
                <w:p w14:paraId="23A1C6C4">
                  <w:pPr>
                    <w:pStyle w:val="35"/>
                    <w:bidi w:val="0"/>
                    <w:jc w:val="left"/>
                    <w:rPr>
                      <w:rFonts w:hint="default" w:cs="Times New Roman"/>
                      <w:b w:val="0"/>
                      <w:bCs/>
                      <w:color w:val="000000" w:themeColor="text1"/>
                      <w:kern w:val="2"/>
                      <w:sz w:val="21"/>
                      <w:szCs w:val="24"/>
                      <w:lang w:val="en-US" w:eastAsia="zh-CN" w:bidi="ar-SA"/>
                      <w14:textFill>
                        <w14:solidFill>
                          <w14:schemeClr w14:val="tx1"/>
                        </w14:solidFill>
                      </w14:textFill>
                    </w:rPr>
                  </w:pPr>
                  <w:r>
                    <w:rPr>
                      <w:rFonts w:hint="eastAsia" w:cs="Times New Roman"/>
                      <w:b w:val="0"/>
                      <w:bCs/>
                      <w:color w:val="000000" w:themeColor="text1"/>
                      <w:kern w:val="2"/>
                      <w:sz w:val="21"/>
                      <w:szCs w:val="24"/>
                      <w:lang w:val="en-US" w:eastAsia="zh-CN" w:bidi="ar-SA"/>
                      <w14:textFill>
                        <w14:solidFill>
                          <w14:schemeClr w14:val="tx1"/>
                        </w14:solidFill>
                      </w14:textFill>
                    </w:rPr>
                    <w:t>本项目拟设置1座医疗废物暂存间暂存医疗废物，并委托有资质单位处理。</w:t>
                  </w:r>
                </w:p>
              </w:tc>
              <w:tc>
                <w:tcPr>
                  <w:tcW w:w="584" w:type="pct"/>
                  <w:tcBorders>
                    <w:top w:val="single" w:color="auto" w:sz="4" w:space="0"/>
                  </w:tcBorders>
                  <w:vAlign w:val="center"/>
                </w:tcPr>
                <w:p w14:paraId="156FF67D">
                  <w:pPr>
                    <w:jc w:val="cente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4"/>
                      <w:lang w:val="en-US" w:eastAsia="zh-CN" w:bidi="ar-SA"/>
                      <w14:textFill>
                        <w14:solidFill>
                          <w14:schemeClr w14:val="tx1"/>
                        </w14:solidFill>
                      </w14:textFill>
                    </w:rPr>
                    <w:t>符合</w:t>
                  </w:r>
                </w:p>
              </w:tc>
            </w:tr>
          </w:tbl>
          <w:p w14:paraId="5A4A3BD8">
            <w:pPr>
              <w:pStyle w:val="5"/>
              <w:numPr>
                <w:ilvl w:val="0"/>
                <w:numId w:val="0"/>
              </w:numPr>
              <w:spacing w:line="360" w:lineRule="auto"/>
              <w:jc w:val="both"/>
              <w:outlineLvl w:val="1"/>
              <w:rPr>
                <w:rFonts w:hint="eastAsia" w:cstheme="minorBidi"/>
                <w:b/>
                <w:color w:val="000000" w:themeColor="text1"/>
                <w:kern w:val="2"/>
                <w:sz w:val="24"/>
                <w:szCs w:val="24"/>
                <w:lang w:val="en-US" w:eastAsia="zh-CN" w:bidi="ar-SA"/>
                <w14:textFill>
                  <w14:solidFill>
                    <w14:schemeClr w14:val="tx1"/>
                  </w14:solidFill>
                </w14:textFill>
              </w:rPr>
            </w:pPr>
            <w:r>
              <w:rPr>
                <w:rFonts w:hint="eastAsia" w:cstheme="minorBidi"/>
                <w:b/>
                <w:color w:val="000000" w:themeColor="text1"/>
                <w:kern w:val="2"/>
                <w:sz w:val="24"/>
                <w:szCs w:val="24"/>
                <w:lang w:val="en-US" w:eastAsia="zh-CN" w:bidi="ar-SA"/>
                <w14:textFill>
                  <w14:solidFill>
                    <w14:schemeClr w14:val="tx1"/>
                  </w14:solidFill>
                </w14:textFill>
              </w:rPr>
              <w:t>6 选址合理性分析</w:t>
            </w:r>
          </w:p>
          <w:p w14:paraId="159F5110">
            <w:pPr>
              <w:pStyle w:val="3"/>
              <w:ind w:firstLine="480"/>
              <w:jc w:val="both"/>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位于</w:t>
            </w:r>
            <w:r>
              <w:rPr>
                <w:rFonts w:hint="default" w:ascii="Times New Roman" w:hAnsi="Times New Roman" w:eastAsia="宋体"/>
                <w:color w:val="000000" w:themeColor="text1"/>
                <w:lang w:val="en-US" w:eastAsia="zh-CN"/>
                <w14:textFill>
                  <w14:solidFill>
                    <w14:schemeClr w14:val="tx1"/>
                  </w14:solidFill>
                </w14:textFill>
              </w:rPr>
              <w:t>新疆维吾尔自治区昌吉</w:t>
            </w:r>
            <w:r>
              <w:rPr>
                <w:rFonts w:hint="eastAsia" w:ascii="Times New Roman" w:hAnsi="Times New Roman" w:eastAsia="宋体"/>
                <w:color w:val="000000" w:themeColor="text1"/>
                <w:lang w:val="en-US" w:eastAsia="zh-CN"/>
                <w14:textFill>
                  <w14:solidFill>
                    <w14:schemeClr w14:val="tx1"/>
                  </w14:solidFill>
                </w14:textFill>
              </w:rPr>
              <w:t>回族自治</w:t>
            </w:r>
            <w:r>
              <w:rPr>
                <w:rFonts w:hint="default" w:ascii="Times New Roman" w:hAnsi="Times New Roman" w:eastAsia="宋体"/>
                <w:color w:val="000000" w:themeColor="text1"/>
                <w:lang w:val="en-US" w:eastAsia="zh-CN"/>
                <w14:textFill>
                  <w14:solidFill>
                    <w14:schemeClr w14:val="tx1"/>
                  </w14:solidFill>
                </w14:textFill>
              </w:rPr>
              <w:t>州</w:t>
            </w:r>
            <w:r>
              <w:rPr>
                <w:rFonts w:hint="eastAsia" w:ascii="Times New Roman" w:hAnsi="Times New Roman" w:eastAsia="宋体"/>
                <w:color w:val="000000" w:themeColor="text1"/>
                <w:lang w:val="en-US" w:eastAsia="zh-CN"/>
                <w14:textFill>
                  <w14:solidFill>
                    <w14:schemeClr w14:val="tx1"/>
                  </w14:solidFill>
                </w14:textFill>
              </w:rPr>
              <w:t>奇台</w:t>
            </w:r>
            <w:r>
              <w:rPr>
                <w:rFonts w:hint="default" w:ascii="Times New Roman" w:hAnsi="Times New Roman" w:eastAsia="宋体"/>
                <w:color w:val="000000" w:themeColor="text1"/>
                <w:lang w:val="en-US" w:eastAsia="zh-CN"/>
                <w14:textFill>
                  <w14:solidFill>
                    <w14:schemeClr w14:val="tx1"/>
                  </w14:solidFill>
                </w14:textFill>
              </w:rPr>
              <w:t>县</w:t>
            </w:r>
            <w:r>
              <w:rPr>
                <w:rFonts w:hint="default" w:eastAsia="宋体"/>
                <w:b w:val="0"/>
                <w:bCs/>
                <w:color w:val="000000" w:themeColor="text1"/>
                <w:lang w:val="en-US" w:eastAsia="zh-CN"/>
                <w14:textFill>
                  <w14:solidFill>
                    <w14:schemeClr w14:val="tx1"/>
                  </w14:solidFill>
                </w14:textFill>
              </w:rPr>
              <w:t>团结路与</w:t>
            </w:r>
            <w:r>
              <w:rPr>
                <w:rFonts w:hint="eastAsia"/>
                <w:b w:val="0"/>
                <w:bCs/>
                <w:color w:val="000000" w:themeColor="text1"/>
                <w:lang w:val="en-US" w:eastAsia="zh-CN"/>
                <w14:textFill>
                  <w14:solidFill>
                    <w14:schemeClr w14:val="tx1"/>
                  </w14:solidFill>
                </w14:textFill>
              </w:rPr>
              <w:t>旱</w:t>
            </w:r>
            <w:r>
              <w:rPr>
                <w:rFonts w:hint="default" w:eastAsia="宋体"/>
                <w:b w:val="0"/>
                <w:bCs/>
                <w:color w:val="000000" w:themeColor="text1"/>
                <w:lang w:val="en-US" w:eastAsia="zh-CN"/>
                <w14:textFill>
                  <w14:solidFill>
                    <w14:schemeClr w14:val="tx1"/>
                  </w14:solidFill>
                </w14:textFill>
              </w:rPr>
              <w:t>码头中街交汇处圣水华庭1幢1层</w:t>
            </w:r>
            <w:r>
              <w:rPr>
                <w:rFonts w:hint="eastAsia" w:ascii="Times New Roman" w:hAnsi="Times New Roman" w:eastAsia="宋体"/>
                <w:b w:val="0"/>
                <w:bCs/>
                <w:color w:val="000000" w:themeColor="text1"/>
                <w:lang w:val="en-US" w:eastAsia="zh-CN"/>
                <w14:textFill>
                  <w14:solidFill>
                    <w14:schemeClr w14:val="tx1"/>
                  </w14:solidFill>
                </w14:textFill>
              </w:rPr>
              <w:t>4号、5号、</w:t>
            </w:r>
            <w:r>
              <w:rPr>
                <w:rFonts w:hint="default" w:ascii="Times New Roman" w:hAnsi="Times New Roman" w:eastAsia="宋体"/>
                <w:b w:val="0"/>
                <w:bCs/>
                <w:color w:val="000000" w:themeColor="text1"/>
                <w:lang w:val="en-US" w:eastAsia="zh-CN"/>
                <w14:textFill>
                  <w14:solidFill>
                    <w14:schemeClr w14:val="tx1"/>
                  </w14:solidFill>
                </w14:textFill>
              </w:rPr>
              <w:t>6号</w:t>
            </w:r>
            <w:r>
              <w:rPr>
                <w:rFonts w:hint="eastAsia" w:cs="Times New Roman"/>
                <w:color w:val="000000" w:themeColor="text1"/>
                <w:kern w:val="0"/>
                <w:lang w:bidi="ar"/>
                <w14:textFill>
                  <w14:solidFill>
                    <w14:schemeClr w14:val="tx1"/>
                  </w14:solidFill>
                </w14:textFill>
              </w:rPr>
              <w:t>。</w:t>
            </w:r>
            <w:r>
              <w:rPr>
                <w:rFonts w:hint="eastAsia" w:cs="Times New Roman"/>
                <w:color w:val="000000" w:themeColor="text1"/>
                <w:kern w:val="0"/>
                <w:lang w:val="en-US" w:eastAsia="zh-CN" w:bidi="ar"/>
                <w14:textFill>
                  <w14:solidFill>
                    <w14:schemeClr w14:val="tx1"/>
                  </w14:solidFill>
                </w14:textFill>
              </w:rPr>
              <w:t>项目东西两侧均为商铺，北侧70m为古城明珠小区居民楼，南侧5m为圣水华庭小区居民楼。</w:t>
            </w:r>
          </w:p>
          <w:p w14:paraId="437AEA79">
            <w:pPr>
              <w:pStyle w:val="3"/>
              <w:ind w:firstLine="480"/>
              <w:jc w:val="both"/>
              <w:rPr>
                <w:rFonts w:hint="default" w:cs="Times New Roman"/>
                <w:bCs/>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项目周边多为商业功能，不与其他服务功能冲突，项目所在地属于城市区域，项目选址交通极为便利，地理位置优越，供水供电、通讯、生活垃圾处理等基础设施较完善。</w:t>
            </w:r>
          </w:p>
          <w:p w14:paraId="54B2BBEE">
            <w:pPr>
              <w:pStyle w:val="3"/>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本项目符合</w:t>
            </w:r>
            <w:r>
              <w:rPr>
                <w:rFonts w:hint="eastAsia"/>
                <w:color w:val="000000" w:themeColor="text1"/>
                <w14:textFill>
                  <w14:solidFill>
                    <w14:schemeClr w14:val="tx1"/>
                  </w14:solidFill>
                </w14:textFill>
              </w:rPr>
              <w:t>《动物诊疗机构管理办法》</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中华人民共和国农业农村部令，2022年第5号</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的有关规定</w:t>
            </w:r>
            <w:r>
              <w:rPr>
                <w:rFonts w:hint="eastAsia"/>
                <w:color w:val="000000" w:themeColor="text1"/>
                <w:lang w:eastAsia="zh-CN"/>
                <w14:textFill>
                  <w14:solidFill>
                    <w14:schemeClr w14:val="tx1"/>
                  </w14:solidFill>
                </w14:textFill>
              </w:rPr>
              <w:t>。</w:t>
            </w:r>
          </w:p>
          <w:p w14:paraId="470D3D26">
            <w:pPr>
              <w:pStyle w:val="3"/>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本项目选址符合相关规定要求。</w:t>
            </w:r>
          </w:p>
        </w:tc>
      </w:tr>
    </w:tbl>
    <w:p w14:paraId="4D196007">
      <w:p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8BB03BF">
      <w:pPr>
        <w:pStyle w:val="4"/>
        <w:numPr>
          <w:ilvl w:val="0"/>
          <w:numId w:val="0"/>
        </w:numPr>
        <w:jc w:val="center"/>
        <w:rPr>
          <w:rFonts w:hint="eastAsia" w:ascii="黑体" w:hAnsi="黑体" w:eastAsia="黑体" w:cs="黑体"/>
          <w:b w:val="0"/>
          <w:bCs/>
        </w:rPr>
      </w:pPr>
      <w:r>
        <w:rPr>
          <w:rFonts w:hint="eastAsia" w:ascii="黑体" w:hAnsi="黑体" w:eastAsia="黑体" w:cs="黑体"/>
          <w:b w:val="0"/>
          <w:bCs/>
          <w:kern w:val="44"/>
          <w:sz w:val="30"/>
          <w:szCs w:val="24"/>
          <w:lang w:val="en-US" w:eastAsia="zh-CN" w:bidi="ar-SA"/>
        </w:rPr>
        <w:t>二、</w:t>
      </w:r>
      <w:r>
        <w:rPr>
          <w:rFonts w:hint="eastAsia" w:ascii="黑体" w:hAnsi="黑体" w:eastAsia="黑体" w:cs="黑体"/>
          <w:b w:val="0"/>
          <w:bCs/>
        </w:rPr>
        <w:t>建设项目工程分析</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56"/>
        <w:gridCol w:w="8066"/>
      </w:tblGrid>
      <w:tr w14:paraId="0F1603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jc w:val="center"/>
        </w:trPr>
        <w:tc>
          <w:tcPr>
            <w:tcW w:w="454" w:type="dxa"/>
            <w:tcBorders>
              <w:tl2br w:val="nil"/>
              <w:tr2bl w:val="nil"/>
            </w:tcBorders>
            <w:vAlign w:val="center"/>
          </w:tcPr>
          <w:p w14:paraId="78EB6040">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建设内容</w:t>
            </w:r>
          </w:p>
        </w:tc>
        <w:tc>
          <w:tcPr>
            <w:tcW w:w="8068" w:type="dxa"/>
            <w:tcBorders>
              <w:tl2br w:val="nil"/>
              <w:tr2bl w:val="nil"/>
            </w:tcBorders>
          </w:tcPr>
          <w:p w14:paraId="0D01EE90">
            <w:pPr>
              <w:pStyle w:val="5"/>
              <w:numPr>
                <w:ilvl w:val="0"/>
                <w:numId w:val="0"/>
              </w:numPr>
              <w:jc w:val="both"/>
              <w:outlineLvl w:val="1"/>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1 项目背景</w:t>
            </w:r>
            <w:r>
              <w:rPr>
                <w:rFonts w:hint="eastAsia" w:cs="Times New Roman"/>
                <w:b/>
                <w:color w:val="000000" w:themeColor="text1"/>
                <w:kern w:val="2"/>
                <w:sz w:val="24"/>
                <w:szCs w:val="24"/>
                <w:lang w:val="en-US" w:eastAsia="zh-CN" w:bidi="ar-SA"/>
                <w14:textFill>
                  <w14:solidFill>
                    <w14:schemeClr w14:val="tx1"/>
                  </w14:solidFill>
                </w14:textFill>
              </w:rPr>
              <w:t>介绍</w:t>
            </w: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及建设的必要性</w:t>
            </w:r>
          </w:p>
          <w:p w14:paraId="5BAA1E1F">
            <w:pPr>
              <w:pStyle w:val="3"/>
              <w:tabs>
                <w:tab w:val="left" w:pos="6720"/>
                <w:tab w:val="left" w:pos="7200"/>
              </w:tabs>
              <w:ind w:firstLine="480"/>
              <w:jc w:val="both"/>
              <w:rPr>
                <w:rFonts w:hint="eastAsia" w:ascii="Times New Roman" w:hAnsi="Times New Roman" w:eastAsia="宋体"/>
                <w:color w:val="0000FF"/>
                <w:lang w:val="en-US" w:eastAsia="zh-CN"/>
              </w:rPr>
            </w:pPr>
            <w:r>
              <w:rPr>
                <w:rFonts w:hint="eastAsia" w:ascii="Times New Roman" w:hAnsi="Times New Roman" w:eastAsia="宋体"/>
                <w:color w:val="0000FF"/>
                <w:lang w:val="en-US" w:eastAsia="zh-CN"/>
              </w:rPr>
              <w:t>本项目前身为宠物诊所，没有开设动物颅腔、胸腔或腹腔手术的资质，根据《建设项目环境影响评价分类管理名录(2021年版)》，原宠物诊所无需进行环境影响评价。</w:t>
            </w:r>
          </w:p>
          <w:p w14:paraId="7AF3D70E">
            <w:pPr>
              <w:pStyle w:val="3"/>
              <w:tabs>
                <w:tab w:val="left" w:pos="6720"/>
                <w:tab w:val="left" w:pos="7200"/>
              </w:tabs>
              <w:ind w:firstLine="480"/>
              <w:jc w:val="both"/>
              <w:rPr>
                <w:rFonts w:hint="eastAsia" w:ascii="Times New Roman" w:hAnsi="Times New Roman" w:eastAsia="宋体"/>
                <w:color w:val="0000FF"/>
                <w:lang w:val="en-US" w:eastAsia="zh-CN"/>
              </w:rPr>
            </w:pPr>
            <w:r>
              <w:rPr>
                <w:rFonts w:hint="eastAsia"/>
                <w:color w:val="0000FF"/>
                <w:lang w:val="en-US" w:eastAsia="zh-CN"/>
              </w:rPr>
              <w:t>2025年9</w:t>
            </w:r>
            <w:r>
              <w:rPr>
                <w:rFonts w:hint="eastAsia" w:ascii="Times New Roman" w:hAnsi="Times New Roman" w:eastAsia="宋体"/>
                <w:color w:val="0000FF"/>
                <w:lang w:val="en-US" w:eastAsia="zh-CN"/>
              </w:rPr>
              <w:t>月，建设单位拟在原宠物诊所的基础上增加动物诊疗的经营范围，增加后，主要从事动物诊疗、宠物饲养、宠物美容、宠物食品及用品零售等业务，接诊动物以猫类和犬类为主，年接待诊治的宠物300例，年接待洗澡美容的动物900只。增加经营范围涉及的设备设施待取得批复后进行安装建设，故本项目不属于未批先建项目。</w:t>
            </w:r>
          </w:p>
          <w:p w14:paraId="0E9346CB">
            <w:pPr>
              <w:pStyle w:val="3"/>
              <w:tabs>
                <w:tab w:val="left" w:pos="6720"/>
                <w:tab w:val="left" w:pos="7200"/>
              </w:tabs>
              <w:ind w:firstLine="480"/>
              <w:jc w:val="both"/>
              <w:rPr>
                <w:rFonts w:hint="eastAsia" w:ascii="Times New Roman" w:hAnsi="Times New Roman" w:eastAsia="宋体"/>
                <w:color w:val="0000FF"/>
                <w:lang w:val="en-US" w:eastAsia="zh-CN"/>
              </w:rPr>
            </w:pPr>
            <w:r>
              <w:rPr>
                <w:rFonts w:hint="eastAsia" w:ascii="Times New Roman" w:hAnsi="Times New Roman" w:eastAsia="宋体"/>
                <w:color w:val="0000FF"/>
                <w:lang w:val="en-US" w:eastAsia="zh-CN"/>
              </w:rPr>
              <w:t>本项目区设有手术室、化验室、猫住院部、狗住院部、区光室等，其中区光室需要另外进行环境影响评价(辐射类)不在本次评价范围内。</w:t>
            </w:r>
          </w:p>
          <w:p w14:paraId="481287B5">
            <w:pPr>
              <w:pStyle w:val="6"/>
              <w:numPr>
                <w:ilvl w:val="0"/>
                <w:numId w:val="0"/>
              </w:numPr>
              <w:ind w:leftChars="0"/>
              <w:jc w:val="both"/>
              <w:outlineLvl w:val="2"/>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 项目基本情况</w:t>
            </w:r>
          </w:p>
          <w:p w14:paraId="4910A8CF">
            <w:pPr>
              <w:pStyle w:val="6"/>
              <w:numPr>
                <w:ilvl w:val="0"/>
                <w:numId w:val="0"/>
              </w:numPr>
              <w:ind w:leftChars="0"/>
              <w:jc w:val="both"/>
              <w:outlineLvl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2.1</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建设地点</w:t>
            </w:r>
          </w:p>
          <w:p w14:paraId="07AC57DF">
            <w:pPr>
              <w:pStyle w:val="3"/>
              <w:tabs>
                <w:tab w:val="left" w:pos="6720"/>
                <w:tab w:val="left" w:pos="7200"/>
              </w:tabs>
              <w:ind w:firstLine="48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建设地点位于</w:t>
            </w:r>
            <w:r>
              <w:rPr>
                <w:rFonts w:hint="default" w:ascii="Times New Roman" w:hAnsi="Times New Roman" w:eastAsia="宋体"/>
                <w:color w:val="000000" w:themeColor="text1"/>
                <w:lang w:val="en-US" w:eastAsia="zh-CN"/>
                <w14:textFill>
                  <w14:solidFill>
                    <w14:schemeClr w14:val="tx1"/>
                  </w14:solidFill>
                </w14:textFill>
              </w:rPr>
              <w:t>新疆维吾尔自治区昌吉</w:t>
            </w:r>
            <w:r>
              <w:rPr>
                <w:rFonts w:hint="eastAsia" w:ascii="Times New Roman" w:hAnsi="Times New Roman" w:eastAsia="宋体"/>
                <w:color w:val="000000" w:themeColor="text1"/>
                <w:lang w:val="en-US" w:eastAsia="zh-CN"/>
                <w14:textFill>
                  <w14:solidFill>
                    <w14:schemeClr w14:val="tx1"/>
                  </w14:solidFill>
                </w14:textFill>
              </w:rPr>
              <w:t>回族自治</w:t>
            </w:r>
            <w:r>
              <w:rPr>
                <w:rFonts w:hint="default" w:ascii="Times New Roman" w:hAnsi="Times New Roman" w:eastAsia="宋体"/>
                <w:color w:val="000000" w:themeColor="text1"/>
                <w:lang w:val="en-US" w:eastAsia="zh-CN"/>
                <w14:textFill>
                  <w14:solidFill>
                    <w14:schemeClr w14:val="tx1"/>
                  </w14:solidFill>
                </w14:textFill>
              </w:rPr>
              <w:t>州</w:t>
            </w:r>
            <w:r>
              <w:rPr>
                <w:rFonts w:hint="eastAsia" w:ascii="Times New Roman" w:hAnsi="Times New Roman" w:eastAsia="宋体"/>
                <w:color w:val="000000" w:themeColor="text1"/>
                <w:lang w:val="en-US" w:eastAsia="zh-CN"/>
                <w14:textFill>
                  <w14:solidFill>
                    <w14:schemeClr w14:val="tx1"/>
                  </w14:solidFill>
                </w14:textFill>
              </w:rPr>
              <w:t>奇台</w:t>
            </w:r>
            <w:r>
              <w:rPr>
                <w:rFonts w:hint="default" w:ascii="Times New Roman" w:hAnsi="Times New Roman" w:eastAsia="宋体"/>
                <w:color w:val="000000" w:themeColor="text1"/>
                <w:lang w:val="en-US" w:eastAsia="zh-CN"/>
                <w14:textFill>
                  <w14:solidFill>
                    <w14:schemeClr w14:val="tx1"/>
                  </w14:solidFill>
                </w14:textFill>
              </w:rPr>
              <w:t>县</w:t>
            </w:r>
            <w:r>
              <w:rPr>
                <w:rFonts w:hint="default" w:eastAsia="宋体"/>
                <w:b w:val="0"/>
                <w:bCs/>
                <w:color w:val="000000" w:themeColor="text1"/>
                <w:lang w:val="en-US" w:eastAsia="zh-CN"/>
                <w14:textFill>
                  <w14:solidFill>
                    <w14:schemeClr w14:val="tx1"/>
                  </w14:solidFill>
                </w14:textFill>
              </w:rPr>
              <w:t>团结路与</w:t>
            </w:r>
            <w:r>
              <w:rPr>
                <w:rFonts w:hint="eastAsia"/>
                <w:b w:val="0"/>
                <w:bCs/>
                <w:color w:val="000000" w:themeColor="text1"/>
                <w:lang w:val="en-US" w:eastAsia="zh-CN"/>
                <w14:textFill>
                  <w14:solidFill>
                    <w14:schemeClr w14:val="tx1"/>
                  </w14:solidFill>
                </w14:textFill>
              </w:rPr>
              <w:t>旱</w:t>
            </w:r>
            <w:r>
              <w:rPr>
                <w:rFonts w:hint="default" w:eastAsia="宋体"/>
                <w:b w:val="0"/>
                <w:bCs/>
                <w:color w:val="000000" w:themeColor="text1"/>
                <w:lang w:val="en-US" w:eastAsia="zh-CN"/>
                <w14:textFill>
                  <w14:solidFill>
                    <w14:schemeClr w14:val="tx1"/>
                  </w14:solidFill>
                </w14:textFill>
              </w:rPr>
              <w:t>码头中街交汇处圣水华庭1幢1层</w:t>
            </w:r>
            <w:r>
              <w:rPr>
                <w:rFonts w:hint="eastAsia" w:ascii="Times New Roman" w:hAnsi="Times New Roman" w:eastAsia="宋体"/>
                <w:b w:val="0"/>
                <w:bCs/>
                <w:color w:val="000000" w:themeColor="text1"/>
                <w:lang w:val="en-US" w:eastAsia="zh-CN"/>
                <w14:textFill>
                  <w14:solidFill>
                    <w14:schemeClr w14:val="tx1"/>
                  </w14:solidFill>
                </w14:textFill>
              </w:rPr>
              <w:t>4号、5号、</w:t>
            </w:r>
            <w:r>
              <w:rPr>
                <w:rFonts w:hint="default" w:ascii="Times New Roman" w:hAnsi="Times New Roman" w:eastAsia="宋体"/>
                <w:b w:val="0"/>
                <w:bCs/>
                <w:color w:val="000000" w:themeColor="text1"/>
                <w:lang w:val="en-US" w:eastAsia="zh-CN"/>
                <w14:textFill>
                  <w14:solidFill>
                    <w14:schemeClr w14:val="tx1"/>
                  </w14:solidFill>
                </w14:textFill>
              </w:rPr>
              <w:t>6号</w:t>
            </w:r>
            <w:r>
              <w:rPr>
                <w:rFonts w:hint="default" w:ascii="Times New Roman" w:hAnsi="Times New Roman" w:cs="Times New Roman"/>
                <w:color w:val="000000" w:themeColor="text1"/>
                <w:sz w:val="24"/>
                <w:szCs w:val="24"/>
                <w:lang w:val="en-US" w:eastAsia="zh-CN"/>
                <w14:textFill>
                  <w14:solidFill>
                    <w14:schemeClr w14:val="tx1"/>
                  </w14:solidFill>
                </w14:textFill>
              </w:rPr>
              <w:t>，中心地理坐标</w:t>
            </w:r>
            <w:r>
              <w:rPr>
                <w:rFonts w:hint="eastAsia"/>
                <w:b w:val="0"/>
                <w:bCs/>
                <w:color w:val="000000" w:themeColor="text1"/>
                <w:lang w:val="en-US" w:eastAsia="zh-CN"/>
                <w14:textFill>
                  <w14:solidFill>
                    <w14:schemeClr w14:val="tx1"/>
                  </w14:solidFill>
                </w14:textFill>
              </w:rPr>
              <w:t>东经</w:t>
            </w:r>
            <w:r>
              <w:rPr>
                <w:rFonts w:hint="eastAsia"/>
                <w:b w:val="0"/>
                <w:bCs/>
                <w:color w:val="000000" w:themeColor="text1"/>
                <w14:textFill>
                  <w14:solidFill>
                    <w14:schemeClr w14:val="tx1"/>
                  </w14:solidFill>
                </w14:textFill>
              </w:rPr>
              <w:t>8</w:t>
            </w:r>
            <w:r>
              <w:rPr>
                <w:rFonts w:hint="eastAsia"/>
                <w:b w:val="0"/>
                <w:bCs/>
                <w:color w:val="000000" w:themeColor="text1"/>
                <w:lang w:val="en-US" w:eastAsia="zh-CN"/>
                <w14:textFill>
                  <w14:solidFill>
                    <w14:schemeClr w14:val="tx1"/>
                  </w14:solidFill>
                </w14:textFill>
              </w:rPr>
              <w:t>9</w:t>
            </w:r>
            <w:r>
              <w:rPr>
                <w:b w:val="0"/>
                <w:bCs/>
                <w:color w:val="000000" w:themeColor="text1"/>
                <w14:textFill>
                  <w14:solidFill>
                    <w14:schemeClr w14:val="tx1"/>
                  </w14:solidFill>
                </w14:textFill>
              </w:rPr>
              <w:t>度</w:t>
            </w:r>
            <w:r>
              <w:rPr>
                <w:rFonts w:hint="eastAsia"/>
                <w:b w:val="0"/>
                <w:bCs/>
                <w:color w:val="000000" w:themeColor="text1"/>
                <w:lang w:val="en-US" w:eastAsia="zh-CN"/>
                <w14:textFill>
                  <w14:solidFill>
                    <w14:schemeClr w14:val="tx1"/>
                  </w14:solidFill>
                </w14:textFill>
              </w:rPr>
              <w:t>34</w:t>
            </w:r>
            <w:r>
              <w:rPr>
                <w:b w:val="0"/>
                <w:bCs/>
                <w:color w:val="000000" w:themeColor="text1"/>
                <w14:textFill>
                  <w14:solidFill>
                    <w14:schemeClr w14:val="tx1"/>
                  </w14:solidFill>
                </w14:textFill>
              </w:rPr>
              <w:t>分</w:t>
            </w:r>
            <w:r>
              <w:rPr>
                <w:rFonts w:hint="eastAsia"/>
                <w:b w:val="0"/>
                <w:bCs/>
                <w:color w:val="000000" w:themeColor="text1"/>
                <w:lang w:val="en-US" w:eastAsia="zh-CN"/>
                <w14:textFill>
                  <w14:solidFill>
                    <w14:schemeClr w14:val="tx1"/>
                  </w14:solidFill>
                </w14:textFill>
              </w:rPr>
              <w:t>42.590</w:t>
            </w:r>
            <w:r>
              <w:rPr>
                <w:b w:val="0"/>
                <w:bCs/>
                <w:color w:val="000000" w:themeColor="text1"/>
                <w14:textFill>
                  <w14:solidFill>
                    <w14:schemeClr w14:val="tx1"/>
                  </w14:solidFill>
                </w14:textFill>
              </w:rPr>
              <w:t>秒，</w:t>
            </w:r>
            <w:r>
              <w:rPr>
                <w:rFonts w:hint="eastAsia"/>
                <w:b w:val="0"/>
                <w:bCs/>
                <w:color w:val="000000" w:themeColor="text1"/>
                <w:lang w:val="en-US" w:eastAsia="zh-CN"/>
                <w14:textFill>
                  <w14:solidFill>
                    <w14:schemeClr w14:val="tx1"/>
                  </w14:solidFill>
                </w14:textFill>
              </w:rPr>
              <w:t>北纬</w:t>
            </w:r>
            <w:r>
              <w:rPr>
                <w:rFonts w:hint="eastAsia"/>
                <w:b w:val="0"/>
                <w:bCs/>
                <w:color w:val="000000" w:themeColor="text1"/>
                <w14:textFill>
                  <w14:solidFill>
                    <w14:schemeClr w14:val="tx1"/>
                  </w14:solidFill>
                </w14:textFill>
              </w:rPr>
              <w:t>4</w:t>
            </w:r>
            <w:r>
              <w:rPr>
                <w:rFonts w:hint="eastAsia"/>
                <w:b w:val="0"/>
                <w:bCs/>
                <w:color w:val="000000" w:themeColor="text1"/>
                <w:lang w:val="en-US" w:eastAsia="zh-CN"/>
                <w14:textFill>
                  <w14:solidFill>
                    <w14:schemeClr w14:val="tx1"/>
                  </w14:solidFill>
                </w14:textFill>
              </w:rPr>
              <w:t>4</w:t>
            </w:r>
            <w:r>
              <w:rPr>
                <w:b w:val="0"/>
                <w:bCs/>
                <w:color w:val="000000" w:themeColor="text1"/>
                <w14:textFill>
                  <w14:solidFill>
                    <w14:schemeClr w14:val="tx1"/>
                  </w14:solidFill>
                </w14:textFill>
              </w:rPr>
              <w:t>度</w:t>
            </w:r>
            <w:r>
              <w:rPr>
                <w:rFonts w:hint="eastAsia"/>
                <w:b w:val="0"/>
                <w:bCs/>
                <w:color w:val="000000" w:themeColor="text1"/>
                <w:lang w:val="en-US" w:eastAsia="zh-CN"/>
                <w14:textFill>
                  <w14:solidFill>
                    <w14:schemeClr w14:val="tx1"/>
                  </w14:solidFill>
                </w14:textFill>
              </w:rPr>
              <w:t>00</w:t>
            </w:r>
            <w:r>
              <w:rPr>
                <w:b w:val="0"/>
                <w:bCs/>
                <w:color w:val="000000" w:themeColor="text1"/>
                <w14:textFill>
                  <w14:solidFill>
                    <w14:schemeClr w14:val="tx1"/>
                  </w14:solidFill>
                </w14:textFill>
              </w:rPr>
              <w:t>分</w:t>
            </w:r>
            <w:r>
              <w:rPr>
                <w:rFonts w:hint="eastAsia"/>
                <w:b w:val="0"/>
                <w:bCs/>
                <w:color w:val="000000" w:themeColor="text1"/>
                <w:lang w:val="en-US" w:eastAsia="zh-CN"/>
                <w14:textFill>
                  <w14:solidFill>
                    <w14:schemeClr w14:val="tx1"/>
                  </w14:solidFill>
                </w14:textFill>
              </w:rPr>
              <w:t>33.103</w:t>
            </w:r>
            <w:r>
              <w:rPr>
                <w:b w:val="0"/>
                <w:bCs/>
                <w:color w:val="000000" w:themeColor="text1"/>
                <w14:textFill>
                  <w14:solidFill>
                    <w14:schemeClr w14:val="tx1"/>
                  </w14:solidFill>
                </w14:textFill>
              </w:rPr>
              <w:t>秒</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本项目</w:t>
            </w:r>
            <w:r>
              <w:rPr>
                <w:rFonts w:hint="eastAsia" w:cs="Times New Roman"/>
                <w:color w:val="000000" w:themeColor="text1"/>
                <w:kern w:val="0"/>
                <w:lang w:val="en-US" w:eastAsia="zh-CN" w:bidi="ar"/>
                <w14:textFill>
                  <w14:solidFill>
                    <w14:schemeClr w14:val="tx1"/>
                  </w14:solidFill>
                </w14:textFill>
              </w:rPr>
              <w:t>东西两侧均为商铺，北侧70m为古城明珠小区居民楼，南侧5m为圣水华庭小区居民楼。</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地理位置图见</w:t>
            </w:r>
            <w:r>
              <w:rPr>
                <w:rFonts w:hint="default" w:ascii="Times New Roman" w:hAnsi="Times New Roman" w:cs="Times New Roman"/>
                <w:b/>
                <w:bCs/>
                <w:color w:val="000000" w:themeColor="text1"/>
                <w:sz w:val="24"/>
                <w:szCs w:val="24"/>
                <w:lang w:val="en-US" w:eastAsia="zh-CN"/>
                <w14:textFill>
                  <w14:solidFill>
                    <w14:schemeClr w14:val="tx1"/>
                  </w14:solidFill>
                </w14:textFill>
              </w:rPr>
              <w:t>附图2</w:t>
            </w:r>
            <w:r>
              <w:rPr>
                <w:rFonts w:hint="default" w:ascii="Times New Roman" w:hAnsi="Times New Roman" w:cs="Times New Roman"/>
                <w:color w:val="000000" w:themeColor="text1"/>
                <w:sz w:val="24"/>
                <w:szCs w:val="24"/>
                <w:lang w:val="en-US" w:eastAsia="zh-CN"/>
                <w14:textFill>
                  <w14:solidFill>
                    <w14:schemeClr w14:val="tx1"/>
                  </w14:solidFill>
                </w14:textFill>
              </w:rPr>
              <w:t>，周边关系图见</w:t>
            </w:r>
            <w:r>
              <w:rPr>
                <w:rFonts w:hint="default" w:ascii="Times New Roman" w:hAnsi="Times New Roman" w:cs="Times New Roman"/>
                <w:b/>
                <w:bCs/>
                <w:color w:val="000000" w:themeColor="text1"/>
                <w:sz w:val="24"/>
                <w:szCs w:val="24"/>
                <w:lang w:val="en-US" w:eastAsia="zh-CN"/>
                <w14:textFill>
                  <w14:solidFill>
                    <w14:schemeClr w14:val="tx1"/>
                  </w14:solidFill>
                </w14:textFill>
              </w:rPr>
              <w:t>附图3</w:t>
            </w:r>
            <w:r>
              <w:rPr>
                <w:rFonts w:hint="default" w:ascii="Times New Roman" w:hAnsi="Times New Roman" w:cs="Times New Roman"/>
                <w:color w:val="000000" w:themeColor="text1"/>
                <w:sz w:val="24"/>
                <w:szCs w:val="24"/>
                <w:lang w:val="en-US" w:eastAsia="zh-CN"/>
                <w14:textFill>
                  <w14:solidFill>
                    <w14:schemeClr w14:val="tx1"/>
                  </w14:solidFill>
                </w14:textFill>
              </w:rPr>
              <w:t>。</w:t>
            </w:r>
          </w:p>
          <w:p w14:paraId="5A296A6A">
            <w:pPr>
              <w:pStyle w:val="6"/>
              <w:jc w:val="both"/>
              <w:outlineLvl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 xml:space="preserve"> 项目建设内容</w:t>
            </w:r>
          </w:p>
          <w:p w14:paraId="2798E977">
            <w:pPr>
              <w:pStyle w:val="3"/>
              <w:ind w:firstLine="48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本项目</w:t>
            </w:r>
            <w:r>
              <w:rPr>
                <w:rFonts w:hint="eastAsia" w:cs="Times New Roman"/>
                <w:b w:val="0"/>
                <w:bCs/>
                <w:color w:val="000000" w:themeColor="text1"/>
                <w:lang w:val="en-US" w:eastAsia="zh-CN"/>
                <w14:textFill>
                  <w14:solidFill>
                    <w14:schemeClr w14:val="tx1"/>
                  </w14:solidFill>
                </w14:textFill>
              </w:rPr>
              <w:t>租赁</w:t>
            </w:r>
            <w:r>
              <w:rPr>
                <w:rFonts w:hint="default" w:ascii="Times New Roman" w:hAnsi="Times New Roman" w:eastAsia="宋体"/>
                <w:color w:val="000000" w:themeColor="text1"/>
                <w:lang w:val="en-US" w:eastAsia="zh-CN"/>
                <w14:textFill>
                  <w14:solidFill>
                    <w14:schemeClr w14:val="tx1"/>
                  </w14:solidFill>
                </w14:textFill>
              </w:rPr>
              <w:t>新疆维吾尔自治区昌吉</w:t>
            </w:r>
            <w:r>
              <w:rPr>
                <w:rFonts w:hint="eastAsia" w:ascii="Times New Roman" w:hAnsi="Times New Roman" w:eastAsia="宋体"/>
                <w:color w:val="000000" w:themeColor="text1"/>
                <w:lang w:val="en-US" w:eastAsia="zh-CN"/>
                <w14:textFill>
                  <w14:solidFill>
                    <w14:schemeClr w14:val="tx1"/>
                  </w14:solidFill>
                </w14:textFill>
              </w:rPr>
              <w:t>回族自治</w:t>
            </w:r>
            <w:r>
              <w:rPr>
                <w:rFonts w:hint="default" w:ascii="Times New Roman" w:hAnsi="Times New Roman" w:eastAsia="宋体"/>
                <w:color w:val="000000" w:themeColor="text1"/>
                <w:lang w:val="en-US" w:eastAsia="zh-CN"/>
                <w14:textFill>
                  <w14:solidFill>
                    <w14:schemeClr w14:val="tx1"/>
                  </w14:solidFill>
                </w14:textFill>
              </w:rPr>
              <w:t>州</w:t>
            </w:r>
            <w:r>
              <w:rPr>
                <w:rFonts w:hint="eastAsia" w:ascii="Times New Roman" w:hAnsi="Times New Roman" w:eastAsia="宋体"/>
                <w:color w:val="000000" w:themeColor="text1"/>
                <w:lang w:val="en-US" w:eastAsia="zh-CN"/>
                <w14:textFill>
                  <w14:solidFill>
                    <w14:schemeClr w14:val="tx1"/>
                  </w14:solidFill>
                </w14:textFill>
              </w:rPr>
              <w:t>奇台</w:t>
            </w:r>
            <w:r>
              <w:rPr>
                <w:rFonts w:hint="default" w:ascii="Times New Roman" w:hAnsi="Times New Roman" w:eastAsia="宋体"/>
                <w:color w:val="000000" w:themeColor="text1"/>
                <w:lang w:val="en-US" w:eastAsia="zh-CN"/>
                <w14:textFill>
                  <w14:solidFill>
                    <w14:schemeClr w14:val="tx1"/>
                  </w14:solidFill>
                </w14:textFill>
              </w:rPr>
              <w:t>县</w:t>
            </w:r>
            <w:r>
              <w:rPr>
                <w:rFonts w:hint="default" w:eastAsia="宋体"/>
                <w:b w:val="0"/>
                <w:bCs/>
                <w:color w:val="000000" w:themeColor="text1"/>
                <w:lang w:val="en-US" w:eastAsia="zh-CN"/>
                <w14:textFill>
                  <w14:solidFill>
                    <w14:schemeClr w14:val="tx1"/>
                  </w14:solidFill>
                </w14:textFill>
              </w:rPr>
              <w:t>团结路与</w:t>
            </w:r>
            <w:r>
              <w:rPr>
                <w:rFonts w:hint="eastAsia"/>
                <w:b w:val="0"/>
                <w:bCs/>
                <w:color w:val="000000" w:themeColor="text1"/>
                <w:lang w:val="en-US" w:eastAsia="zh-CN"/>
                <w14:textFill>
                  <w14:solidFill>
                    <w14:schemeClr w14:val="tx1"/>
                  </w14:solidFill>
                </w14:textFill>
              </w:rPr>
              <w:t>旱</w:t>
            </w:r>
            <w:r>
              <w:rPr>
                <w:rFonts w:hint="default" w:eastAsia="宋体"/>
                <w:b w:val="0"/>
                <w:bCs/>
                <w:color w:val="000000" w:themeColor="text1"/>
                <w:lang w:val="en-US" w:eastAsia="zh-CN"/>
                <w14:textFill>
                  <w14:solidFill>
                    <w14:schemeClr w14:val="tx1"/>
                  </w14:solidFill>
                </w14:textFill>
              </w:rPr>
              <w:t>码头中街交汇处圣水华庭</w:t>
            </w:r>
            <w:r>
              <w:rPr>
                <w:rFonts w:hint="eastAsia" w:cs="Times New Roman"/>
                <w:color w:val="000000" w:themeColor="text1"/>
                <w:lang w:val="en-US" w:eastAsia="zh-CN"/>
                <w14:textFill>
                  <w14:solidFill>
                    <w14:schemeClr w14:val="tx1"/>
                  </w14:solidFill>
                </w14:textFill>
              </w:rPr>
              <w:t>商业用地作为本项目的建设用地</w:t>
            </w:r>
            <w:r>
              <w:rPr>
                <w:rFonts w:hint="default" w:ascii="Times New Roman" w:hAnsi="Times New Roman" w:cs="Times New Roman"/>
                <w:color w:val="000000" w:themeColor="text1"/>
                <w:lang w:val="en-US" w:eastAsia="zh-CN"/>
                <w14:textFill>
                  <w14:solidFill>
                    <w14:schemeClr w14:val="tx1"/>
                  </w14:solidFill>
                </w14:textFill>
              </w:rPr>
              <w:t>，主要为宠物提供</w:t>
            </w:r>
            <w:r>
              <w:rPr>
                <w:rFonts w:hint="eastAsia" w:cs="Times New Roman"/>
                <w:color w:val="000000" w:themeColor="text1"/>
                <w:lang w:val="en-US" w:eastAsia="zh-CN"/>
                <w14:textFill>
                  <w14:solidFill>
                    <w14:schemeClr w14:val="tx1"/>
                  </w14:solidFill>
                </w14:textFill>
              </w:rPr>
              <w:t>医疗</w:t>
            </w:r>
            <w:r>
              <w:rPr>
                <w:rFonts w:hint="default" w:ascii="Times New Roman" w:hAnsi="Times New Roman" w:cs="Times New Roman"/>
                <w:color w:val="000000" w:themeColor="text1"/>
                <w:lang w:val="en-US" w:eastAsia="zh-CN"/>
                <w14:textFill>
                  <w14:solidFill>
                    <w14:schemeClr w14:val="tx1"/>
                  </w14:solidFill>
                </w14:textFill>
              </w:rPr>
              <w:t>、治疗及绝育（腹腔）手术、美容</w:t>
            </w:r>
            <w:r>
              <w:rPr>
                <w:rFonts w:hint="eastAsia" w:cs="Times New Roman"/>
                <w:color w:val="000000" w:themeColor="text1"/>
                <w:lang w:val="en-US" w:eastAsia="zh-CN"/>
                <w14:textFill>
                  <w14:solidFill>
                    <w14:schemeClr w14:val="tx1"/>
                  </w14:solidFill>
                </w14:textFill>
              </w:rPr>
              <w:t>及宠物售卖服务</w:t>
            </w:r>
            <w:r>
              <w:rPr>
                <w:rFonts w:hint="default" w:ascii="Times New Roman" w:hAnsi="Times New Roman" w:cs="Times New Roman"/>
                <w:color w:val="000000" w:themeColor="text1"/>
                <w:lang w:val="en-US" w:eastAsia="zh-CN"/>
                <w14:textFill>
                  <w14:solidFill>
                    <w14:schemeClr w14:val="tx1"/>
                  </w14:solidFill>
                </w14:textFill>
              </w:rPr>
              <w:t>等</w:t>
            </w:r>
            <w:r>
              <w:rPr>
                <w:rFonts w:hint="eastAsia" w:ascii="Times New Roman" w:hAnsi="Times New Roman" w:cs="Times New Roman"/>
                <w:color w:val="000000" w:themeColor="text1"/>
                <w:lang w:val="en-US" w:eastAsia="zh-CN"/>
                <w14:textFill>
                  <w14:solidFill>
                    <w14:schemeClr w14:val="tx1"/>
                  </w14:solidFill>
                </w14:textFill>
              </w:rPr>
              <w:t>，年接待诊治的宠物300例（含手术85台）、年接待洗澡</w:t>
            </w:r>
            <w:r>
              <w:rPr>
                <w:rFonts w:hint="eastAsia" w:cs="Times New Roman"/>
                <w:color w:val="000000" w:themeColor="text1"/>
                <w:lang w:val="en-US" w:eastAsia="zh-CN"/>
                <w14:textFill>
                  <w14:solidFill>
                    <w14:schemeClr w14:val="tx1"/>
                  </w14:solidFill>
                </w14:textFill>
              </w:rPr>
              <w:t>美容</w:t>
            </w:r>
            <w:r>
              <w:rPr>
                <w:rFonts w:hint="eastAsia" w:ascii="Times New Roman" w:hAnsi="Times New Roman" w:cs="Times New Roman"/>
                <w:color w:val="000000" w:themeColor="text1"/>
                <w:lang w:val="en-US" w:eastAsia="zh-CN"/>
                <w14:textFill>
                  <w14:solidFill>
                    <w14:schemeClr w14:val="tx1"/>
                  </w14:solidFill>
                </w14:textFill>
              </w:rPr>
              <w:t>的动物</w:t>
            </w:r>
            <w:r>
              <w:rPr>
                <w:rFonts w:hint="eastAsia" w:cs="Times New Roman"/>
                <w:color w:val="000000" w:themeColor="text1"/>
                <w:lang w:val="en-US" w:eastAsia="zh-CN"/>
                <w14:textFill>
                  <w14:solidFill>
                    <w14:schemeClr w14:val="tx1"/>
                  </w14:solidFill>
                </w14:textFill>
              </w:rPr>
              <w:t>9</w:t>
            </w:r>
            <w:r>
              <w:rPr>
                <w:rFonts w:hint="eastAsia" w:ascii="Times New Roman" w:hAnsi="Times New Roman" w:cs="Times New Roman"/>
                <w:color w:val="000000" w:themeColor="text1"/>
                <w:lang w:val="en-US" w:eastAsia="zh-CN"/>
                <w14:textFill>
                  <w14:solidFill>
                    <w14:schemeClr w14:val="tx1"/>
                  </w14:solidFill>
                </w14:textFill>
              </w:rPr>
              <w:t>00只，</w:t>
            </w:r>
            <w:r>
              <w:rPr>
                <w:rFonts w:hint="default" w:ascii="Times New Roman" w:hAnsi="Times New Roman" w:cs="Times New Roman"/>
                <w:color w:val="000000" w:themeColor="text1"/>
                <w:lang w:val="en-US" w:eastAsia="zh-CN"/>
                <w14:textFill>
                  <w14:solidFill>
                    <w14:schemeClr w14:val="tx1"/>
                  </w14:solidFill>
                </w14:textFill>
              </w:rPr>
              <w:t>本项目主要建设内容见表2-2。</w:t>
            </w:r>
          </w:p>
          <w:p w14:paraId="18002D03">
            <w:pPr>
              <w:pStyle w:val="3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表2-</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 xml:space="preserve">   项目建设内容一览表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751"/>
              <w:gridCol w:w="3531"/>
              <w:gridCol w:w="1322"/>
            </w:tblGrid>
            <w:tr w14:paraId="554B7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92" w:type="pct"/>
                  <w:tcBorders>
                    <w:bottom w:val="single" w:color="auto" w:sz="12" w:space="0"/>
                  </w:tcBorders>
                  <w:noWrap w:val="0"/>
                  <w:vAlign w:val="center"/>
                </w:tcPr>
                <w:p w14:paraId="53C99920">
                  <w:pPr>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cs="Times New Roman"/>
                      <w:b/>
                      <w:bCs w:val="0"/>
                      <w:color w:val="000000" w:themeColor="text1"/>
                      <w:sz w:val="21"/>
                      <w:szCs w:val="21"/>
                      <w:lang w:eastAsia="zh-CN"/>
                      <w14:textFill>
                        <w14:solidFill>
                          <w14:schemeClr w14:val="tx1"/>
                        </w14:solidFill>
                      </w14:textFill>
                    </w:rPr>
                    <w:t>工程类型</w:t>
                  </w:r>
                </w:p>
              </w:tc>
              <w:tc>
                <w:tcPr>
                  <w:tcW w:w="1115" w:type="pct"/>
                  <w:tcBorders>
                    <w:bottom w:val="single" w:color="auto" w:sz="12" w:space="0"/>
                  </w:tcBorders>
                  <w:noWrap w:val="0"/>
                  <w:vAlign w:val="center"/>
                </w:tcPr>
                <w:p w14:paraId="76BE7AAF">
                  <w:pPr>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建设名称</w:t>
                  </w:r>
                </w:p>
              </w:tc>
              <w:tc>
                <w:tcPr>
                  <w:tcW w:w="2249" w:type="pct"/>
                  <w:tcBorders>
                    <w:bottom w:val="single" w:color="auto" w:sz="12" w:space="0"/>
                  </w:tcBorders>
                  <w:noWrap w:val="0"/>
                  <w:vAlign w:val="center"/>
                </w:tcPr>
                <w:p w14:paraId="5CCD72F1">
                  <w:pPr>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规模及用途</w:t>
                  </w:r>
                </w:p>
              </w:tc>
              <w:tc>
                <w:tcPr>
                  <w:tcW w:w="842" w:type="pct"/>
                  <w:tcBorders>
                    <w:bottom w:val="single" w:color="auto" w:sz="12" w:space="0"/>
                  </w:tcBorders>
                  <w:noWrap w:val="0"/>
                  <w:vAlign w:val="center"/>
                </w:tcPr>
                <w:p w14:paraId="6E690FD9">
                  <w:pPr>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备注</w:t>
                  </w:r>
                </w:p>
              </w:tc>
            </w:tr>
            <w:tr w14:paraId="4F2E6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2" w:type="pct"/>
                  <w:vMerge w:val="restart"/>
                  <w:tcBorders>
                    <w:top w:val="single" w:color="auto" w:sz="12" w:space="0"/>
                    <w:tl2br w:val="nil"/>
                    <w:tr2bl w:val="nil"/>
                  </w:tcBorders>
                  <w:noWrap w:val="0"/>
                  <w:vAlign w:val="center"/>
                </w:tcPr>
                <w:p w14:paraId="68B597C0">
                  <w:pPr>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主体工程</w:t>
                  </w:r>
                </w:p>
              </w:tc>
              <w:tc>
                <w:tcPr>
                  <w:tcW w:w="1115" w:type="pct"/>
                  <w:tcBorders>
                    <w:top w:val="single" w:color="auto" w:sz="12" w:space="0"/>
                    <w:bottom w:val="single" w:color="auto" w:sz="4" w:space="0"/>
                    <w:tl2br w:val="nil"/>
                    <w:tr2bl w:val="nil"/>
                  </w:tcBorders>
                  <w:noWrap w:val="0"/>
                  <w:vAlign w:val="center"/>
                </w:tcPr>
                <w:p w14:paraId="3E705DC1">
                  <w:pPr>
                    <w:pStyle w:val="63"/>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接待大厅</w:t>
                  </w:r>
                </w:p>
              </w:tc>
              <w:tc>
                <w:tcPr>
                  <w:tcW w:w="2249" w:type="pct"/>
                  <w:tcBorders>
                    <w:top w:val="single" w:color="auto" w:sz="12" w:space="0"/>
                    <w:bottom w:val="single" w:color="auto" w:sz="4" w:space="0"/>
                    <w:tl2br w:val="nil"/>
                    <w:tr2bl w:val="nil"/>
                  </w:tcBorders>
                  <w:noWrap w:val="0"/>
                  <w:vAlign w:val="center"/>
                </w:tcPr>
                <w:p w14:paraId="33696094">
                  <w:pPr>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b w:val="0"/>
                      <w:bCs/>
                      <w:sz w:val="21"/>
                      <w:szCs w:val="21"/>
                      <w:lang w:val="en-US" w:eastAsia="zh-CN"/>
                    </w:rPr>
                    <w:t>位于项目区一层南侧，设有前台、休闲区、货架，建筑面积22.5m²，主要用于接待顾客、顾客休息、等待就诊、销售动物用品与结账付款</w:t>
                  </w:r>
                </w:p>
              </w:tc>
              <w:tc>
                <w:tcPr>
                  <w:tcW w:w="842" w:type="pct"/>
                  <w:tcBorders>
                    <w:top w:val="single" w:color="auto" w:sz="12" w:space="0"/>
                    <w:bottom w:val="single" w:color="auto" w:sz="4" w:space="0"/>
                    <w:tl2br w:val="nil"/>
                    <w:tr2bl w:val="nil"/>
                  </w:tcBorders>
                  <w:noWrap w:val="0"/>
                  <w:vAlign w:val="center"/>
                </w:tcPr>
                <w:p w14:paraId="28397FDE">
                  <w:pPr>
                    <w:pStyle w:val="63"/>
                    <w:spacing w:line="240" w:lineRule="auto"/>
                    <w:ind w:firstLine="0" w:firstLineChars="0"/>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1C5CC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2" w:type="pct"/>
                  <w:vMerge w:val="continue"/>
                  <w:tcBorders>
                    <w:tl2br w:val="nil"/>
                    <w:tr2bl w:val="nil"/>
                  </w:tcBorders>
                  <w:noWrap w:val="0"/>
                  <w:vAlign w:val="center"/>
                </w:tcPr>
                <w:p w14:paraId="58B890D3">
                  <w:pPr>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op w:val="single" w:color="auto" w:sz="4" w:space="0"/>
                    <w:bottom w:val="single" w:color="auto" w:sz="4" w:space="0"/>
                    <w:tl2br w:val="nil"/>
                    <w:tr2bl w:val="nil"/>
                  </w:tcBorders>
                  <w:noWrap w:val="0"/>
                  <w:vAlign w:val="center"/>
                </w:tcPr>
                <w:p w14:paraId="57B98416">
                  <w:pPr>
                    <w:pStyle w:val="63"/>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美容室</w:t>
                  </w:r>
                </w:p>
              </w:tc>
              <w:tc>
                <w:tcPr>
                  <w:tcW w:w="2249" w:type="pct"/>
                  <w:tcBorders>
                    <w:top w:val="single" w:color="auto" w:sz="4" w:space="0"/>
                    <w:bottom w:val="single" w:color="auto" w:sz="4" w:space="0"/>
                    <w:tl2br w:val="nil"/>
                    <w:tr2bl w:val="nil"/>
                  </w:tcBorders>
                  <w:noWrap w:val="0"/>
                  <w:vAlign w:val="center"/>
                </w:tcPr>
                <w:p w14:paraId="6688EABC">
                  <w:pPr>
                    <w:jc w:val="center"/>
                    <w:rPr>
                      <w:rFonts w:hint="eastAsia"/>
                      <w:b w:val="0"/>
                      <w:bCs/>
                      <w:sz w:val="21"/>
                      <w:szCs w:val="21"/>
                      <w:lang w:val="en-US" w:eastAsia="zh-CN"/>
                    </w:rPr>
                  </w:pPr>
                  <w:r>
                    <w:rPr>
                      <w:rFonts w:hint="eastAsia"/>
                      <w:b w:val="0"/>
                      <w:bCs/>
                      <w:sz w:val="21"/>
                      <w:szCs w:val="21"/>
                      <w:lang w:val="en-US" w:eastAsia="zh-CN"/>
                    </w:rPr>
                    <w:t>位于项目区东南侧，建筑面积为6.5m²，主要用于宠物洗澡、修剪指甲、毛发，吹毛，掏耳朵等</w:t>
                  </w:r>
                </w:p>
              </w:tc>
              <w:tc>
                <w:tcPr>
                  <w:tcW w:w="842" w:type="pct"/>
                  <w:tcBorders>
                    <w:top w:val="single" w:color="auto" w:sz="4" w:space="0"/>
                    <w:bottom w:val="single" w:color="auto" w:sz="4" w:space="0"/>
                    <w:tl2br w:val="nil"/>
                    <w:tr2bl w:val="nil"/>
                  </w:tcBorders>
                  <w:noWrap w:val="0"/>
                  <w:vAlign w:val="center"/>
                </w:tcPr>
                <w:p w14:paraId="4B8F0F14">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5205F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2" w:type="pct"/>
                  <w:vMerge w:val="continue"/>
                  <w:tcBorders>
                    <w:tl2br w:val="nil"/>
                    <w:tr2bl w:val="nil"/>
                  </w:tcBorders>
                  <w:noWrap w:val="0"/>
                  <w:vAlign w:val="center"/>
                </w:tcPr>
                <w:p w14:paraId="1D58FB8B">
                  <w:pPr>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op w:val="single" w:color="auto" w:sz="4" w:space="0"/>
                    <w:bottom w:val="single" w:color="auto" w:sz="4" w:space="0"/>
                    <w:tl2br w:val="nil"/>
                    <w:tr2bl w:val="nil"/>
                  </w:tcBorders>
                  <w:noWrap w:val="0"/>
                  <w:vAlign w:val="center"/>
                </w:tcPr>
                <w:p w14:paraId="67C78A43">
                  <w:pPr>
                    <w:pStyle w:val="63"/>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免疫室</w:t>
                  </w:r>
                </w:p>
              </w:tc>
              <w:tc>
                <w:tcPr>
                  <w:tcW w:w="2249" w:type="pct"/>
                  <w:tcBorders>
                    <w:top w:val="single" w:color="auto" w:sz="4" w:space="0"/>
                    <w:bottom w:val="single" w:color="auto" w:sz="4" w:space="0"/>
                    <w:tl2br w:val="nil"/>
                    <w:tr2bl w:val="nil"/>
                  </w:tcBorders>
                  <w:noWrap w:val="0"/>
                  <w:vAlign w:val="center"/>
                </w:tcPr>
                <w:p w14:paraId="346BB206">
                  <w:pPr>
                    <w:jc w:val="center"/>
                    <w:rPr>
                      <w:rFonts w:hint="eastAsia"/>
                      <w:b w:val="0"/>
                      <w:bCs/>
                      <w:sz w:val="21"/>
                      <w:szCs w:val="21"/>
                      <w:lang w:val="en-US" w:eastAsia="zh-CN"/>
                    </w:rPr>
                  </w:pPr>
                  <w:r>
                    <w:rPr>
                      <w:rFonts w:hint="eastAsia"/>
                      <w:b w:val="0"/>
                      <w:bCs/>
                      <w:sz w:val="21"/>
                      <w:szCs w:val="21"/>
                      <w:lang w:val="en-US" w:eastAsia="zh-CN"/>
                    </w:rPr>
                    <w:t>位于项目区一层关容室北侧，建筑面积10m²，主要用于宠物打疫苗、输液等</w:t>
                  </w:r>
                </w:p>
              </w:tc>
              <w:tc>
                <w:tcPr>
                  <w:tcW w:w="842" w:type="pct"/>
                  <w:tcBorders>
                    <w:top w:val="single" w:color="auto" w:sz="4" w:space="0"/>
                    <w:bottom w:val="single" w:color="auto" w:sz="4" w:space="0"/>
                    <w:tl2br w:val="nil"/>
                    <w:tr2bl w:val="nil"/>
                  </w:tcBorders>
                  <w:noWrap w:val="0"/>
                  <w:vAlign w:val="center"/>
                </w:tcPr>
                <w:p w14:paraId="6FE6817D">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23844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2" w:type="pct"/>
                  <w:vMerge w:val="continue"/>
                  <w:tcBorders>
                    <w:tl2br w:val="nil"/>
                    <w:tr2bl w:val="nil"/>
                  </w:tcBorders>
                  <w:noWrap w:val="0"/>
                  <w:vAlign w:val="center"/>
                </w:tcPr>
                <w:p w14:paraId="0BA59D99">
                  <w:pPr>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op w:val="single" w:color="auto" w:sz="4" w:space="0"/>
                    <w:bottom w:val="single" w:color="auto" w:sz="4" w:space="0"/>
                    <w:tl2br w:val="nil"/>
                    <w:tr2bl w:val="nil"/>
                  </w:tcBorders>
                  <w:noWrap w:val="0"/>
                  <w:vAlign w:val="center"/>
                </w:tcPr>
                <w:p w14:paraId="041D7C66">
                  <w:pPr>
                    <w:pStyle w:val="63"/>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处置台</w:t>
                  </w:r>
                </w:p>
              </w:tc>
              <w:tc>
                <w:tcPr>
                  <w:tcW w:w="2249" w:type="pct"/>
                  <w:tcBorders>
                    <w:top w:val="single" w:color="auto" w:sz="4" w:space="0"/>
                    <w:bottom w:val="single" w:color="auto" w:sz="4" w:space="0"/>
                    <w:tl2br w:val="nil"/>
                    <w:tr2bl w:val="nil"/>
                  </w:tcBorders>
                  <w:noWrap w:val="0"/>
                  <w:vAlign w:val="center"/>
                </w:tcPr>
                <w:p w14:paraId="6328CFC2">
                  <w:pPr>
                    <w:jc w:val="center"/>
                    <w:rPr>
                      <w:rFonts w:hint="eastAsia"/>
                      <w:b w:val="0"/>
                      <w:bCs/>
                      <w:sz w:val="21"/>
                      <w:szCs w:val="21"/>
                      <w:lang w:val="en-US" w:eastAsia="zh-CN"/>
                    </w:rPr>
                  </w:pPr>
                  <w:r>
                    <w:rPr>
                      <w:rFonts w:hint="eastAsia"/>
                      <w:b w:val="0"/>
                      <w:bCs/>
                      <w:sz w:val="21"/>
                      <w:szCs w:val="21"/>
                      <w:lang w:val="en-US" w:eastAsia="zh-CN"/>
                    </w:rPr>
                    <w:t>位于项目区一层西北侧，建筑面积12m²，主要用于宠物伤口换药包扎处置</w:t>
                  </w:r>
                </w:p>
              </w:tc>
              <w:tc>
                <w:tcPr>
                  <w:tcW w:w="842" w:type="pct"/>
                  <w:tcBorders>
                    <w:top w:val="single" w:color="auto" w:sz="4" w:space="0"/>
                    <w:bottom w:val="single" w:color="auto" w:sz="4" w:space="0"/>
                    <w:tl2br w:val="nil"/>
                    <w:tr2bl w:val="nil"/>
                  </w:tcBorders>
                  <w:noWrap w:val="0"/>
                  <w:vAlign w:val="center"/>
                </w:tcPr>
                <w:p w14:paraId="43968077">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28ADA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2" w:type="pct"/>
                  <w:vMerge w:val="continue"/>
                  <w:tcBorders>
                    <w:tl2br w:val="nil"/>
                    <w:tr2bl w:val="nil"/>
                  </w:tcBorders>
                  <w:noWrap w:val="0"/>
                  <w:vAlign w:val="center"/>
                </w:tcPr>
                <w:p w14:paraId="31A3C231">
                  <w:pPr>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op w:val="single" w:color="auto" w:sz="4" w:space="0"/>
                    <w:bottom w:val="single" w:color="auto" w:sz="4" w:space="0"/>
                    <w:tl2br w:val="nil"/>
                    <w:tr2bl w:val="nil"/>
                  </w:tcBorders>
                  <w:noWrap w:val="0"/>
                  <w:vAlign w:val="center"/>
                </w:tcPr>
                <w:p w14:paraId="167E985C">
                  <w:pPr>
                    <w:pStyle w:val="63"/>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犬住院部</w:t>
                  </w:r>
                </w:p>
              </w:tc>
              <w:tc>
                <w:tcPr>
                  <w:tcW w:w="2249" w:type="pct"/>
                  <w:tcBorders>
                    <w:top w:val="single" w:color="auto" w:sz="4" w:space="0"/>
                    <w:bottom w:val="single" w:color="auto" w:sz="4" w:space="0"/>
                    <w:tl2br w:val="nil"/>
                    <w:tr2bl w:val="nil"/>
                  </w:tcBorders>
                  <w:noWrap w:val="0"/>
                  <w:vAlign w:val="center"/>
                </w:tcPr>
                <w:p w14:paraId="4283DC57">
                  <w:pPr>
                    <w:jc w:val="center"/>
                    <w:rPr>
                      <w:rFonts w:hint="default"/>
                      <w:b w:val="0"/>
                      <w:bCs/>
                      <w:sz w:val="21"/>
                      <w:szCs w:val="21"/>
                      <w:lang w:val="en-US" w:eastAsia="zh-CN"/>
                    </w:rPr>
                  </w:pPr>
                  <w:r>
                    <w:rPr>
                      <w:rFonts w:hint="eastAsia"/>
                      <w:b w:val="0"/>
                      <w:bCs/>
                      <w:sz w:val="21"/>
                      <w:szCs w:val="21"/>
                      <w:lang w:val="en-US" w:eastAsia="zh-CN"/>
                    </w:rPr>
                    <w:t>位于项目区西南侧，建筑面积13m</w:t>
                  </w:r>
                  <w:r>
                    <w:rPr>
                      <w:rFonts w:hint="eastAsia"/>
                      <w:b w:val="0"/>
                      <w:bCs/>
                      <w:sz w:val="21"/>
                      <w:szCs w:val="21"/>
                      <w:vertAlign w:val="superscript"/>
                      <w:lang w:val="en-US" w:eastAsia="zh-CN"/>
                    </w:rPr>
                    <w:t>2</w:t>
                  </w:r>
                  <w:r>
                    <w:rPr>
                      <w:rFonts w:hint="eastAsia"/>
                      <w:b w:val="0"/>
                      <w:bCs/>
                      <w:sz w:val="21"/>
                      <w:szCs w:val="21"/>
                      <w:lang w:val="en-US" w:eastAsia="zh-CN"/>
                    </w:rPr>
                    <w:t>主要用于宠物犬住院治疗</w:t>
                  </w:r>
                </w:p>
              </w:tc>
              <w:tc>
                <w:tcPr>
                  <w:tcW w:w="842" w:type="pct"/>
                  <w:tcBorders>
                    <w:top w:val="single" w:color="auto" w:sz="4" w:space="0"/>
                    <w:bottom w:val="single" w:color="auto" w:sz="4" w:space="0"/>
                    <w:tl2br w:val="nil"/>
                    <w:tr2bl w:val="nil"/>
                  </w:tcBorders>
                  <w:noWrap w:val="0"/>
                  <w:vAlign w:val="center"/>
                </w:tcPr>
                <w:p w14:paraId="385E7CF5">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185BA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2" w:type="pct"/>
                  <w:vMerge w:val="continue"/>
                  <w:tcBorders>
                    <w:tl2br w:val="nil"/>
                    <w:tr2bl w:val="nil"/>
                  </w:tcBorders>
                  <w:noWrap w:val="0"/>
                  <w:vAlign w:val="center"/>
                </w:tcPr>
                <w:p w14:paraId="46A8E5C4">
                  <w:pPr>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op w:val="single" w:color="auto" w:sz="4" w:space="0"/>
                    <w:tl2br w:val="nil"/>
                    <w:tr2bl w:val="nil"/>
                  </w:tcBorders>
                  <w:noWrap w:val="0"/>
                  <w:vAlign w:val="center"/>
                </w:tcPr>
                <w:p w14:paraId="7824CFB8">
                  <w:pPr>
                    <w:pStyle w:val="63"/>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猫住院部</w:t>
                  </w:r>
                </w:p>
              </w:tc>
              <w:tc>
                <w:tcPr>
                  <w:tcW w:w="2249" w:type="pct"/>
                  <w:tcBorders>
                    <w:top w:val="single" w:color="auto" w:sz="4" w:space="0"/>
                    <w:tl2br w:val="nil"/>
                    <w:tr2bl w:val="nil"/>
                  </w:tcBorders>
                  <w:noWrap w:val="0"/>
                  <w:vAlign w:val="center"/>
                </w:tcPr>
                <w:p w14:paraId="1AF334F9">
                  <w:pPr>
                    <w:jc w:val="center"/>
                    <w:rPr>
                      <w:rFonts w:hint="eastAsia"/>
                      <w:b w:val="0"/>
                      <w:bCs/>
                      <w:sz w:val="21"/>
                      <w:szCs w:val="21"/>
                      <w:lang w:val="en-US" w:eastAsia="zh-CN"/>
                    </w:rPr>
                  </w:pPr>
                  <w:r>
                    <w:rPr>
                      <w:rFonts w:hint="eastAsia"/>
                      <w:b w:val="0"/>
                      <w:bCs/>
                      <w:sz w:val="21"/>
                      <w:szCs w:val="21"/>
                      <w:lang w:val="en-US" w:eastAsia="zh-CN"/>
                    </w:rPr>
                    <w:t>位于项目区西南侧，建筑面积12m</w:t>
                  </w:r>
                  <w:r>
                    <w:rPr>
                      <w:rFonts w:hint="eastAsia"/>
                      <w:b w:val="0"/>
                      <w:bCs/>
                      <w:sz w:val="21"/>
                      <w:szCs w:val="21"/>
                      <w:vertAlign w:val="superscript"/>
                      <w:lang w:val="en-US" w:eastAsia="zh-CN"/>
                    </w:rPr>
                    <w:t>2</w:t>
                  </w:r>
                  <w:r>
                    <w:rPr>
                      <w:rFonts w:hint="eastAsia"/>
                      <w:b w:val="0"/>
                      <w:bCs/>
                      <w:sz w:val="21"/>
                      <w:szCs w:val="21"/>
                      <w:lang w:val="en-US" w:eastAsia="zh-CN"/>
                    </w:rPr>
                    <w:t>主要用于宠物犬住院治疗</w:t>
                  </w:r>
                </w:p>
              </w:tc>
              <w:tc>
                <w:tcPr>
                  <w:tcW w:w="842" w:type="pct"/>
                  <w:tcBorders>
                    <w:top w:val="single" w:color="auto" w:sz="4" w:space="0"/>
                    <w:tl2br w:val="nil"/>
                    <w:tr2bl w:val="nil"/>
                  </w:tcBorders>
                  <w:noWrap w:val="0"/>
                  <w:vAlign w:val="center"/>
                </w:tcPr>
                <w:p w14:paraId="75AB0FB8">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51177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2" w:type="pct"/>
                  <w:vMerge w:val="continue"/>
                  <w:tcBorders>
                    <w:tl2br w:val="nil"/>
                    <w:tr2bl w:val="nil"/>
                  </w:tcBorders>
                  <w:noWrap w:val="0"/>
                  <w:vAlign w:val="center"/>
                </w:tcPr>
                <w:p w14:paraId="5FD07F94">
                  <w:pPr>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op w:val="single" w:color="auto" w:sz="4" w:space="0"/>
                    <w:tl2br w:val="nil"/>
                    <w:tr2bl w:val="nil"/>
                  </w:tcBorders>
                  <w:noWrap w:val="0"/>
                  <w:vAlign w:val="center"/>
                </w:tcPr>
                <w:p w14:paraId="4D6963C5">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传染病隔离室</w:t>
                  </w:r>
                </w:p>
              </w:tc>
              <w:tc>
                <w:tcPr>
                  <w:tcW w:w="2249" w:type="pct"/>
                  <w:tcBorders>
                    <w:top w:val="single" w:color="auto" w:sz="4" w:space="0"/>
                    <w:tl2br w:val="nil"/>
                    <w:tr2bl w:val="nil"/>
                  </w:tcBorders>
                  <w:noWrap w:val="0"/>
                  <w:vAlign w:val="center"/>
                </w:tcPr>
                <w:p w14:paraId="7005F3BA">
                  <w:pPr>
                    <w:jc w:val="center"/>
                    <w:rPr>
                      <w:rFonts w:hint="default"/>
                      <w:b w:val="0"/>
                      <w:bCs/>
                      <w:sz w:val="21"/>
                      <w:szCs w:val="21"/>
                      <w:lang w:val="en-US" w:eastAsia="zh-CN"/>
                    </w:rPr>
                  </w:pPr>
                  <w:r>
                    <w:rPr>
                      <w:rFonts w:hint="eastAsia"/>
                      <w:b w:val="0"/>
                      <w:bCs/>
                      <w:sz w:val="21"/>
                      <w:szCs w:val="21"/>
                      <w:lang w:val="en-US" w:eastAsia="zh-CN"/>
                    </w:rPr>
                    <w:t>主要用于具有传染病的宠物猫、犬住院治疗</w:t>
                  </w:r>
                </w:p>
              </w:tc>
              <w:tc>
                <w:tcPr>
                  <w:tcW w:w="842" w:type="pct"/>
                  <w:tcBorders>
                    <w:top w:val="single" w:color="auto" w:sz="4" w:space="0"/>
                    <w:tl2br w:val="nil"/>
                    <w:tr2bl w:val="nil"/>
                  </w:tcBorders>
                  <w:noWrap w:val="0"/>
                  <w:vAlign w:val="center"/>
                </w:tcPr>
                <w:p w14:paraId="04A6379F">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48D6E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2" w:type="pct"/>
                  <w:vMerge w:val="continue"/>
                  <w:tcBorders>
                    <w:tl2br w:val="nil"/>
                    <w:tr2bl w:val="nil"/>
                  </w:tcBorders>
                  <w:noWrap w:val="0"/>
                  <w:vAlign w:val="center"/>
                </w:tcPr>
                <w:p w14:paraId="1A0AF4B4">
                  <w:pPr>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op w:val="single" w:color="auto" w:sz="4" w:space="0"/>
                    <w:tl2br w:val="nil"/>
                    <w:tr2bl w:val="nil"/>
                  </w:tcBorders>
                  <w:noWrap w:val="0"/>
                  <w:vAlign w:val="center"/>
                </w:tcPr>
                <w:p w14:paraId="14D7CFDD">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医疗废物暂存间</w:t>
                  </w:r>
                </w:p>
              </w:tc>
              <w:tc>
                <w:tcPr>
                  <w:tcW w:w="2249" w:type="pct"/>
                  <w:tcBorders>
                    <w:top w:val="single" w:color="auto" w:sz="4" w:space="0"/>
                    <w:tl2br w:val="nil"/>
                    <w:tr2bl w:val="nil"/>
                  </w:tcBorders>
                  <w:noWrap w:val="0"/>
                  <w:vAlign w:val="center"/>
                </w:tcPr>
                <w:p w14:paraId="6FBFDEC0">
                  <w:pPr>
                    <w:jc w:val="center"/>
                    <w:rPr>
                      <w:rFonts w:hint="default"/>
                      <w:b w:val="0"/>
                      <w:bCs/>
                      <w:sz w:val="21"/>
                      <w:szCs w:val="21"/>
                      <w:lang w:val="en-US" w:eastAsia="zh-CN"/>
                    </w:rPr>
                  </w:pPr>
                  <w:r>
                    <w:rPr>
                      <w:rFonts w:hint="eastAsia"/>
                      <w:b w:val="0"/>
                      <w:bCs/>
                      <w:sz w:val="21"/>
                      <w:szCs w:val="21"/>
                      <w:lang w:val="en-US" w:eastAsia="zh-CN"/>
                    </w:rPr>
                    <w:t>建筑面积2m</w:t>
                  </w:r>
                  <w:r>
                    <w:rPr>
                      <w:rFonts w:hint="eastAsia"/>
                      <w:b w:val="0"/>
                      <w:bCs/>
                      <w:sz w:val="21"/>
                      <w:szCs w:val="21"/>
                      <w:vertAlign w:val="superscript"/>
                      <w:lang w:val="en-US" w:eastAsia="zh-CN"/>
                    </w:rPr>
                    <w:t>2，</w:t>
                  </w:r>
                  <w:r>
                    <w:rPr>
                      <w:rFonts w:hint="eastAsia"/>
                      <w:b w:val="0"/>
                      <w:bCs/>
                      <w:sz w:val="21"/>
                      <w:szCs w:val="21"/>
                      <w:lang w:val="en-US" w:eastAsia="zh-CN"/>
                    </w:rPr>
                    <w:t>主要用于临时储存医疗废物</w:t>
                  </w:r>
                </w:p>
              </w:tc>
              <w:tc>
                <w:tcPr>
                  <w:tcW w:w="842" w:type="pct"/>
                  <w:tcBorders>
                    <w:top w:val="single" w:color="auto" w:sz="4" w:space="0"/>
                    <w:tl2br w:val="nil"/>
                    <w:tr2bl w:val="nil"/>
                  </w:tcBorders>
                  <w:noWrap w:val="0"/>
                  <w:vAlign w:val="center"/>
                </w:tcPr>
                <w:p w14:paraId="48BD7482">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0B578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92" w:type="pct"/>
                  <w:vMerge w:val="continue"/>
                  <w:tcBorders>
                    <w:tl2br w:val="nil"/>
                    <w:tr2bl w:val="nil"/>
                  </w:tcBorders>
                  <w:noWrap w:val="0"/>
                  <w:vAlign w:val="center"/>
                </w:tcPr>
                <w:p w14:paraId="2E01D30D">
                  <w:pPr>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op w:val="single" w:color="auto" w:sz="4" w:space="0"/>
                    <w:tl2br w:val="nil"/>
                    <w:tr2bl w:val="nil"/>
                  </w:tcBorders>
                  <w:noWrap w:val="0"/>
                  <w:vAlign w:val="center"/>
                </w:tcPr>
                <w:p w14:paraId="1FD18F96">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手术室</w:t>
                  </w:r>
                </w:p>
              </w:tc>
              <w:tc>
                <w:tcPr>
                  <w:tcW w:w="2249" w:type="pct"/>
                  <w:tcBorders>
                    <w:top w:val="single" w:color="auto" w:sz="4" w:space="0"/>
                    <w:tl2br w:val="nil"/>
                    <w:tr2bl w:val="nil"/>
                  </w:tcBorders>
                  <w:noWrap w:val="0"/>
                  <w:vAlign w:val="center"/>
                </w:tcPr>
                <w:p w14:paraId="32E03EC5">
                  <w:pPr>
                    <w:jc w:val="center"/>
                    <w:rPr>
                      <w:rFonts w:hint="eastAsia"/>
                      <w:b w:val="0"/>
                      <w:bCs/>
                      <w:sz w:val="21"/>
                      <w:szCs w:val="21"/>
                      <w:lang w:val="en-US" w:eastAsia="zh-CN"/>
                    </w:rPr>
                  </w:pPr>
                  <w:r>
                    <w:rPr>
                      <w:rFonts w:hint="eastAsia"/>
                      <w:b w:val="0"/>
                      <w:bCs/>
                      <w:sz w:val="21"/>
                      <w:szCs w:val="21"/>
                      <w:lang w:val="en-US" w:eastAsia="zh-CN"/>
                    </w:rPr>
                    <w:t>建筑面积13m</w:t>
                  </w:r>
                  <w:r>
                    <w:rPr>
                      <w:rFonts w:hint="eastAsia"/>
                      <w:b w:val="0"/>
                      <w:bCs/>
                      <w:sz w:val="21"/>
                      <w:szCs w:val="21"/>
                      <w:vertAlign w:val="superscript"/>
                      <w:lang w:val="en-US" w:eastAsia="zh-CN"/>
                    </w:rPr>
                    <w:t>2</w:t>
                  </w:r>
                  <w:r>
                    <w:rPr>
                      <w:rFonts w:hint="eastAsia"/>
                      <w:b w:val="0"/>
                      <w:bCs/>
                      <w:sz w:val="21"/>
                      <w:szCs w:val="21"/>
                      <w:lang w:val="en-US" w:eastAsia="zh-CN"/>
                    </w:rPr>
                    <w:t>主要用于</w:t>
                  </w:r>
                  <w:r>
                    <w:rPr>
                      <w:rFonts w:hint="default"/>
                      <w:b w:val="0"/>
                      <w:bCs/>
                      <w:color w:val="000000" w:themeColor="text1"/>
                      <w:sz w:val="21"/>
                      <w:szCs w:val="21"/>
                      <w:lang w:val="en-US"/>
                      <w14:textFill>
                        <w14:solidFill>
                          <w14:schemeClr w14:val="tx1"/>
                        </w14:solidFill>
                      </w14:textFill>
                    </w:rPr>
                    <w:t>动物颅腔、胸腔或腹腔手术</w:t>
                  </w:r>
                </w:p>
              </w:tc>
              <w:tc>
                <w:tcPr>
                  <w:tcW w:w="842" w:type="pct"/>
                  <w:tcBorders>
                    <w:top w:val="single" w:color="auto" w:sz="4" w:space="0"/>
                    <w:tl2br w:val="nil"/>
                    <w:tr2bl w:val="nil"/>
                  </w:tcBorders>
                  <w:noWrap w:val="0"/>
                  <w:vAlign w:val="center"/>
                </w:tcPr>
                <w:p w14:paraId="3F89D8AE">
                  <w:pPr>
                    <w:pStyle w:val="63"/>
                    <w:spacing w:line="240" w:lineRule="auto"/>
                    <w:ind w:firstLine="0" w:firstLineChars="0"/>
                    <w:jc w:val="center"/>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020C2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92" w:type="pct"/>
                  <w:vMerge w:val="restart"/>
                  <w:tcBorders>
                    <w:tl2br w:val="nil"/>
                    <w:tr2bl w:val="nil"/>
                  </w:tcBorders>
                  <w:noWrap w:val="0"/>
                  <w:vAlign w:val="center"/>
                </w:tcPr>
                <w:p w14:paraId="6062C28F">
                  <w:pPr>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公用工程</w:t>
                  </w:r>
                </w:p>
              </w:tc>
              <w:tc>
                <w:tcPr>
                  <w:tcW w:w="1115" w:type="pct"/>
                  <w:tcBorders>
                    <w:tl2br w:val="nil"/>
                    <w:tr2bl w:val="nil"/>
                  </w:tcBorders>
                  <w:noWrap w:val="0"/>
                  <w:vAlign w:val="center"/>
                </w:tcPr>
                <w:p w14:paraId="2C88616A">
                  <w:pPr>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供水工程</w:t>
                  </w:r>
                </w:p>
              </w:tc>
              <w:tc>
                <w:tcPr>
                  <w:tcW w:w="2249" w:type="pct"/>
                  <w:tcBorders>
                    <w:tl2br w:val="nil"/>
                    <w:tr2bl w:val="nil"/>
                  </w:tcBorders>
                  <w:noWrap w:val="0"/>
                  <w:vAlign w:val="center"/>
                </w:tcPr>
                <w:p w14:paraId="44BD2042">
                  <w:pPr>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市政供水管网提供。</w:t>
                  </w:r>
                </w:p>
              </w:tc>
              <w:tc>
                <w:tcPr>
                  <w:tcW w:w="842" w:type="pct"/>
                  <w:tcBorders>
                    <w:tl2br w:val="nil"/>
                    <w:tr2bl w:val="nil"/>
                  </w:tcBorders>
                  <w:noWrap w:val="0"/>
                  <w:vAlign w:val="center"/>
                </w:tcPr>
                <w:p w14:paraId="369EE3AA">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依托</w:t>
                  </w:r>
                </w:p>
              </w:tc>
            </w:tr>
            <w:tr w14:paraId="4579A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92" w:type="pct"/>
                  <w:vMerge w:val="continue"/>
                  <w:tcBorders>
                    <w:tl2br w:val="nil"/>
                    <w:tr2bl w:val="nil"/>
                  </w:tcBorders>
                  <w:noWrap w:val="0"/>
                  <w:vAlign w:val="center"/>
                </w:tcPr>
                <w:p w14:paraId="280A7005">
                  <w:pPr>
                    <w:pStyle w:val="63"/>
                    <w:spacing w:line="240" w:lineRule="auto"/>
                    <w:ind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l2br w:val="nil"/>
                    <w:tr2bl w:val="nil"/>
                  </w:tcBorders>
                  <w:noWrap w:val="0"/>
                  <w:vAlign w:val="center"/>
                </w:tcPr>
                <w:p w14:paraId="005873FD">
                  <w:pPr>
                    <w:pStyle w:val="63"/>
                    <w:spacing w:line="240" w:lineRule="auto"/>
                    <w:ind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排水工程</w:t>
                  </w:r>
                </w:p>
              </w:tc>
              <w:tc>
                <w:tcPr>
                  <w:tcW w:w="2249" w:type="pct"/>
                  <w:tcBorders>
                    <w:tl2br w:val="nil"/>
                    <w:tr2bl w:val="nil"/>
                  </w:tcBorders>
                  <w:noWrap w:val="0"/>
                  <w:vAlign w:val="center"/>
                </w:tcPr>
                <w:p w14:paraId="1DFBFA32">
                  <w:pPr>
                    <w:pStyle w:val="63"/>
                    <w:spacing w:line="240" w:lineRule="auto"/>
                    <w:ind w:firstLine="0" w:firstLineChars="0"/>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医疗</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废水经</w:t>
                  </w:r>
                  <w:r>
                    <w:rPr>
                      <w:rFonts w:hint="eastAsia" w:cs="Times New Roman"/>
                      <w:b w:val="0"/>
                      <w:bCs/>
                      <w:color w:val="000000" w:themeColor="text1"/>
                      <w:sz w:val="21"/>
                      <w:szCs w:val="21"/>
                      <w:lang w:val="en-US" w:eastAsia="zh-CN"/>
                      <w14:textFill>
                        <w14:solidFill>
                          <w14:schemeClr w14:val="tx1"/>
                        </w14:solidFill>
                      </w14:textFill>
                    </w:rPr>
                    <w:t>小型医疗废水处理设施</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消毒处理后排入市政污水管网</w:t>
                  </w:r>
                  <w:r>
                    <w:rPr>
                      <w:rFonts w:hint="eastAsia"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美容废水和生活污水排入市政排水管网</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842" w:type="pct"/>
                  <w:tcBorders>
                    <w:tl2br w:val="nil"/>
                    <w:tr2bl w:val="nil"/>
                  </w:tcBorders>
                  <w:noWrap w:val="0"/>
                  <w:vAlign w:val="center"/>
                </w:tcPr>
                <w:p w14:paraId="4029F5D8">
                  <w:pPr>
                    <w:pStyle w:val="63"/>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42650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92" w:type="pct"/>
                  <w:vMerge w:val="continue"/>
                  <w:tcBorders>
                    <w:tl2br w:val="nil"/>
                    <w:tr2bl w:val="nil"/>
                  </w:tcBorders>
                  <w:noWrap w:val="0"/>
                  <w:vAlign w:val="center"/>
                </w:tcPr>
                <w:p w14:paraId="3EA37A44">
                  <w:pPr>
                    <w:pStyle w:val="63"/>
                    <w:spacing w:line="240" w:lineRule="auto"/>
                    <w:ind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l2br w:val="nil"/>
                    <w:tr2bl w:val="nil"/>
                  </w:tcBorders>
                  <w:noWrap w:val="0"/>
                  <w:vAlign w:val="center"/>
                </w:tcPr>
                <w:p w14:paraId="5DCD9BCE">
                  <w:pPr>
                    <w:pStyle w:val="63"/>
                    <w:spacing w:line="240" w:lineRule="auto"/>
                    <w:ind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供电工程</w:t>
                  </w:r>
                </w:p>
              </w:tc>
              <w:tc>
                <w:tcPr>
                  <w:tcW w:w="2249" w:type="pct"/>
                  <w:tcBorders>
                    <w:tl2br w:val="nil"/>
                    <w:tr2bl w:val="nil"/>
                  </w:tcBorders>
                  <w:noWrap w:val="0"/>
                  <w:vAlign w:val="center"/>
                </w:tcPr>
                <w:p w14:paraId="37B86383">
                  <w:pPr>
                    <w:pStyle w:val="63"/>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市政电网</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供给。</w:t>
                  </w:r>
                </w:p>
              </w:tc>
              <w:tc>
                <w:tcPr>
                  <w:tcW w:w="842" w:type="pct"/>
                  <w:tcBorders>
                    <w:tl2br w:val="nil"/>
                    <w:tr2bl w:val="nil"/>
                  </w:tcBorders>
                  <w:noWrap w:val="0"/>
                  <w:vAlign w:val="center"/>
                </w:tcPr>
                <w:p w14:paraId="56E5C137">
                  <w:pPr>
                    <w:pStyle w:val="63"/>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依托</w:t>
                  </w:r>
                </w:p>
              </w:tc>
            </w:tr>
            <w:tr w14:paraId="39EA3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92" w:type="pct"/>
                  <w:vMerge w:val="continue"/>
                  <w:tcBorders>
                    <w:tl2br w:val="nil"/>
                    <w:tr2bl w:val="nil"/>
                  </w:tcBorders>
                  <w:noWrap w:val="0"/>
                  <w:vAlign w:val="center"/>
                </w:tcPr>
                <w:p w14:paraId="1EFF0E6C">
                  <w:pPr>
                    <w:pStyle w:val="63"/>
                    <w:spacing w:line="240" w:lineRule="auto"/>
                    <w:ind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l2br w:val="nil"/>
                    <w:tr2bl w:val="nil"/>
                  </w:tcBorders>
                  <w:noWrap w:val="0"/>
                  <w:vAlign w:val="center"/>
                </w:tcPr>
                <w:p w14:paraId="544BD694">
                  <w:pPr>
                    <w:pStyle w:val="63"/>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供暖工程</w:t>
                  </w:r>
                </w:p>
              </w:tc>
              <w:tc>
                <w:tcPr>
                  <w:tcW w:w="2249" w:type="pct"/>
                  <w:tcBorders>
                    <w:tl2br w:val="nil"/>
                    <w:tr2bl w:val="nil"/>
                  </w:tcBorders>
                  <w:noWrap w:val="0"/>
                  <w:vAlign w:val="center"/>
                </w:tcPr>
                <w:p w14:paraId="18F0562C">
                  <w:pPr>
                    <w:pStyle w:val="63"/>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集中供暖。</w:t>
                  </w:r>
                </w:p>
              </w:tc>
              <w:tc>
                <w:tcPr>
                  <w:tcW w:w="842" w:type="pct"/>
                  <w:tcBorders>
                    <w:tl2br w:val="nil"/>
                    <w:tr2bl w:val="nil"/>
                  </w:tcBorders>
                  <w:noWrap w:val="0"/>
                  <w:vAlign w:val="center"/>
                </w:tcPr>
                <w:p w14:paraId="3DB03A4B">
                  <w:pPr>
                    <w:pStyle w:val="63"/>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依托</w:t>
                  </w:r>
                </w:p>
              </w:tc>
            </w:tr>
            <w:tr w14:paraId="3D111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92" w:type="pct"/>
                  <w:vMerge w:val="restart"/>
                  <w:tcBorders>
                    <w:tl2br w:val="nil"/>
                    <w:tr2bl w:val="nil"/>
                  </w:tcBorders>
                  <w:noWrap w:val="0"/>
                  <w:vAlign w:val="center"/>
                </w:tcPr>
                <w:p w14:paraId="17D19CDF">
                  <w:pPr>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环保工程</w:t>
                  </w:r>
                </w:p>
              </w:tc>
              <w:tc>
                <w:tcPr>
                  <w:tcW w:w="1115" w:type="pct"/>
                  <w:tcBorders>
                    <w:tl2br w:val="nil"/>
                    <w:tr2bl w:val="nil"/>
                  </w:tcBorders>
                  <w:noWrap w:val="0"/>
                  <w:vAlign w:val="center"/>
                </w:tcPr>
                <w:p w14:paraId="374A391D">
                  <w:pPr>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废气</w:t>
                  </w:r>
                </w:p>
              </w:tc>
              <w:tc>
                <w:tcPr>
                  <w:tcW w:w="2249" w:type="pct"/>
                  <w:tcBorders>
                    <w:tl2br w:val="nil"/>
                    <w:tr2bl w:val="nil"/>
                  </w:tcBorders>
                  <w:noWrap w:val="0"/>
                  <w:vAlign w:val="center"/>
                </w:tcPr>
                <w:p w14:paraId="0574D423">
                  <w:pPr>
                    <w:snapToGrid w:val="0"/>
                    <w:jc w:val="center"/>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加强对动物粪便及尿液及时清理，并在住院部定期喷洒除臭剂；项目异味经通风换气，污水处理设施密闭处理。</w:t>
                  </w:r>
                </w:p>
              </w:tc>
              <w:tc>
                <w:tcPr>
                  <w:tcW w:w="842" w:type="pct"/>
                  <w:tcBorders>
                    <w:tl2br w:val="nil"/>
                    <w:tr2bl w:val="nil"/>
                  </w:tcBorders>
                  <w:noWrap w:val="0"/>
                  <w:vAlign w:val="center"/>
                </w:tcPr>
                <w:p w14:paraId="60F04FDF">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73981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792" w:type="pct"/>
                  <w:vMerge w:val="continue"/>
                  <w:tcBorders>
                    <w:tl2br w:val="nil"/>
                    <w:tr2bl w:val="nil"/>
                  </w:tcBorders>
                  <w:noWrap w:val="0"/>
                  <w:vAlign w:val="center"/>
                </w:tcPr>
                <w:p w14:paraId="6606A888">
                  <w:pPr>
                    <w:pStyle w:val="63"/>
                    <w:spacing w:line="240" w:lineRule="auto"/>
                    <w:ind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l2br w:val="nil"/>
                    <w:tr2bl w:val="nil"/>
                  </w:tcBorders>
                  <w:noWrap w:val="0"/>
                  <w:vAlign w:val="center"/>
                </w:tcPr>
                <w:p w14:paraId="06734024">
                  <w:pPr>
                    <w:pStyle w:val="63"/>
                    <w:spacing w:line="240" w:lineRule="auto"/>
                    <w:ind w:firstLine="0" w:firstLineChars="0"/>
                    <w:jc w:val="center"/>
                    <w:rPr>
                      <w:rFonts w:hint="default" w:ascii="Times New Roman" w:hAnsi="Times New Roman" w:cs="Times New Roman"/>
                      <w:b w:val="0"/>
                      <w:bCs/>
                      <w:color w:val="0000FF"/>
                      <w:sz w:val="21"/>
                      <w:szCs w:val="21"/>
                    </w:rPr>
                  </w:pPr>
                  <w:r>
                    <w:rPr>
                      <w:rFonts w:hint="default" w:ascii="Times New Roman" w:hAnsi="Times New Roman" w:cs="Times New Roman"/>
                      <w:b w:val="0"/>
                      <w:bCs/>
                      <w:color w:val="0000FF"/>
                      <w:sz w:val="21"/>
                      <w:szCs w:val="21"/>
                    </w:rPr>
                    <w:t>废水</w:t>
                  </w:r>
                </w:p>
              </w:tc>
              <w:tc>
                <w:tcPr>
                  <w:tcW w:w="2249" w:type="pct"/>
                  <w:tcBorders>
                    <w:tl2br w:val="nil"/>
                    <w:tr2bl w:val="nil"/>
                  </w:tcBorders>
                  <w:noWrap w:val="0"/>
                  <w:vAlign w:val="center"/>
                </w:tcPr>
                <w:p w14:paraId="0D44225B">
                  <w:pPr>
                    <w:pStyle w:val="63"/>
                    <w:spacing w:line="240" w:lineRule="auto"/>
                    <w:ind w:firstLine="0" w:firstLineChars="0"/>
                    <w:jc w:val="both"/>
                    <w:rPr>
                      <w:rFonts w:hint="eastAsia" w:ascii="Times New Roman" w:hAnsi="Times New Roman" w:eastAsia="宋体" w:cs="Times New Roman"/>
                      <w:b w:val="0"/>
                      <w:bCs/>
                      <w:color w:val="0000FF"/>
                      <w:sz w:val="21"/>
                      <w:szCs w:val="21"/>
                      <w:lang w:val="en-US" w:eastAsia="zh-CN"/>
                    </w:rPr>
                  </w:pPr>
                  <w:r>
                    <w:rPr>
                      <w:rFonts w:hint="eastAsia" w:cs="Times New Roman"/>
                      <w:b w:val="0"/>
                      <w:bCs/>
                      <w:color w:val="0000FF"/>
                      <w:sz w:val="21"/>
                      <w:szCs w:val="21"/>
                      <w:lang w:val="en-US" w:eastAsia="zh-CN"/>
                    </w:rPr>
                    <w:t>新建一体化污水处</w:t>
                  </w:r>
                  <w:r>
                    <w:rPr>
                      <w:rFonts w:hint="eastAsia" w:ascii="Times New Roman" w:hAnsi="Times New Roman" w:eastAsia="宋体" w:cs="Times New Roman"/>
                      <w:b w:val="0"/>
                      <w:bCs/>
                      <w:color w:val="0000FF"/>
                      <w:sz w:val="21"/>
                      <w:szCs w:val="21"/>
                      <w:lang w:val="en-US" w:eastAsia="zh-CN"/>
                    </w:rPr>
                    <w:t>理设备1套，处理设备处理能为0.5m</w:t>
                  </w:r>
                  <w:r>
                    <w:rPr>
                      <w:rFonts w:hint="eastAsia" w:ascii="Times New Roman" w:hAnsi="Times New Roman" w:eastAsia="宋体" w:cs="Times New Roman"/>
                      <w:b w:val="0"/>
                      <w:bCs/>
                      <w:color w:val="0000FF"/>
                      <w:sz w:val="21"/>
                      <w:szCs w:val="21"/>
                      <w:vertAlign w:val="superscript"/>
                      <w:lang w:val="en-US" w:eastAsia="zh-CN"/>
                    </w:rPr>
                    <w:t>3</w:t>
                  </w:r>
                  <w:r>
                    <w:rPr>
                      <w:rFonts w:hint="eastAsia" w:ascii="Times New Roman" w:hAnsi="Times New Roman" w:eastAsia="宋体" w:cs="Times New Roman"/>
                      <w:b w:val="0"/>
                      <w:bCs/>
                      <w:color w:val="0000FF"/>
                      <w:sz w:val="21"/>
                      <w:szCs w:val="21"/>
                      <w:lang w:val="en-US" w:eastAsia="zh-CN"/>
                    </w:rPr>
                    <w:t>/h；</w:t>
                  </w:r>
                </w:p>
                <w:p w14:paraId="03B65254">
                  <w:pPr>
                    <w:pStyle w:val="63"/>
                    <w:spacing w:line="240" w:lineRule="auto"/>
                    <w:ind w:firstLine="0" w:firstLineChars="0"/>
                    <w:jc w:val="both"/>
                    <w:rPr>
                      <w:rFonts w:hint="default" w:ascii="Times New Roman" w:hAnsi="Times New Roman" w:eastAsia="宋体" w:cs="Times New Roman"/>
                      <w:b w:val="0"/>
                      <w:bCs/>
                      <w:color w:val="0000FF"/>
                      <w:sz w:val="21"/>
                      <w:szCs w:val="21"/>
                      <w:lang w:eastAsia="zh-CN"/>
                    </w:rPr>
                  </w:pPr>
                  <w:r>
                    <w:rPr>
                      <w:rFonts w:hint="eastAsia" w:ascii="Times New Roman" w:hAnsi="Times New Roman" w:eastAsia="宋体" w:cs="Times New Roman"/>
                      <w:b w:val="0"/>
                      <w:bCs/>
                      <w:color w:val="0000FF"/>
                      <w:sz w:val="21"/>
                      <w:szCs w:val="21"/>
                      <w:lang w:val="en-US" w:eastAsia="zh-CN"/>
                    </w:rPr>
                    <w:t>医疗</w:t>
                  </w:r>
                  <w:r>
                    <w:rPr>
                      <w:rFonts w:hint="default" w:ascii="Times New Roman" w:hAnsi="Times New Roman" w:eastAsia="宋体" w:cs="Times New Roman"/>
                      <w:b w:val="0"/>
                      <w:bCs/>
                      <w:color w:val="0000FF"/>
                      <w:sz w:val="21"/>
                      <w:szCs w:val="21"/>
                      <w:lang w:eastAsia="zh-CN"/>
                    </w:rPr>
                    <w:t>废水经</w:t>
                  </w:r>
                  <w:r>
                    <w:rPr>
                      <w:rFonts w:hint="eastAsia" w:ascii="Times New Roman" w:hAnsi="Times New Roman" w:eastAsia="宋体" w:cs="Times New Roman"/>
                      <w:b w:val="0"/>
                      <w:bCs/>
                      <w:color w:val="0000FF"/>
                      <w:sz w:val="21"/>
                      <w:szCs w:val="21"/>
                      <w:lang w:val="en-US" w:eastAsia="zh-CN"/>
                    </w:rPr>
                    <w:t>小型医疗废水处</w:t>
                  </w:r>
                  <w:r>
                    <w:rPr>
                      <w:rFonts w:hint="eastAsia" w:cs="Times New Roman"/>
                      <w:b w:val="0"/>
                      <w:bCs/>
                      <w:color w:val="0000FF"/>
                      <w:sz w:val="21"/>
                      <w:szCs w:val="21"/>
                      <w:lang w:val="en-US" w:eastAsia="zh-CN"/>
                    </w:rPr>
                    <w:t>理设施</w:t>
                  </w:r>
                  <w:r>
                    <w:rPr>
                      <w:rFonts w:hint="default" w:ascii="Times New Roman" w:hAnsi="Times New Roman" w:eastAsia="宋体" w:cs="Times New Roman"/>
                      <w:b w:val="0"/>
                      <w:bCs/>
                      <w:color w:val="0000FF"/>
                      <w:sz w:val="21"/>
                      <w:szCs w:val="21"/>
                      <w:lang w:eastAsia="zh-CN"/>
                    </w:rPr>
                    <w:t>消毒处理后排入市政污水管网</w:t>
                  </w:r>
                  <w:r>
                    <w:rPr>
                      <w:rFonts w:hint="eastAsia" w:cs="Times New Roman"/>
                      <w:b w:val="0"/>
                      <w:bCs/>
                      <w:color w:val="0000FF"/>
                      <w:sz w:val="21"/>
                      <w:szCs w:val="21"/>
                      <w:lang w:eastAsia="zh-CN"/>
                    </w:rPr>
                    <w:t>；</w:t>
                  </w:r>
                  <w:r>
                    <w:rPr>
                      <w:rFonts w:hint="eastAsia" w:cs="Times New Roman"/>
                      <w:b w:val="0"/>
                      <w:bCs/>
                      <w:color w:val="0000FF"/>
                      <w:sz w:val="21"/>
                      <w:szCs w:val="21"/>
                      <w:lang w:val="en-US" w:eastAsia="zh-CN"/>
                    </w:rPr>
                    <w:t>小型医疗废水处理设施安装在处置台；美容废水和生活污水排入市政排水管网</w:t>
                  </w:r>
                  <w:r>
                    <w:rPr>
                      <w:rFonts w:hint="default" w:ascii="Times New Roman" w:hAnsi="Times New Roman" w:eastAsia="宋体" w:cs="Times New Roman"/>
                      <w:b w:val="0"/>
                      <w:bCs/>
                      <w:color w:val="0000FF"/>
                      <w:sz w:val="21"/>
                      <w:szCs w:val="21"/>
                      <w:lang w:eastAsia="zh-CN"/>
                    </w:rPr>
                    <w:t>。</w:t>
                  </w:r>
                </w:p>
              </w:tc>
              <w:tc>
                <w:tcPr>
                  <w:tcW w:w="842" w:type="pct"/>
                  <w:tcBorders>
                    <w:tl2br w:val="nil"/>
                    <w:tr2bl w:val="nil"/>
                  </w:tcBorders>
                  <w:noWrap w:val="0"/>
                  <w:vAlign w:val="center"/>
                </w:tcPr>
                <w:p w14:paraId="6320BF99">
                  <w:pPr>
                    <w:spacing w:line="240" w:lineRule="auto"/>
                    <w:ind w:firstLine="0" w:firstLineChars="0"/>
                    <w:jc w:val="center"/>
                    <w:rPr>
                      <w:rFonts w:hint="default" w:ascii="Times New Roman" w:hAnsi="Times New Roman" w:eastAsia="宋体" w:cs="Times New Roman"/>
                      <w:b w:val="0"/>
                      <w:bCs/>
                      <w:color w:val="0000FF"/>
                      <w:sz w:val="21"/>
                      <w:szCs w:val="21"/>
                      <w:lang w:val="en-US" w:eastAsia="zh-CN"/>
                    </w:rPr>
                  </w:pPr>
                  <w:r>
                    <w:rPr>
                      <w:rFonts w:hint="eastAsia" w:cs="Times New Roman"/>
                      <w:b w:val="0"/>
                      <w:bCs/>
                      <w:color w:val="0000FF"/>
                      <w:sz w:val="21"/>
                      <w:szCs w:val="21"/>
                      <w:lang w:val="en-US" w:eastAsia="zh-CN"/>
                    </w:rPr>
                    <w:t>新建</w:t>
                  </w:r>
                </w:p>
              </w:tc>
            </w:tr>
            <w:tr w14:paraId="08A14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2" w:type="pct"/>
                  <w:vMerge w:val="continue"/>
                  <w:tcBorders>
                    <w:tl2br w:val="nil"/>
                    <w:tr2bl w:val="nil"/>
                  </w:tcBorders>
                  <w:noWrap w:val="0"/>
                  <w:vAlign w:val="center"/>
                </w:tcPr>
                <w:p w14:paraId="2F398CFE">
                  <w:pPr>
                    <w:pStyle w:val="63"/>
                    <w:spacing w:line="240" w:lineRule="auto"/>
                    <w:ind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tcBorders>
                    <w:tl2br w:val="nil"/>
                    <w:tr2bl w:val="nil"/>
                  </w:tcBorders>
                  <w:noWrap w:val="0"/>
                  <w:vAlign w:val="center"/>
                </w:tcPr>
                <w:p w14:paraId="7871128E">
                  <w:pPr>
                    <w:pStyle w:val="63"/>
                    <w:spacing w:line="240" w:lineRule="auto"/>
                    <w:ind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噪声处理</w:t>
                  </w:r>
                </w:p>
              </w:tc>
              <w:tc>
                <w:tcPr>
                  <w:tcW w:w="2249" w:type="pct"/>
                  <w:tcBorders>
                    <w:tl2br w:val="nil"/>
                    <w:tr2bl w:val="nil"/>
                  </w:tcBorders>
                  <w:noWrap w:val="0"/>
                  <w:vAlign w:val="center"/>
                </w:tcPr>
                <w:p w14:paraId="76141794">
                  <w:pPr>
                    <w:pStyle w:val="63"/>
                    <w:spacing w:line="240" w:lineRule="auto"/>
                    <w:ind w:firstLine="0" w:firstLineChars="0"/>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采取基础减振、墙体隔声等降噪措施</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p>
              </w:tc>
              <w:tc>
                <w:tcPr>
                  <w:tcW w:w="842" w:type="pct"/>
                  <w:tcBorders>
                    <w:tl2br w:val="nil"/>
                    <w:tr2bl w:val="nil"/>
                  </w:tcBorders>
                  <w:noWrap w:val="0"/>
                  <w:vAlign w:val="center"/>
                </w:tcPr>
                <w:p w14:paraId="7134DF73">
                  <w:pPr>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1DCA7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92" w:type="pct"/>
                  <w:vMerge w:val="continue"/>
                  <w:tcBorders>
                    <w:tl2br w:val="nil"/>
                    <w:tr2bl w:val="nil"/>
                  </w:tcBorders>
                  <w:noWrap w:val="0"/>
                  <w:vAlign w:val="center"/>
                </w:tcPr>
                <w:p w14:paraId="6890F1A1">
                  <w:pPr>
                    <w:pStyle w:val="63"/>
                    <w:spacing w:line="240" w:lineRule="auto"/>
                    <w:ind w:firstLine="0" w:firstLineChars="0"/>
                    <w:jc w:val="center"/>
                    <w:rPr>
                      <w:rFonts w:hint="default" w:ascii="Times New Roman" w:hAnsi="Times New Roman" w:cs="Times New Roman"/>
                      <w:b w:val="0"/>
                      <w:bCs/>
                      <w:color w:val="000000" w:themeColor="text1"/>
                      <w:sz w:val="21"/>
                      <w:szCs w:val="21"/>
                      <w14:textFill>
                        <w14:solidFill>
                          <w14:schemeClr w14:val="tx1"/>
                        </w14:solidFill>
                      </w14:textFill>
                    </w:rPr>
                  </w:pPr>
                </w:p>
              </w:tc>
              <w:tc>
                <w:tcPr>
                  <w:tcW w:w="1115" w:type="pct"/>
                  <w:vMerge w:val="restart"/>
                  <w:tcBorders>
                    <w:tl2br w:val="nil"/>
                    <w:tr2bl w:val="nil"/>
                  </w:tcBorders>
                  <w:noWrap w:val="0"/>
                  <w:vAlign w:val="center"/>
                </w:tcPr>
                <w:p w14:paraId="358541E0">
                  <w:pPr>
                    <w:pStyle w:val="63"/>
                    <w:spacing w:line="240" w:lineRule="auto"/>
                    <w:ind w:firstLine="0" w:firstLineChars="0"/>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固废</w:t>
                  </w:r>
                </w:p>
              </w:tc>
              <w:tc>
                <w:tcPr>
                  <w:tcW w:w="2249" w:type="pct"/>
                  <w:tcBorders>
                    <w:tl2br w:val="nil"/>
                    <w:tr2bl w:val="nil"/>
                  </w:tcBorders>
                  <w:noWrap w:val="0"/>
                  <w:vAlign w:val="center"/>
                </w:tcPr>
                <w:p w14:paraId="52CD7C51">
                  <w:pPr>
                    <w:pStyle w:val="63"/>
                    <w:spacing w:line="240" w:lineRule="auto"/>
                    <w:ind w:firstLine="0" w:firstLineChars="0"/>
                    <w:jc w:val="both"/>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排泄物粪便经清理消毒后袋装收集，与宠物毛发一同由环卫部门清运处理。</w:t>
                  </w:r>
                </w:p>
              </w:tc>
              <w:tc>
                <w:tcPr>
                  <w:tcW w:w="842" w:type="pct"/>
                  <w:tcBorders>
                    <w:tl2br w:val="nil"/>
                    <w:tr2bl w:val="nil"/>
                  </w:tcBorders>
                  <w:noWrap w:val="0"/>
                  <w:vAlign w:val="center"/>
                </w:tcPr>
                <w:p w14:paraId="5F0B1863">
                  <w:pPr>
                    <w:spacing w:line="240" w:lineRule="auto"/>
                    <w:ind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16A52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92" w:type="pct"/>
                  <w:vMerge w:val="continue"/>
                  <w:tcBorders>
                    <w:tl2br w:val="nil"/>
                    <w:tr2bl w:val="nil"/>
                  </w:tcBorders>
                  <w:noWrap w:val="0"/>
                  <w:vAlign w:val="center"/>
                </w:tcPr>
                <w:p w14:paraId="7F100204">
                  <w:pPr>
                    <w:pStyle w:val="63"/>
                    <w:spacing w:line="240" w:lineRule="auto"/>
                    <w:ind w:firstLine="0" w:firstLineChars="0"/>
                    <w:jc w:val="center"/>
                    <w:rPr>
                      <w:color w:val="000000" w:themeColor="text1"/>
                      <w14:textFill>
                        <w14:solidFill>
                          <w14:schemeClr w14:val="tx1"/>
                        </w14:solidFill>
                      </w14:textFill>
                    </w:rPr>
                  </w:pPr>
                </w:p>
              </w:tc>
              <w:tc>
                <w:tcPr>
                  <w:tcW w:w="1115" w:type="pct"/>
                  <w:vMerge w:val="continue"/>
                  <w:tcBorders>
                    <w:tl2br w:val="nil"/>
                    <w:tr2bl w:val="nil"/>
                  </w:tcBorders>
                  <w:noWrap w:val="0"/>
                  <w:vAlign w:val="center"/>
                </w:tcPr>
                <w:p w14:paraId="11A95159">
                  <w:pPr>
                    <w:pStyle w:val="63"/>
                    <w:spacing w:line="240" w:lineRule="auto"/>
                    <w:ind w:firstLine="0" w:firstLineChars="0"/>
                    <w:jc w:val="center"/>
                    <w:rPr>
                      <w:color w:val="000000" w:themeColor="text1"/>
                      <w14:textFill>
                        <w14:solidFill>
                          <w14:schemeClr w14:val="tx1"/>
                        </w14:solidFill>
                      </w14:textFill>
                    </w:rPr>
                  </w:pPr>
                </w:p>
              </w:tc>
              <w:tc>
                <w:tcPr>
                  <w:tcW w:w="2249" w:type="pct"/>
                  <w:tcBorders>
                    <w:tl2br w:val="nil"/>
                    <w:tr2bl w:val="nil"/>
                  </w:tcBorders>
                  <w:noWrap w:val="0"/>
                  <w:vAlign w:val="center"/>
                </w:tcPr>
                <w:p w14:paraId="191FC5B6">
                  <w:pPr>
                    <w:pStyle w:val="63"/>
                    <w:spacing w:line="240" w:lineRule="auto"/>
                    <w:ind w:firstLine="0" w:firstLineChars="0"/>
                    <w:jc w:val="left"/>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医疗废物经分类收集，暂存于医疗废物暂存间</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（2m</w:t>
                  </w:r>
                  <w:r>
                    <w:rPr>
                      <w:rFonts w:hint="eastAsia" w:ascii="Times New Roman" w:hAnsi="Times New Roman" w:cs="Times New Roman"/>
                      <w:b w:val="0"/>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，按要求委托有资质单位进行处置。医疗污水处理设备产生的污泥定期清掏，委托有资质处置单位</w:t>
                  </w:r>
                  <w:r>
                    <w:rPr>
                      <w:rFonts w:hint="eastAsia" w:cs="Times New Roman"/>
                      <w:b w:val="0"/>
                      <w:bCs/>
                      <w:color w:val="000000" w:themeColor="text1"/>
                      <w:sz w:val="21"/>
                      <w:szCs w:val="21"/>
                      <w:lang w:val="en-US" w:eastAsia="zh-CN"/>
                      <w14:textFill>
                        <w14:solidFill>
                          <w14:schemeClr w14:val="tx1"/>
                        </w14:solidFill>
                      </w14:textFill>
                    </w:rPr>
                    <w:t>处置。</w:t>
                  </w:r>
                </w:p>
              </w:tc>
              <w:tc>
                <w:tcPr>
                  <w:tcW w:w="842" w:type="pct"/>
                  <w:tcBorders>
                    <w:tl2br w:val="nil"/>
                    <w:tr2bl w:val="nil"/>
                  </w:tcBorders>
                  <w:noWrap w:val="0"/>
                  <w:vAlign w:val="center"/>
                </w:tcPr>
                <w:p w14:paraId="43FFFFA5">
                  <w:pPr>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r w14:paraId="2A0B6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92" w:type="pct"/>
                  <w:vMerge w:val="continue"/>
                  <w:tcBorders>
                    <w:tl2br w:val="nil"/>
                    <w:tr2bl w:val="nil"/>
                  </w:tcBorders>
                  <w:noWrap w:val="0"/>
                  <w:vAlign w:val="center"/>
                </w:tcPr>
                <w:p w14:paraId="18D50D9A">
                  <w:pPr>
                    <w:pStyle w:val="63"/>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1115" w:type="pct"/>
                  <w:vMerge w:val="continue"/>
                  <w:tcBorders>
                    <w:tl2br w:val="nil"/>
                    <w:tr2bl w:val="nil"/>
                  </w:tcBorders>
                  <w:noWrap w:val="0"/>
                  <w:vAlign w:val="center"/>
                </w:tcPr>
                <w:p w14:paraId="7CD8EC45">
                  <w:pPr>
                    <w:pStyle w:val="63"/>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p>
              </w:tc>
              <w:tc>
                <w:tcPr>
                  <w:tcW w:w="2249" w:type="pct"/>
                  <w:tcBorders>
                    <w:tl2br w:val="nil"/>
                    <w:tr2bl w:val="nil"/>
                  </w:tcBorders>
                  <w:noWrap w:val="0"/>
                  <w:vAlign w:val="center"/>
                </w:tcPr>
                <w:p w14:paraId="35C9E6A1">
                  <w:pPr>
                    <w:pStyle w:val="63"/>
                    <w:spacing w:line="240" w:lineRule="auto"/>
                    <w:ind w:firstLine="0" w:firstLineChars="0"/>
                    <w:jc w:val="both"/>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生活垃圾由环卫部门清运处理。</w:t>
                  </w:r>
                </w:p>
              </w:tc>
              <w:tc>
                <w:tcPr>
                  <w:tcW w:w="842" w:type="pct"/>
                  <w:tcBorders>
                    <w:tl2br w:val="nil"/>
                    <w:tr2bl w:val="nil"/>
                  </w:tcBorders>
                  <w:noWrap w:val="0"/>
                  <w:vAlign w:val="center"/>
                </w:tcPr>
                <w:p w14:paraId="2BAFDCFC">
                  <w:pPr>
                    <w:spacing w:line="240" w:lineRule="auto"/>
                    <w:ind w:firstLine="0" w:firstLineChars="0"/>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新建</w:t>
                  </w:r>
                </w:p>
              </w:tc>
            </w:tr>
          </w:tbl>
          <w:p w14:paraId="336576C7">
            <w:pPr>
              <w:pStyle w:val="5"/>
              <w:numPr>
                <w:ilvl w:val="0"/>
                <w:numId w:val="0"/>
              </w:numPr>
              <w:jc w:val="both"/>
              <w:outlineLvl w:val="1"/>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3 生产设备</w:t>
            </w:r>
          </w:p>
          <w:p w14:paraId="7C5870F7">
            <w:pPr>
              <w:pStyle w:val="3"/>
              <w:ind w:firstLine="48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本项目主要</w:t>
            </w:r>
            <w:r>
              <w:rPr>
                <w:rFonts w:hint="default" w:ascii="Times New Roman" w:hAnsi="Times New Roman" w:cs="Times New Roman"/>
                <w:color w:val="000000" w:themeColor="text1"/>
                <w:lang w:val="en-US" w:eastAsia="zh-CN"/>
                <w14:textFill>
                  <w14:solidFill>
                    <w14:schemeClr w14:val="tx1"/>
                  </w14:solidFill>
                </w14:textFill>
              </w:rPr>
              <w:t>医疗</w:t>
            </w:r>
            <w:r>
              <w:rPr>
                <w:rFonts w:hint="default" w:ascii="Times New Roman" w:hAnsi="Times New Roman" w:cs="Times New Roman"/>
                <w:color w:val="000000" w:themeColor="text1"/>
                <w14:textFill>
                  <w14:solidFill>
                    <w14:schemeClr w14:val="tx1"/>
                  </w14:solidFill>
                </w14:textFill>
              </w:rPr>
              <w:t>设备见表2-</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14:paraId="631E78F1">
            <w:pPr>
              <w:pStyle w:val="3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表2-</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主要医疗设备</w:t>
            </w:r>
            <w:r>
              <w:rPr>
                <w:rFonts w:hint="default" w:ascii="Times New Roman" w:hAnsi="Times New Roman" w:eastAsia="宋体" w:cs="Times New Roman"/>
                <w:color w:val="000000" w:themeColor="text1"/>
                <w:sz w:val="21"/>
                <w:szCs w:val="21"/>
                <w14:textFill>
                  <w14:solidFill>
                    <w14:schemeClr w14:val="tx1"/>
                  </w14:solidFill>
                </w14:textFill>
              </w:rPr>
              <w:t>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95"/>
              <w:gridCol w:w="2952"/>
              <w:gridCol w:w="1572"/>
              <w:gridCol w:w="2228"/>
            </w:tblGrid>
            <w:tr w14:paraId="412FD7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97" w:type="pct"/>
                  <w:tcBorders>
                    <w:tl2br w:val="nil"/>
                    <w:tr2bl w:val="nil"/>
                  </w:tcBorders>
                  <w:noWrap w:val="0"/>
                  <w:vAlign w:val="center"/>
                </w:tcPr>
                <w:p w14:paraId="049DE648">
                  <w:pPr>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序号</w:t>
                  </w:r>
                </w:p>
              </w:tc>
              <w:tc>
                <w:tcPr>
                  <w:tcW w:w="1880" w:type="pct"/>
                  <w:tcBorders>
                    <w:tl2br w:val="nil"/>
                    <w:tr2bl w:val="nil"/>
                  </w:tcBorders>
                  <w:noWrap w:val="0"/>
                  <w:vAlign w:val="center"/>
                </w:tcPr>
                <w:p w14:paraId="358C18C9">
                  <w:pPr>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设备名称</w:t>
                  </w:r>
                </w:p>
              </w:tc>
              <w:tc>
                <w:tcPr>
                  <w:tcW w:w="1001" w:type="pct"/>
                  <w:tcBorders>
                    <w:tl2br w:val="nil"/>
                    <w:tr2bl w:val="nil"/>
                  </w:tcBorders>
                  <w:noWrap w:val="0"/>
                  <w:vAlign w:val="center"/>
                </w:tcPr>
                <w:p w14:paraId="1A76747F">
                  <w:pPr>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数量</w:t>
                  </w:r>
                </w:p>
              </w:tc>
              <w:tc>
                <w:tcPr>
                  <w:tcW w:w="1419" w:type="pct"/>
                  <w:tcBorders>
                    <w:tl2br w:val="nil"/>
                    <w:tr2bl w:val="nil"/>
                  </w:tcBorders>
                  <w:noWrap w:val="0"/>
                  <w:vAlign w:val="center"/>
                </w:tcPr>
                <w:p w14:paraId="38D5D06A">
                  <w:pPr>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eastAsia="zh-CN"/>
                      <w14:textFill>
                        <w14:solidFill>
                          <w14:schemeClr w14:val="tx1"/>
                        </w14:solidFill>
                      </w14:textFill>
                    </w:rPr>
                    <w:t>备注</w:t>
                  </w:r>
                </w:p>
              </w:tc>
            </w:tr>
            <w:tr w14:paraId="56508B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2426D70F">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w:t>
                  </w:r>
                </w:p>
              </w:tc>
              <w:tc>
                <w:tcPr>
                  <w:tcW w:w="1880" w:type="pct"/>
                  <w:tcBorders>
                    <w:tl2br w:val="nil"/>
                    <w:tr2bl w:val="nil"/>
                  </w:tcBorders>
                  <w:noWrap w:val="0"/>
                  <w:vAlign w:val="center"/>
                </w:tcPr>
                <w:p w14:paraId="6EFE2819">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b w:val="0"/>
                      <w:bCs/>
                    </w:rPr>
                    <w:t>听诊器</w:t>
                  </w:r>
                </w:p>
              </w:tc>
              <w:tc>
                <w:tcPr>
                  <w:tcW w:w="1001" w:type="pct"/>
                  <w:tcBorders>
                    <w:tl2br w:val="nil"/>
                    <w:tr2bl w:val="nil"/>
                  </w:tcBorders>
                  <w:noWrap w:val="0"/>
                  <w:vAlign w:val="center"/>
                </w:tcPr>
                <w:p w14:paraId="5D3E8AC7">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个</w:t>
                  </w:r>
                </w:p>
              </w:tc>
              <w:tc>
                <w:tcPr>
                  <w:tcW w:w="1419" w:type="pct"/>
                  <w:tcBorders>
                    <w:tl2br w:val="nil"/>
                    <w:tr2bl w:val="nil"/>
                  </w:tcBorders>
                  <w:noWrap w:val="0"/>
                  <w:vAlign w:val="center"/>
                </w:tcPr>
                <w:p w14:paraId="7ED4955B">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565112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1B7A441B">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w:t>
                  </w:r>
                </w:p>
              </w:tc>
              <w:tc>
                <w:tcPr>
                  <w:tcW w:w="1880" w:type="pct"/>
                  <w:tcBorders>
                    <w:tl2br w:val="nil"/>
                    <w:tr2bl w:val="nil"/>
                  </w:tcBorders>
                  <w:noWrap w:val="0"/>
                  <w:vAlign w:val="center"/>
                </w:tcPr>
                <w:p w14:paraId="12060ADE">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b w:val="0"/>
                      <w:bCs/>
                    </w:rPr>
                    <w:t>体温计</w:t>
                  </w:r>
                </w:p>
              </w:tc>
              <w:tc>
                <w:tcPr>
                  <w:tcW w:w="1001" w:type="pct"/>
                  <w:tcBorders>
                    <w:tl2br w:val="nil"/>
                    <w:tr2bl w:val="nil"/>
                  </w:tcBorders>
                  <w:noWrap w:val="0"/>
                  <w:vAlign w:val="center"/>
                </w:tcPr>
                <w:p w14:paraId="6C1820B9">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2个</w:t>
                  </w:r>
                </w:p>
              </w:tc>
              <w:tc>
                <w:tcPr>
                  <w:tcW w:w="1419" w:type="pct"/>
                  <w:tcBorders>
                    <w:tl2br w:val="nil"/>
                    <w:tr2bl w:val="nil"/>
                  </w:tcBorders>
                  <w:noWrap w:val="0"/>
                  <w:vAlign w:val="center"/>
                </w:tcPr>
                <w:p w14:paraId="6460B2DC">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6B80D1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034BAAD2">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w:t>
                  </w:r>
                </w:p>
              </w:tc>
              <w:tc>
                <w:tcPr>
                  <w:tcW w:w="1880" w:type="pct"/>
                  <w:tcBorders>
                    <w:tl2br w:val="nil"/>
                    <w:tr2bl w:val="nil"/>
                  </w:tcBorders>
                  <w:noWrap w:val="0"/>
                  <w:vAlign w:val="center"/>
                </w:tcPr>
                <w:p w14:paraId="4FFEB5B0">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输液架</w:t>
                  </w:r>
                </w:p>
              </w:tc>
              <w:tc>
                <w:tcPr>
                  <w:tcW w:w="1001" w:type="pct"/>
                  <w:tcBorders>
                    <w:tl2br w:val="nil"/>
                    <w:tr2bl w:val="nil"/>
                  </w:tcBorders>
                  <w:noWrap w:val="0"/>
                  <w:vAlign w:val="center"/>
                </w:tcPr>
                <w:p w14:paraId="57FDF46A">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2个</w:t>
                  </w:r>
                </w:p>
              </w:tc>
              <w:tc>
                <w:tcPr>
                  <w:tcW w:w="1419" w:type="pct"/>
                  <w:tcBorders>
                    <w:tl2br w:val="nil"/>
                    <w:tr2bl w:val="nil"/>
                  </w:tcBorders>
                  <w:noWrap w:val="0"/>
                  <w:vAlign w:val="center"/>
                </w:tcPr>
                <w:p w14:paraId="2FA98BB2">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04CD5B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0E9028D1">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w:t>
                  </w:r>
                </w:p>
              </w:tc>
              <w:tc>
                <w:tcPr>
                  <w:tcW w:w="1880" w:type="pct"/>
                  <w:tcBorders>
                    <w:tl2br w:val="nil"/>
                    <w:tr2bl w:val="nil"/>
                  </w:tcBorders>
                  <w:noWrap w:val="0"/>
                  <w:vAlign w:val="center"/>
                </w:tcPr>
                <w:p w14:paraId="5935572B">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手术器械</w:t>
                  </w:r>
                </w:p>
              </w:tc>
              <w:tc>
                <w:tcPr>
                  <w:tcW w:w="1001" w:type="pct"/>
                  <w:tcBorders>
                    <w:tl2br w:val="nil"/>
                    <w:tr2bl w:val="nil"/>
                  </w:tcBorders>
                  <w:noWrap w:val="0"/>
                  <w:vAlign w:val="center"/>
                </w:tcPr>
                <w:p w14:paraId="51D5296A">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1套</w:t>
                  </w:r>
                </w:p>
              </w:tc>
              <w:tc>
                <w:tcPr>
                  <w:tcW w:w="1419" w:type="pct"/>
                  <w:tcBorders>
                    <w:tl2br w:val="nil"/>
                    <w:tr2bl w:val="nil"/>
                  </w:tcBorders>
                  <w:noWrap w:val="0"/>
                  <w:vAlign w:val="center"/>
                </w:tcPr>
                <w:p w14:paraId="340E584F">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4CCB59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3F9AF6E3">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5</w:t>
                  </w:r>
                </w:p>
              </w:tc>
              <w:tc>
                <w:tcPr>
                  <w:tcW w:w="1880" w:type="pct"/>
                  <w:tcBorders>
                    <w:tl2br w:val="nil"/>
                    <w:tr2bl w:val="nil"/>
                  </w:tcBorders>
                  <w:noWrap w:val="0"/>
                  <w:vAlign w:val="center"/>
                </w:tcPr>
                <w:p w14:paraId="3F586690">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rPr>
                    <w:t>电冰箱</w:t>
                  </w:r>
                </w:p>
              </w:tc>
              <w:tc>
                <w:tcPr>
                  <w:tcW w:w="1001" w:type="pct"/>
                  <w:tcBorders>
                    <w:tl2br w:val="nil"/>
                    <w:tr2bl w:val="nil"/>
                  </w:tcBorders>
                  <w:noWrap w:val="0"/>
                  <w:vAlign w:val="center"/>
                </w:tcPr>
                <w:p w14:paraId="01702F76">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1台</w:t>
                  </w:r>
                </w:p>
              </w:tc>
              <w:tc>
                <w:tcPr>
                  <w:tcW w:w="1419" w:type="pct"/>
                  <w:tcBorders>
                    <w:tl2br w:val="nil"/>
                    <w:tr2bl w:val="nil"/>
                  </w:tcBorders>
                  <w:noWrap w:val="0"/>
                  <w:vAlign w:val="center"/>
                </w:tcPr>
                <w:p w14:paraId="30896132">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59EB08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4DA32C3A">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6</w:t>
                  </w:r>
                </w:p>
              </w:tc>
              <w:tc>
                <w:tcPr>
                  <w:tcW w:w="1880" w:type="pct"/>
                  <w:tcBorders>
                    <w:tl2br w:val="nil"/>
                    <w:tr2bl w:val="nil"/>
                  </w:tcBorders>
                  <w:noWrap w:val="0"/>
                  <w:vAlign w:val="center"/>
                </w:tcPr>
                <w:p w14:paraId="000B422C">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b w:val="0"/>
                      <w:bCs/>
                    </w:rPr>
                    <w:t>紫外消毒灯</w:t>
                  </w:r>
                </w:p>
              </w:tc>
              <w:tc>
                <w:tcPr>
                  <w:tcW w:w="1001" w:type="pct"/>
                  <w:tcBorders>
                    <w:tl2br w:val="nil"/>
                    <w:tr2bl w:val="nil"/>
                  </w:tcBorders>
                  <w:noWrap w:val="0"/>
                  <w:vAlign w:val="center"/>
                </w:tcPr>
                <w:p w14:paraId="60686AC3">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2个</w:t>
                  </w:r>
                </w:p>
              </w:tc>
              <w:tc>
                <w:tcPr>
                  <w:tcW w:w="1419" w:type="pct"/>
                  <w:tcBorders>
                    <w:tl2br w:val="nil"/>
                    <w:tr2bl w:val="nil"/>
                  </w:tcBorders>
                  <w:noWrap w:val="0"/>
                  <w:vAlign w:val="center"/>
                </w:tcPr>
                <w:p w14:paraId="75E8B08B">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55B548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9" w:hRule="atLeast"/>
                <w:jc w:val="center"/>
              </w:trPr>
              <w:tc>
                <w:tcPr>
                  <w:tcW w:w="697" w:type="pct"/>
                  <w:tcBorders>
                    <w:tl2br w:val="nil"/>
                    <w:tr2bl w:val="nil"/>
                  </w:tcBorders>
                  <w:noWrap w:val="0"/>
                  <w:vAlign w:val="center"/>
                </w:tcPr>
                <w:p w14:paraId="4A6C7078">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7</w:t>
                  </w:r>
                </w:p>
              </w:tc>
              <w:tc>
                <w:tcPr>
                  <w:tcW w:w="1880" w:type="pct"/>
                  <w:tcBorders>
                    <w:tl2br w:val="nil"/>
                    <w:tr2bl w:val="nil"/>
                  </w:tcBorders>
                  <w:noWrap w:val="0"/>
                  <w:vAlign w:val="center"/>
                </w:tcPr>
                <w:p w14:paraId="5F2A3A2E">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喷雾消毒壶</w:t>
                  </w:r>
                </w:p>
              </w:tc>
              <w:tc>
                <w:tcPr>
                  <w:tcW w:w="1001" w:type="pct"/>
                  <w:tcBorders>
                    <w:tl2br w:val="nil"/>
                    <w:tr2bl w:val="nil"/>
                  </w:tcBorders>
                  <w:noWrap w:val="0"/>
                  <w:vAlign w:val="center"/>
                </w:tcPr>
                <w:p w14:paraId="06FCD066">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2个</w:t>
                  </w:r>
                </w:p>
              </w:tc>
              <w:tc>
                <w:tcPr>
                  <w:tcW w:w="1419" w:type="pct"/>
                  <w:tcBorders>
                    <w:tl2br w:val="nil"/>
                    <w:tr2bl w:val="nil"/>
                  </w:tcBorders>
                  <w:noWrap w:val="0"/>
                  <w:vAlign w:val="center"/>
                </w:tcPr>
                <w:p w14:paraId="4A528422">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629A93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05D11F74">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8</w:t>
                  </w:r>
                </w:p>
              </w:tc>
              <w:tc>
                <w:tcPr>
                  <w:tcW w:w="1880" w:type="pct"/>
                  <w:tcBorders>
                    <w:tl2br w:val="nil"/>
                    <w:tr2bl w:val="nil"/>
                  </w:tcBorders>
                  <w:noWrap w:val="0"/>
                  <w:vAlign w:val="center"/>
                </w:tcPr>
                <w:p w14:paraId="66C36DEE">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高压灭菌锅</w:t>
                  </w:r>
                </w:p>
              </w:tc>
              <w:tc>
                <w:tcPr>
                  <w:tcW w:w="1001" w:type="pct"/>
                  <w:tcBorders>
                    <w:tl2br w:val="nil"/>
                    <w:tr2bl w:val="nil"/>
                  </w:tcBorders>
                  <w:noWrap w:val="0"/>
                  <w:vAlign w:val="center"/>
                </w:tcPr>
                <w:p w14:paraId="29FE84C5">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1个</w:t>
                  </w:r>
                </w:p>
              </w:tc>
              <w:tc>
                <w:tcPr>
                  <w:tcW w:w="1419" w:type="pct"/>
                  <w:tcBorders>
                    <w:tl2br w:val="nil"/>
                    <w:tr2bl w:val="nil"/>
                  </w:tcBorders>
                  <w:noWrap w:val="0"/>
                  <w:vAlign w:val="center"/>
                </w:tcPr>
                <w:p w14:paraId="6CB1662D">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25F6C3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4037E54D">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9</w:t>
                  </w:r>
                </w:p>
              </w:tc>
              <w:tc>
                <w:tcPr>
                  <w:tcW w:w="1880" w:type="pct"/>
                  <w:tcBorders>
                    <w:tl2br w:val="nil"/>
                    <w:tr2bl w:val="nil"/>
                  </w:tcBorders>
                  <w:noWrap w:val="0"/>
                  <w:vAlign w:val="center"/>
                </w:tcPr>
                <w:p w14:paraId="204459BB">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药品柜</w:t>
                  </w:r>
                </w:p>
              </w:tc>
              <w:tc>
                <w:tcPr>
                  <w:tcW w:w="1001" w:type="pct"/>
                  <w:tcBorders>
                    <w:tl2br w:val="nil"/>
                    <w:tr2bl w:val="nil"/>
                  </w:tcBorders>
                  <w:noWrap w:val="0"/>
                  <w:vAlign w:val="center"/>
                </w:tcPr>
                <w:p w14:paraId="3EAA29EE">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3个</w:t>
                  </w:r>
                </w:p>
              </w:tc>
              <w:tc>
                <w:tcPr>
                  <w:tcW w:w="1419" w:type="pct"/>
                  <w:tcBorders>
                    <w:tl2br w:val="nil"/>
                    <w:tr2bl w:val="nil"/>
                  </w:tcBorders>
                  <w:noWrap w:val="0"/>
                  <w:vAlign w:val="center"/>
                </w:tcPr>
                <w:p w14:paraId="43517A98">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7DC932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64AC3860">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10</w:t>
                  </w:r>
                </w:p>
              </w:tc>
              <w:tc>
                <w:tcPr>
                  <w:tcW w:w="1880" w:type="pct"/>
                  <w:tcBorders>
                    <w:tl2br w:val="nil"/>
                    <w:tr2bl w:val="nil"/>
                  </w:tcBorders>
                  <w:noWrap w:val="0"/>
                  <w:vAlign w:val="center"/>
                </w:tcPr>
                <w:p w14:paraId="52377B0A">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器械柜</w:t>
                  </w:r>
                </w:p>
              </w:tc>
              <w:tc>
                <w:tcPr>
                  <w:tcW w:w="1001" w:type="pct"/>
                  <w:tcBorders>
                    <w:tl2br w:val="nil"/>
                    <w:tr2bl w:val="nil"/>
                  </w:tcBorders>
                  <w:noWrap w:val="0"/>
                  <w:vAlign w:val="center"/>
                </w:tcPr>
                <w:p w14:paraId="684D4134">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1个</w:t>
                  </w:r>
                </w:p>
              </w:tc>
              <w:tc>
                <w:tcPr>
                  <w:tcW w:w="1419" w:type="pct"/>
                  <w:tcBorders>
                    <w:tl2br w:val="nil"/>
                    <w:tr2bl w:val="nil"/>
                  </w:tcBorders>
                  <w:noWrap w:val="0"/>
                  <w:vAlign w:val="center"/>
                </w:tcPr>
                <w:p w14:paraId="51C9456F">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6B2F23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7C4042E5">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11</w:t>
                  </w:r>
                </w:p>
              </w:tc>
              <w:tc>
                <w:tcPr>
                  <w:tcW w:w="1880" w:type="pct"/>
                  <w:tcBorders>
                    <w:tl2br w:val="nil"/>
                    <w:tr2bl w:val="nil"/>
                  </w:tcBorders>
                  <w:noWrap w:val="0"/>
                  <w:vAlign w:val="center"/>
                </w:tcPr>
                <w:p w14:paraId="5177D204">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显微镜</w:t>
                  </w:r>
                </w:p>
              </w:tc>
              <w:tc>
                <w:tcPr>
                  <w:tcW w:w="1001" w:type="pct"/>
                  <w:tcBorders>
                    <w:tl2br w:val="nil"/>
                    <w:tr2bl w:val="nil"/>
                  </w:tcBorders>
                  <w:noWrap w:val="0"/>
                  <w:vAlign w:val="center"/>
                </w:tcPr>
                <w:p w14:paraId="16E79E96">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1个</w:t>
                  </w:r>
                </w:p>
              </w:tc>
              <w:tc>
                <w:tcPr>
                  <w:tcW w:w="1419" w:type="pct"/>
                  <w:tcBorders>
                    <w:tl2br w:val="nil"/>
                    <w:tr2bl w:val="nil"/>
                  </w:tcBorders>
                  <w:noWrap w:val="0"/>
                  <w:vAlign w:val="center"/>
                </w:tcPr>
                <w:p w14:paraId="77E44824">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5EA88E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1F81F740">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12</w:t>
                  </w:r>
                </w:p>
              </w:tc>
              <w:tc>
                <w:tcPr>
                  <w:tcW w:w="1880" w:type="pct"/>
                  <w:tcBorders>
                    <w:tl2br w:val="nil"/>
                    <w:tr2bl w:val="nil"/>
                  </w:tcBorders>
                  <w:noWrap w:val="0"/>
                  <w:vAlign w:val="center"/>
                </w:tcPr>
                <w:p w14:paraId="45C8AF02">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消毒柜</w:t>
                  </w:r>
                </w:p>
              </w:tc>
              <w:tc>
                <w:tcPr>
                  <w:tcW w:w="1001" w:type="pct"/>
                  <w:tcBorders>
                    <w:tl2br w:val="nil"/>
                    <w:tr2bl w:val="nil"/>
                  </w:tcBorders>
                  <w:noWrap w:val="0"/>
                  <w:vAlign w:val="center"/>
                </w:tcPr>
                <w:p w14:paraId="367D8244">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1个</w:t>
                  </w:r>
                </w:p>
              </w:tc>
              <w:tc>
                <w:tcPr>
                  <w:tcW w:w="1419" w:type="pct"/>
                  <w:tcBorders>
                    <w:tl2br w:val="nil"/>
                    <w:tr2bl w:val="nil"/>
                  </w:tcBorders>
                  <w:noWrap w:val="0"/>
                  <w:vAlign w:val="center"/>
                </w:tcPr>
                <w:p w14:paraId="607557CC">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0AA8D3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3BF71FCA">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13</w:t>
                  </w:r>
                </w:p>
              </w:tc>
              <w:tc>
                <w:tcPr>
                  <w:tcW w:w="1880" w:type="pct"/>
                  <w:tcBorders>
                    <w:tl2br w:val="nil"/>
                    <w:tr2bl w:val="nil"/>
                  </w:tcBorders>
                  <w:noWrap w:val="0"/>
                  <w:vAlign w:val="center"/>
                </w:tcPr>
                <w:p w14:paraId="122DD276">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血常规</w:t>
                  </w:r>
                </w:p>
              </w:tc>
              <w:tc>
                <w:tcPr>
                  <w:tcW w:w="1001" w:type="pct"/>
                  <w:tcBorders>
                    <w:tl2br w:val="nil"/>
                    <w:tr2bl w:val="nil"/>
                  </w:tcBorders>
                  <w:noWrap w:val="0"/>
                  <w:vAlign w:val="center"/>
                </w:tcPr>
                <w:p w14:paraId="28B73420">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1个</w:t>
                  </w:r>
                </w:p>
              </w:tc>
              <w:tc>
                <w:tcPr>
                  <w:tcW w:w="1419" w:type="pct"/>
                  <w:tcBorders>
                    <w:tl2br w:val="nil"/>
                    <w:tr2bl w:val="nil"/>
                  </w:tcBorders>
                  <w:noWrap w:val="0"/>
                  <w:vAlign w:val="center"/>
                </w:tcPr>
                <w:p w14:paraId="1623B676">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494337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3D213382">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14</w:t>
                  </w:r>
                </w:p>
              </w:tc>
              <w:tc>
                <w:tcPr>
                  <w:tcW w:w="1880" w:type="pct"/>
                  <w:tcBorders>
                    <w:tl2br w:val="nil"/>
                    <w:tr2bl w:val="nil"/>
                  </w:tcBorders>
                  <w:noWrap w:val="0"/>
                  <w:vAlign w:val="center"/>
                </w:tcPr>
                <w:p w14:paraId="67995B44">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手术台</w:t>
                  </w:r>
                </w:p>
              </w:tc>
              <w:tc>
                <w:tcPr>
                  <w:tcW w:w="1001" w:type="pct"/>
                  <w:tcBorders>
                    <w:tl2br w:val="nil"/>
                    <w:tr2bl w:val="nil"/>
                  </w:tcBorders>
                  <w:noWrap w:val="0"/>
                  <w:vAlign w:val="center"/>
                </w:tcPr>
                <w:p w14:paraId="65F73182">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1个</w:t>
                  </w:r>
                </w:p>
              </w:tc>
              <w:tc>
                <w:tcPr>
                  <w:tcW w:w="1419" w:type="pct"/>
                  <w:tcBorders>
                    <w:tl2br w:val="nil"/>
                    <w:tr2bl w:val="nil"/>
                  </w:tcBorders>
                  <w:noWrap w:val="0"/>
                  <w:vAlign w:val="center"/>
                </w:tcPr>
                <w:p w14:paraId="26DCF117">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2654EE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7" w:hRule="atLeast"/>
                <w:jc w:val="center"/>
              </w:trPr>
              <w:tc>
                <w:tcPr>
                  <w:tcW w:w="697" w:type="pct"/>
                  <w:tcBorders>
                    <w:tl2br w:val="nil"/>
                    <w:tr2bl w:val="nil"/>
                  </w:tcBorders>
                  <w:noWrap w:val="0"/>
                  <w:vAlign w:val="center"/>
                </w:tcPr>
                <w:p w14:paraId="35CDA3F3">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15</w:t>
                  </w:r>
                </w:p>
              </w:tc>
              <w:tc>
                <w:tcPr>
                  <w:tcW w:w="1880" w:type="pct"/>
                  <w:tcBorders>
                    <w:tl2br w:val="nil"/>
                    <w:tr2bl w:val="nil"/>
                  </w:tcBorders>
                  <w:noWrap w:val="0"/>
                  <w:vAlign w:val="center"/>
                </w:tcPr>
                <w:p w14:paraId="56792E7A">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诊断台</w:t>
                  </w:r>
                </w:p>
              </w:tc>
              <w:tc>
                <w:tcPr>
                  <w:tcW w:w="1001" w:type="pct"/>
                  <w:tcBorders>
                    <w:tl2br w:val="nil"/>
                    <w:tr2bl w:val="nil"/>
                  </w:tcBorders>
                  <w:noWrap w:val="0"/>
                  <w:vAlign w:val="center"/>
                </w:tcPr>
                <w:p w14:paraId="56099413">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1个</w:t>
                  </w:r>
                </w:p>
              </w:tc>
              <w:tc>
                <w:tcPr>
                  <w:tcW w:w="1419" w:type="pct"/>
                  <w:tcBorders>
                    <w:tl2br w:val="nil"/>
                    <w:tr2bl w:val="nil"/>
                  </w:tcBorders>
                  <w:noWrap w:val="0"/>
                  <w:vAlign w:val="center"/>
                </w:tcPr>
                <w:p w14:paraId="71CA9A2C">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34A1B9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4F361A7A">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16</w:t>
                  </w:r>
                </w:p>
              </w:tc>
              <w:tc>
                <w:tcPr>
                  <w:tcW w:w="1880" w:type="pct"/>
                  <w:tcBorders>
                    <w:tl2br w:val="nil"/>
                    <w:tr2bl w:val="nil"/>
                  </w:tcBorders>
                  <w:noWrap w:val="0"/>
                  <w:vAlign w:val="center"/>
                </w:tcPr>
                <w:p w14:paraId="77CFBE0B">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保定器</w:t>
                  </w:r>
                </w:p>
              </w:tc>
              <w:tc>
                <w:tcPr>
                  <w:tcW w:w="1001" w:type="pct"/>
                  <w:tcBorders>
                    <w:tl2br w:val="nil"/>
                    <w:tr2bl w:val="nil"/>
                  </w:tcBorders>
                  <w:noWrap w:val="0"/>
                  <w:vAlign w:val="center"/>
                </w:tcPr>
                <w:p w14:paraId="57706EAD">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1套</w:t>
                  </w:r>
                </w:p>
              </w:tc>
              <w:tc>
                <w:tcPr>
                  <w:tcW w:w="1419" w:type="pct"/>
                  <w:tcBorders>
                    <w:tl2br w:val="nil"/>
                    <w:tr2bl w:val="nil"/>
                  </w:tcBorders>
                  <w:noWrap w:val="0"/>
                  <w:vAlign w:val="center"/>
                </w:tcPr>
                <w:p w14:paraId="07508396">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47A32A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0287B587">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17</w:t>
                  </w:r>
                </w:p>
              </w:tc>
              <w:tc>
                <w:tcPr>
                  <w:tcW w:w="1880" w:type="pct"/>
                  <w:tcBorders>
                    <w:tl2br w:val="nil"/>
                    <w:tr2bl w:val="nil"/>
                  </w:tcBorders>
                  <w:noWrap w:val="0"/>
                  <w:vAlign w:val="center"/>
                </w:tcPr>
                <w:p w14:paraId="1AD2A03E">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B 超机</w:t>
                  </w:r>
                </w:p>
              </w:tc>
              <w:tc>
                <w:tcPr>
                  <w:tcW w:w="1001" w:type="pct"/>
                  <w:tcBorders>
                    <w:tl2br w:val="nil"/>
                    <w:tr2bl w:val="nil"/>
                  </w:tcBorders>
                  <w:noWrap w:val="0"/>
                  <w:vAlign w:val="center"/>
                </w:tcPr>
                <w:p w14:paraId="5C8813AC">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1台</w:t>
                  </w:r>
                </w:p>
              </w:tc>
              <w:tc>
                <w:tcPr>
                  <w:tcW w:w="1419" w:type="pct"/>
                  <w:tcBorders>
                    <w:tl2br w:val="nil"/>
                    <w:tr2bl w:val="nil"/>
                  </w:tcBorders>
                  <w:noWrap w:val="0"/>
                  <w:vAlign w:val="center"/>
                </w:tcPr>
                <w:p w14:paraId="0B0B8866">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5C222C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5B429DB6">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18</w:t>
                  </w:r>
                </w:p>
              </w:tc>
              <w:tc>
                <w:tcPr>
                  <w:tcW w:w="1880" w:type="pct"/>
                  <w:tcBorders>
                    <w:tl2br w:val="nil"/>
                    <w:tr2bl w:val="nil"/>
                  </w:tcBorders>
                  <w:noWrap w:val="0"/>
                  <w:vAlign w:val="center"/>
                </w:tcPr>
                <w:p w14:paraId="02832573">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隔离箱笼</w:t>
                  </w:r>
                </w:p>
              </w:tc>
              <w:tc>
                <w:tcPr>
                  <w:tcW w:w="1001" w:type="pct"/>
                  <w:tcBorders>
                    <w:tl2br w:val="nil"/>
                    <w:tr2bl w:val="nil"/>
                  </w:tcBorders>
                  <w:noWrap w:val="0"/>
                  <w:vAlign w:val="center"/>
                </w:tcPr>
                <w:p w14:paraId="2D5FCA66">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w:t>
                  </w:r>
                </w:p>
              </w:tc>
              <w:tc>
                <w:tcPr>
                  <w:tcW w:w="1419" w:type="pct"/>
                  <w:tcBorders>
                    <w:tl2br w:val="nil"/>
                    <w:tr2bl w:val="nil"/>
                  </w:tcBorders>
                  <w:noWrap w:val="0"/>
                  <w:vAlign w:val="center"/>
                </w:tcPr>
                <w:p w14:paraId="3E69EC23">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423779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750D84FE">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19</w:t>
                  </w:r>
                </w:p>
              </w:tc>
              <w:tc>
                <w:tcPr>
                  <w:tcW w:w="1880" w:type="pct"/>
                  <w:tcBorders>
                    <w:tl2br w:val="nil"/>
                    <w:tr2bl w:val="nil"/>
                  </w:tcBorders>
                  <w:noWrap w:val="0"/>
                  <w:vAlign w:val="center"/>
                </w:tcPr>
                <w:p w14:paraId="7BFE4109">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血液分析仪</w:t>
                  </w:r>
                </w:p>
              </w:tc>
              <w:tc>
                <w:tcPr>
                  <w:tcW w:w="1001" w:type="pct"/>
                  <w:tcBorders>
                    <w:tl2br w:val="nil"/>
                    <w:tr2bl w:val="nil"/>
                  </w:tcBorders>
                  <w:noWrap w:val="0"/>
                  <w:vAlign w:val="center"/>
                </w:tcPr>
                <w:p w14:paraId="279B6C23">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1台</w:t>
                  </w:r>
                </w:p>
              </w:tc>
              <w:tc>
                <w:tcPr>
                  <w:tcW w:w="1419" w:type="pct"/>
                  <w:tcBorders>
                    <w:tl2br w:val="nil"/>
                    <w:tr2bl w:val="nil"/>
                  </w:tcBorders>
                  <w:noWrap w:val="0"/>
                  <w:vAlign w:val="center"/>
                </w:tcPr>
                <w:p w14:paraId="037B0D87">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655C67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36CB0078">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20</w:t>
                  </w:r>
                </w:p>
              </w:tc>
              <w:tc>
                <w:tcPr>
                  <w:tcW w:w="1880" w:type="pct"/>
                  <w:tcBorders>
                    <w:tl2br w:val="nil"/>
                    <w:tr2bl w:val="nil"/>
                  </w:tcBorders>
                  <w:noWrap w:val="0"/>
                  <w:vAlign w:val="center"/>
                </w:tcPr>
                <w:p w14:paraId="2C1FD4A6">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生化分析仪</w:t>
                  </w:r>
                </w:p>
              </w:tc>
              <w:tc>
                <w:tcPr>
                  <w:tcW w:w="1001" w:type="pct"/>
                  <w:tcBorders>
                    <w:tl2br w:val="nil"/>
                    <w:tr2bl w:val="nil"/>
                  </w:tcBorders>
                  <w:noWrap w:val="0"/>
                  <w:vAlign w:val="center"/>
                </w:tcPr>
                <w:p w14:paraId="0945E470">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2台</w:t>
                  </w:r>
                </w:p>
              </w:tc>
              <w:tc>
                <w:tcPr>
                  <w:tcW w:w="1419" w:type="pct"/>
                  <w:tcBorders>
                    <w:tl2br w:val="nil"/>
                    <w:tr2bl w:val="nil"/>
                  </w:tcBorders>
                  <w:noWrap w:val="0"/>
                  <w:vAlign w:val="center"/>
                </w:tcPr>
                <w:p w14:paraId="69507336">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565269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30894115">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22</w:t>
                  </w:r>
                </w:p>
              </w:tc>
              <w:tc>
                <w:tcPr>
                  <w:tcW w:w="1880" w:type="pct"/>
                  <w:tcBorders>
                    <w:tl2br w:val="nil"/>
                    <w:tr2bl w:val="nil"/>
                  </w:tcBorders>
                  <w:noWrap w:val="0"/>
                  <w:vAlign w:val="center"/>
                </w:tcPr>
                <w:p w14:paraId="2606B544">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呼吸麻醉机</w:t>
                  </w:r>
                </w:p>
              </w:tc>
              <w:tc>
                <w:tcPr>
                  <w:tcW w:w="1001" w:type="pct"/>
                  <w:tcBorders>
                    <w:tl2br w:val="nil"/>
                    <w:tr2bl w:val="nil"/>
                  </w:tcBorders>
                  <w:noWrap w:val="0"/>
                  <w:vAlign w:val="center"/>
                </w:tcPr>
                <w:p w14:paraId="2DA52BDC">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1台</w:t>
                  </w:r>
                </w:p>
              </w:tc>
              <w:tc>
                <w:tcPr>
                  <w:tcW w:w="1419" w:type="pct"/>
                  <w:tcBorders>
                    <w:tl2br w:val="nil"/>
                    <w:tr2bl w:val="nil"/>
                  </w:tcBorders>
                  <w:noWrap w:val="0"/>
                  <w:vAlign w:val="center"/>
                </w:tcPr>
                <w:p w14:paraId="28B9A7D6">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1E33B6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6CFDEC29">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23</w:t>
                  </w:r>
                </w:p>
              </w:tc>
              <w:tc>
                <w:tcPr>
                  <w:tcW w:w="1880" w:type="pct"/>
                  <w:tcBorders>
                    <w:tl2br w:val="nil"/>
                    <w:tr2bl w:val="nil"/>
                  </w:tcBorders>
                  <w:noWrap w:val="0"/>
                  <w:vAlign w:val="center"/>
                </w:tcPr>
                <w:p w14:paraId="128F78FD">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b w:val="0"/>
                      <w:bCs/>
                    </w:rPr>
                    <w:t>无影灯</w:t>
                  </w:r>
                </w:p>
              </w:tc>
              <w:tc>
                <w:tcPr>
                  <w:tcW w:w="1001" w:type="pct"/>
                  <w:tcBorders>
                    <w:tl2br w:val="nil"/>
                    <w:tr2bl w:val="nil"/>
                  </w:tcBorders>
                  <w:noWrap w:val="0"/>
                  <w:vAlign w:val="center"/>
                </w:tcPr>
                <w:p w14:paraId="3933447A">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1台</w:t>
                  </w:r>
                </w:p>
              </w:tc>
              <w:tc>
                <w:tcPr>
                  <w:tcW w:w="1419" w:type="pct"/>
                  <w:tcBorders>
                    <w:tl2br w:val="nil"/>
                    <w:tr2bl w:val="nil"/>
                  </w:tcBorders>
                  <w:noWrap w:val="0"/>
                  <w:vAlign w:val="center"/>
                </w:tcPr>
                <w:p w14:paraId="5D36B8F6">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r w14:paraId="5567C4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7" w:type="pct"/>
                  <w:tcBorders>
                    <w:tl2br w:val="nil"/>
                    <w:tr2bl w:val="nil"/>
                  </w:tcBorders>
                  <w:noWrap w:val="0"/>
                  <w:vAlign w:val="center"/>
                </w:tcPr>
                <w:p w14:paraId="7E59D1ED">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24</w:t>
                  </w:r>
                </w:p>
              </w:tc>
              <w:tc>
                <w:tcPr>
                  <w:tcW w:w="1880" w:type="pct"/>
                  <w:tcBorders>
                    <w:tl2br w:val="nil"/>
                    <w:tr2bl w:val="nil"/>
                  </w:tcBorders>
                  <w:noWrap w:val="0"/>
                  <w:vAlign w:val="center"/>
                </w:tcPr>
                <w:p w14:paraId="5E6194DB">
                  <w:pPr>
                    <w:jc w:val="center"/>
                    <w:rPr>
                      <w:rFonts w:hint="default" w:eastAsia="宋体"/>
                      <w:b w:val="0"/>
                      <w:bCs/>
                      <w:lang w:val="en-US" w:eastAsia="zh-CN"/>
                    </w:rPr>
                  </w:pPr>
                  <w:r>
                    <w:rPr>
                      <w:rFonts w:hint="eastAsia" w:cs="Times New Roman"/>
                      <w:b w:val="0"/>
                      <w:bCs w:val="0"/>
                      <w:color w:val="000000" w:themeColor="text1"/>
                      <w:szCs w:val="21"/>
                      <w:lang w:val="en-US" w:eastAsia="zh-CN"/>
                      <w14:textFill>
                        <w14:solidFill>
                          <w14:schemeClr w14:val="tx1"/>
                        </w14:solidFill>
                      </w14:textFill>
                    </w:rPr>
                    <w:t>一体化医疗废水消毒设施</w:t>
                  </w:r>
                </w:p>
              </w:tc>
              <w:tc>
                <w:tcPr>
                  <w:tcW w:w="1001" w:type="pct"/>
                  <w:tcBorders>
                    <w:tl2br w:val="nil"/>
                    <w:tr2bl w:val="nil"/>
                  </w:tcBorders>
                  <w:noWrap w:val="0"/>
                  <w:vAlign w:val="center"/>
                </w:tcPr>
                <w:p w14:paraId="32042B3E">
                  <w:pPr>
                    <w:jc w:val="center"/>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1台</w:t>
                  </w:r>
                </w:p>
              </w:tc>
              <w:tc>
                <w:tcPr>
                  <w:tcW w:w="1419" w:type="pct"/>
                  <w:tcBorders>
                    <w:tl2br w:val="nil"/>
                    <w:tr2bl w:val="nil"/>
                  </w:tcBorders>
                  <w:noWrap w:val="0"/>
                  <w:vAlign w:val="center"/>
                </w:tcPr>
                <w:p w14:paraId="247AABEE">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新建</w:t>
                  </w:r>
                </w:p>
              </w:tc>
            </w:tr>
          </w:tbl>
          <w:p w14:paraId="6C569628">
            <w:pPr>
              <w:pStyle w:val="5"/>
              <w:numPr>
                <w:ilvl w:val="0"/>
                <w:numId w:val="0"/>
              </w:numPr>
              <w:jc w:val="both"/>
              <w:outlineLvl w:val="1"/>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4 医疗用品、药剂及能源消耗</w:t>
            </w:r>
          </w:p>
          <w:p w14:paraId="213B647F">
            <w:pPr>
              <w:pStyle w:val="34"/>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主要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医疗用品、药剂及能源消耗</w:t>
            </w:r>
            <w:r>
              <w:rPr>
                <w:rFonts w:hint="default" w:ascii="Times New Roman" w:hAnsi="Times New Roman" w:eastAsia="宋体" w:cs="Times New Roman"/>
                <w:color w:val="000000" w:themeColor="text1"/>
                <w:sz w:val="21"/>
                <w:szCs w:val="21"/>
                <w14:textFill>
                  <w14:solidFill>
                    <w14:schemeClr w14:val="tx1"/>
                  </w14:solidFill>
                </w14:textFill>
              </w:rPr>
              <w:t>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472"/>
              <w:gridCol w:w="996"/>
              <w:gridCol w:w="1161"/>
              <w:gridCol w:w="1256"/>
              <w:gridCol w:w="1256"/>
            </w:tblGrid>
            <w:tr w14:paraId="02901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bottom w:val="single" w:color="auto" w:sz="12" w:space="0"/>
                  </w:tcBorders>
                  <w:noWrap w:val="0"/>
                  <w:vAlign w:val="center"/>
                </w:tcPr>
                <w:p w14:paraId="07217F29">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574" w:type="pct"/>
                  <w:tcBorders>
                    <w:bottom w:val="single" w:color="auto" w:sz="12" w:space="0"/>
                  </w:tcBorders>
                  <w:noWrap w:val="0"/>
                  <w:vAlign w:val="center"/>
                </w:tcPr>
                <w:p w14:paraId="7FE3D1A7">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主要原料名称</w:t>
                  </w:r>
                </w:p>
              </w:tc>
              <w:tc>
                <w:tcPr>
                  <w:tcW w:w="634" w:type="pct"/>
                  <w:tcBorders>
                    <w:bottom w:val="single" w:color="auto" w:sz="12" w:space="0"/>
                  </w:tcBorders>
                  <w:noWrap w:val="0"/>
                  <w:vAlign w:val="center"/>
                </w:tcPr>
                <w:p w14:paraId="2D734384">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739" w:type="pct"/>
                  <w:tcBorders>
                    <w:bottom w:val="single" w:color="auto" w:sz="12" w:space="0"/>
                  </w:tcBorders>
                  <w:noWrap w:val="0"/>
                  <w:vAlign w:val="center"/>
                </w:tcPr>
                <w:p w14:paraId="588A8BD9">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年</w:t>
                  </w:r>
                  <w:r>
                    <w:rPr>
                      <w:rFonts w:hint="default" w:ascii="Times New Roman" w:hAnsi="Times New Roman" w:cs="Times New Roman"/>
                      <w:b/>
                      <w:bCs/>
                      <w:color w:val="000000" w:themeColor="text1"/>
                      <w:sz w:val="21"/>
                      <w:szCs w:val="21"/>
                      <w14:textFill>
                        <w14:solidFill>
                          <w14:schemeClr w14:val="tx1"/>
                        </w14:solidFill>
                      </w14:textFill>
                    </w:rPr>
                    <w:t>消耗数量</w:t>
                  </w:r>
                </w:p>
              </w:tc>
              <w:tc>
                <w:tcPr>
                  <w:tcW w:w="800" w:type="pct"/>
                  <w:tcBorders>
                    <w:bottom w:val="single" w:color="auto" w:sz="12" w:space="0"/>
                  </w:tcBorders>
                  <w:noWrap w:val="0"/>
                  <w:vAlign w:val="center"/>
                </w:tcPr>
                <w:p w14:paraId="25848B5D">
                  <w:pPr>
                    <w:adjustRightInd w:val="0"/>
                    <w:snapToGrid w:val="0"/>
                    <w:jc w:val="center"/>
                    <w:rPr>
                      <w:rFonts w:hint="default" w:ascii="Times New Roman" w:hAnsi="Times New Roman"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储存方式</w:t>
                  </w:r>
                </w:p>
              </w:tc>
              <w:tc>
                <w:tcPr>
                  <w:tcW w:w="800" w:type="pct"/>
                  <w:tcBorders>
                    <w:bottom w:val="single" w:color="auto" w:sz="12" w:space="0"/>
                  </w:tcBorders>
                  <w:noWrap w:val="0"/>
                  <w:vAlign w:val="center"/>
                </w:tcPr>
                <w:p w14:paraId="72CDCA5B">
                  <w:pPr>
                    <w:adjustRightInd w:val="0"/>
                    <w:snapToGrid w:val="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备注</w:t>
                  </w:r>
                </w:p>
              </w:tc>
            </w:tr>
            <w:tr w14:paraId="3B349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tcBorders>
                    <w:top w:val="single" w:color="auto" w:sz="12" w:space="0"/>
                    <w:tl2br w:val="nil"/>
                    <w:tr2bl w:val="nil"/>
                  </w:tcBorders>
                  <w:noWrap w:val="0"/>
                  <w:vAlign w:val="center"/>
                </w:tcPr>
                <w:p w14:paraId="6B320B66">
                  <w:pPr>
                    <w:adjustRightInd w:val="0"/>
                    <w:snapToGrid w:val="0"/>
                    <w:jc w:val="center"/>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1</w:t>
                  </w:r>
                </w:p>
              </w:tc>
              <w:tc>
                <w:tcPr>
                  <w:tcW w:w="1574" w:type="pct"/>
                  <w:tcBorders>
                    <w:top w:val="single" w:color="auto" w:sz="12" w:space="0"/>
                    <w:tl2br w:val="nil"/>
                    <w:tr2bl w:val="nil"/>
                  </w:tcBorders>
                  <w:noWrap w:val="0"/>
                  <w:vAlign w:val="center"/>
                </w:tcPr>
                <w:p w14:paraId="0ACBAED1">
                  <w:pPr>
                    <w:widowControl/>
                    <w:jc w:val="cente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一次性注射器</w:t>
                  </w:r>
                </w:p>
              </w:tc>
              <w:tc>
                <w:tcPr>
                  <w:tcW w:w="634" w:type="pct"/>
                  <w:tcBorders>
                    <w:top w:val="single" w:color="auto" w:sz="12" w:space="0"/>
                    <w:tl2br w:val="nil"/>
                    <w:tr2bl w:val="nil"/>
                  </w:tcBorders>
                  <w:noWrap w:val="0"/>
                  <w:vAlign w:val="center"/>
                </w:tcPr>
                <w:p w14:paraId="465FF47D">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套</w:t>
                  </w:r>
                </w:p>
              </w:tc>
              <w:tc>
                <w:tcPr>
                  <w:tcW w:w="739" w:type="pct"/>
                  <w:tcBorders>
                    <w:top w:val="single" w:color="auto" w:sz="12" w:space="0"/>
                    <w:tl2br w:val="nil"/>
                    <w:tr2bl w:val="nil"/>
                  </w:tcBorders>
                  <w:noWrap w:val="0"/>
                  <w:vAlign w:val="center"/>
                </w:tcPr>
                <w:p w14:paraId="0FD5C73F">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400</w:t>
                  </w:r>
                </w:p>
              </w:tc>
              <w:tc>
                <w:tcPr>
                  <w:tcW w:w="800" w:type="pct"/>
                  <w:tcBorders>
                    <w:top w:val="single" w:color="auto" w:sz="12" w:space="0"/>
                    <w:tl2br w:val="nil"/>
                    <w:tr2bl w:val="nil"/>
                  </w:tcBorders>
                  <w:noWrap w:val="0"/>
                  <w:vAlign w:val="center"/>
                </w:tcPr>
                <w:p w14:paraId="049D325B">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op w:val="single" w:color="auto" w:sz="12" w:space="0"/>
                    <w:tl2br w:val="nil"/>
                    <w:tr2bl w:val="nil"/>
                  </w:tcBorders>
                  <w:noWrap w:val="0"/>
                  <w:vAlign w:val="center"/>
                </w:tcPr>
                <w:p w14:paraId="695CF1F1">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14:paraId="593E3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00494EBD">
                  <w:pPr>
                    <w:adjustRightInd w:val="0"/>
                    <w:snapToGrid w:val="0"/>
                    <w:jc w:val="center"/>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2</w:t>
                  </w:r>
                </w:p>
              </w:tc>
              <w:tc>
                <w:tcPr>
                  <w:tcW w:w="1574" w:type="pct"/>
                  <w:tcBorders>
                    <w:tl2br w:val="nil"/>
                    <w:tr2bl w:val="nil"/>
                  </w:tcBorders>
                  <w:noWrap w:val="0"/>
                  <w:vAlign w:val="center"/>
                </w:tcPr>
                <w:p w14:paraId="6A65CCAD">
                  <w:pPr>
                    <w:widowControl/>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一次性口罩</w:t>
                  </w:r>
                </w:p>
              </w:tc>
              <w:tc>
                <w:tcPr>
                  <w:tcW w:w="634" w:type="pct"/>
                  <w:tcBorders>
                    <w:tl2br w:val="nil"/>
                    <w:tr2bl w:val="nil"/>
                  </w:tcBorders>
                  <w:noWrap w:val="0"/>
                  <w:vAlign w:val="center"/>
                </w:tcPr>
                <w:p w14:paraId="5D5B37AB">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包</w:t>
                  </w:r>
                </w:p>
              </w:tc>
              <w:tc>
                <w:tcPr>
                  <w:tcW w:w="739" w:type="pct"/>
                  <w:tcBorders>
                    <w:tl2br w:val="nil"/>
                    <w:tr2bl w:val="nil"/>
                  </w:tcBorders>
                  <w:noWrap w:val="0"/>
                  <w:vAlign w:val="center"/>
                </w:tcPr>
                <w:p w14:paraId="6AD0488B">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40</w:t>
                  </w:r>
                </w:p>
              </w:tc>
              <w:tc>
                <w:tcPr>
                  <w:tcW w:w="800" w:type="pct"/>
                  <w:tcBorders>
                    <w:tl2br w:val="nil"/>
                    <w:tr2bl w:val="nil"/>
                  </w:tcBorders>
                  <w:noWrap w:val="0"/>
                  <w:vAlign w:val="center"/>
                </w:tcPr>
                <w:p w14:paraId="6850D137">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167A0D29">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r>
            <w:tr w14:paraId="4838C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1E8E64CD">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w:t>
                  </w:r>
                </w:p>
              </w:tc>
              <w:tc>
                <w:tcPr>
                  <w:tcW w:w="1574" w:type="pct"/>
                  <w:tcBorders>
                    <w:tl2br w:val="nil"/>
                    <w:tr2bl w:val="nil"/>
                  </w:tcBorders>
                  <w:noWrap w:val="0"/>
                  <w:vAlign w:val="center"/>
                </w:tcPr>
                <w:p w14:paraId="61D567E1">
                  <w:pPr>
                    <w:widowControl/>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一次性手套</w:t>
                  </w:r>
                </w:p>
              </w:tc>
              <w:tc>
                <w:tcPr>
                  <w:tcW w:w="634" w:type="pct"/>
                  <w:tcBorders>
                    <w:tl2br w:val="nil"/>
                    <w:tr2bl w:val="nil"/>
                  </w:tcBorders>
                  <w:noWrap w:val="0"/>
                  <w:vAlign w:val="center"/>
                </w:tcPr>
                <w:p w14:paraId="5EDC5D23">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盒</w:t>
                  </w:r>
                </w:p>
              </w:tc>
              <w:tc>
                <w:tcPr>
                  <w:tcW w:w="739" w:type="pct"/>
                  <w:tcBorders>
                    <w:tl2br w:val="nil"/>
                    <w:tr2bl w:val="nil"/>
                  </w:tcBorders>
                  <w:noWrap w:val="0"/>
                  <w:vAlign w:val="center"/>
                </w:tcPr>
                <w:p w14:paraId="325CAAD3">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40</w:t>
                  </w:r>
                </w:p>
              </w:tc>
              <w:tc>
                <w:tcPr>
                  <w:tcW w:w="800" w:type="pct"/>
                  <w:tcBorders>
                    <w:tl2br w:val="nil"/>
                    <w:tr2bl w:val="nil"/>
                  </w:tcBorders>
                  <w:noWrap w:val="0"/>
                  <w:vAlign w:val="center"/>
                </w:tcPr>
                <w:p w14:paraId="553CC439">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1580D279">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14:paraId="54E6A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0DDF9E45">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4</w:t>
                  </w:r>
                </w:p>
              </w:tc>
              <w:tc>
                <w:tcPr>
                  <w:tcW w:w="1574" w:type="pct"/>
                  <w:tcBorders>
                    <w:tl2br w:val="nil"/>
                    <w:tr2bl w:val="nil"/>
                  </w:tcBorders>
                  <w:noWrap w:val="0"/>
                  <w:vAlign w:val="center"/>
                </w:tcPr>
                <w:p w14:paraId="345FC25D">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输液袋</w:t>
                  </w:r>
                </w:p>
              </w:tc>
              <w:tc>
                <w:tcPr>
                  <w:tcW w:w="634" w:type="pct"/>
                  <w:tcBorders>
                    <w:tl2br w:val="nil"/>
                    <w:tr2bl w:val="nil"/>
                  </w:tcBorders>
                  <w:noWrap w:val="0"/>
                  <w:vAlign w:val="center"/>
                </w:tcPr>
                <w:p w14:paraId="126059A3">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个</w:t>
                  </w:r>
                </w:p>
              </w:tc>
              <w:tc>
                <w:tcPr>
                  <w:tcW w:w="739" w:type="pct"/>
                  <w:tcBorders>
                    <w:tl2br w:val="nil"/>
                    <w:tr2bl w:val="nil"/>
                  </w:tcBorders>
                  <w:noWrap w:val="0"/>
                  <w:vAlign w:val="center"/>
                </w:tcPr>
                <w:p w14:paraId="1BF4B40D">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400</w:t>
                  </w:r>
                </w:p>
              </w:tc>
              <w:tc>
                <w:tcPr>
                  <w:tcW w:w="800" w:type="pct"/>
                  <w:tcBorders>
                    <w:tl2br w:val="nil"/>
                    <w:tr2bl w:val="nil"/>
                  </w:tcBorders>
                  <w:noWrap w:val="0"/>
                  <w:vAlign w:val="center"/>
                </w:tcPr>
                <w:p w14:paraId="6982E095">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6167D8B6">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14:paraId="4C18B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3FC96EED">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5</w:t>
                  </w:r>
                </w:p>
              </w:tc>
              <w:tc>
                <w:tcPr>
                  <w:tcW w:w="1574" w:type="pct"/>
                  <w:tcBorders>
                    <w:tl2br w:val="nil"/>
                    <w:tr2bl w:val="nil"/>
                  </w:tcBorders>
                  <w:noWrap w:val="0"/>
                  <w:vAlign w:val="center"/>
                </w:tcPr>
                <w:p w14:paraId="44B79D0B">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兽用血细胞分析溶血剂</w:t>
                  </w:r>
                </w:p>
              </w:tc>
              <w:tc>
                <w:tcPr>
                  <w:tcW w:w="634" w:type="pct"/>
                  <w:tcBorders>
                    <w:tl2br w:val="nil"/>
                    <w:tr2bl w:val="nil"/>
                  </w:tcBorders>
                  <w:noWrap w:val="0"/>
                  <w:vAlign w:val="center"/>
                </w:tcPr>
                <w:p w14:paraId="2971D5EB">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瓶</w:t>
                  </w:r>
                </w:p>
              </w:tc>
              <w:tc>
                <w:tcPr>
                  <w:tcW w:w="739" w:type="pct"/>
                  <w:tcBorders>
                    <w:tl2br w:val="nil"/>
                    <w:tr2bl w:val="nil"/>
                  </w:tcBorders>
                  <w:noWrap w:val="0"/>
                  <w:vAlign w:val="center"/>
                </w:tcPr>
                <w:p w14:paraId="66336564">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w:t>
                  </w:r>
                </w:p>
              </w:tc>
              <w:tc>
                <w:tcPr>
                  <w:tcW w:w="800" w:type="pct"/>
                  <w:tcBorders>
                    <w:tl2br w:val="nil"/>
                    <w:tr2bl w:val="nil"/>
                  </w:tcBorders>
                  <w:noWrap w:val="0"/>
                  <w:vAlign w:val="center"/>
                </w:tcPr>
                <w:p w14:paraId="384502AC">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冰箱</w:t>
                  </w:r>
                </w:p>
              </w:tc>
              <w:tc>
                <w:tcPr>
                  <w:tcW w:w="800" w:type="pct"/>
                  <w:tcBorders>
                    <w:tl2br w:val="nil"/>
                    <w:tr2bl w:val="nil"/>
                  </w:tcBorders>
                  <w:noWrap w:val="0"/>
                  <w:vAlign w:val="center"/>
                </w:tcPr>
                <w:p w14:paraId="55FB9472">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0.1</w:t>
                  </w:r>
                  <w:r>
                    <w:rPr>
                      <w:rFonts w:hint="eastAsia" w:cs="Times New Roman"/>
                      <w:b w:val="0"/>
                      <w:bCs w:val="0"/>
                      <w:color w:val="000000" w:themeColor="text1"/>
                      <w:sz w:val="21"/>
                      <w:szCs w:val="21"/>
                      <w:lang w:val="en-US" w:eastAsia="zh-CN"/>
                      <w14:textFill>
                        <w14:solidFill>
                          <w14:schemeClr w14:val="tx1"/>
                        </w14:solidFill>
                      </w14:textFill>
                    </w:rPr>
                    <w:t>升</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/瓶</w:t>
                  </w:r>
                </w:p>
              </w:tc>
            </w:tr>
            <w:tr w14:paraId="2BDD7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6DBDB371">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6</w:t>
                  </w:r>
                </w:p>
              </w:tc>
              <w:tc>
                <w:tcPr>
                  <w:tcW w:w="1574" w:type="pct"/>
                  <w:tcBorders>
                    <w:tl2br w:val="nil"/>
                    <w:tr2bl w:val="nil"/>
                  </w:tcBorders>
                  <w:noWrap w:val="0"/>
                  <w:vAlign w:val="center"/>
                </w:tcPr>
                <w:p w14:paraId="18C3BBC6">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兽用血细胞分析稀释剂</w:t>
                  </w:r>
                </w:p>
              </w:tc>
              <w:tc>
                <w:tcPr>
                  <w:tcW w:w="634" w:type="pct"/>
                  <w:tcBorders>
                    <w:tl2br w:val="nil"/>
                    <w:tr2bl w:val="nil"/>
                  </w:tcBorders>
                  <w:noWrap w:val="0"/>
                  <w:vAlign w:val="center"/>
                </w:tcPr>
                <w:p w14:paraId="43A7C615">
                  <w:pPr>
                    <w:widowControl/>
                    <w:jc w:val="center"/>
                    <w:textAlignment w:val="bottom"/>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瓶</w:t>
                  </w:r>
                </w:p>
              </w:tc>
              <w:tc>
                <w:tcPr>
                  <w:tcW w:w="739" w:type="pct"/>
                  <w:tcBorders>
                    <w:tl2br w:val="nil"/>
                    <w:tr2bl w:val="nil"/>
                  </w:tcBorders>
                  <w:noWrap w:val="0"/>
                  <w:vAlign w:val="center"/>
                </w:tcPr>
                <w:p w14:paraId="54C6649C">
                  <w:pPr>
                    <w:adjustRightInd w:val="0"/>
                    <w:snapToGrid w:val="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6</w:t>
                  </w:r>
                </w:p>
              </w:tc>
              <w:tc>
                <w:tcPr>
                  <w:tcW w:w="800" w:type="pct"/>
                  <w:tcBorders>
                    <w:tl2br w:val="nil"/>
                    <w:tr2bl w:val="nil"/>
                  </w:tcBorders>
                  <w:noWrap w:val="0"/>
                  <w:vAlign w:val="center"/>
                </w:tcPr>
                <w:p w14:paraId="533F4B10">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冰箱</w:t>
                  </w:r>
                </w:p>
              </w:tc>
              <w:tc>
                <w:tcPr>
                  <w:tcW w:w="800" w:type="pct"/>
                  <w:tcBorders>
                    <w:tl2br w:val="nil"/>
                    <w:tr2bl w:val="nil"/>
                  </w:tcBorders>
                  <w:noWrap w:val="0"/>
                  <w:vAlign w:val="center"/>
                </w:tcPr>
                <w:p w14:paraId="482F1596">
                  <w:pPr>
                    <w:adjustRightInd w:val="0"/>
                    <w:snapToGrid w:val="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0.5</w:t>
                  </w:r>
                  <w:r>
                    <w:rPr>
                      <w:rFonts w:hint="eastAsia" w:cs="Times New Roman"/>
                      <w:b w:val="0"/>
                      <w:bCs w:val="0"/>
                      <w:color w:val="000000" w:themeColor="text1"/>
                      <w:sz w:val="21"/>
                      <w:szCs w:val="21"/>
                      <w:lang w:val="en-US" w:eastAsia="zh-CN"/>
                      <w14:textFill>
                        <w14:solidFill>
                          <w14:schemeClr w14:val="tx1"/>
                        </w14:solidFill>
                      </w14:textFill>
                    </w:rPr>
                    <w:t>升</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/瓶</w:t>
                  </w:r>
                </w:p>
              </w:tc>
            </w:tr>
            <w:tr w14:paraId="22EEA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6DCDADB4">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7</w:t>
                  </w:r>
                </w:p>
              </w:tc>
              <w:tc>
                <w:tcPr>
                  <w:tcW w:w="1574" w:type="pct"/>
                  <w:tcBorders>
                    <w:tl2br w:val="nil"/>
                    <w:tr2bl w:val="nil"/>
                  </w:tcBorders>
                  <w:noWrap w:val="0"/>
                  <w:vAlign w:val="center"/>
                </w:tcPr>
                <w:p w14:paraId="069A32AF">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惠中感康</w:t>
                  </w:r>
                </w:p>
              </w:tc>
              <w:tc>
                <w:tcPr>
                  <w:tcW w:w="634" w:type="pct"/>
                  <w:tcBorders>
                    <w:tl2br w:val="nil"/>
                    <w:tr2bl w:val="nil"/>
                  </w:tcBorders>
                  <w:noWrap w:val="0"/>
                  <w:vAlign w:val="center"/>
                </w:tcPr>
                <w:p w14:paraId="7399905A">
                  <w:pPr>
                    <w:widowControl/>
                    <w:jc w:val="center"/>
                    <w:textAlignment w:val="bottom"/>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瓶</w:t>
                  </w:r>
                </w:p>
              </w:tc>
              <w:tc>
                <w:tcPr>
                  <w:tcW w:w="739" w:type="pct"/>
                  <w:tcBorders>
                    <w:tl2br w:val="nil"/>
                    <w:tr2bl w:val="nil"/>
                  </w:tcBorders>
                  <w:noWrap w:val="0"/>
                  <w:vAlign w:val="center"/>
                </w:tcPr>
                <w:p w14:paraId="23C97042">
                  <w:pPr>
                    <w:adjustRightInd w:val="0"/>
                    <w:snapToGrid w:val="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40</w:t>
                  </w:r>
                </w:p>
              </w:tc>
              <w:tc>
                <w:tcPr>
                  <w:tcW w:w="800" w:type="pct"/>
                  <w:tcBorders>
                    <w:tl2br w:val="nil"/>
                    <w:tr2bl w:val="nil"/>
                  </w:tcBorders>
                  <w:noWrap w:val="0"/>
                  <w:vAlign w:val="center"/>
                </w:tcPr>
                <w:p w14:paraId="5B43EFCE">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12EE95F0">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14:paraId="6F24D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4F4B50DB">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8</w:t>
                  </w:r>
                </w:p>
              </w:tc>
              <w:tc>
                <w:tcPr>
                  <w:tcW w:w="1574" w:type="pct"/>
                  <w:tcBorders>
                    <w:tl2br w:val="nil"/>
                    <w:tr2bl w:val="nil"/>
                  </w:tcBorders>
                  <w:noWrap w:val="0"/>
                  <w:vAlign w:val="center"/>
                </w:tcPr>
                <w:p w14:paraId="244BCFE5">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速诺（阿莫西林克拉维酸钾）</w:t>
                  </w:r>
                </w:p>
              </w:tc>
              <w:tc>
                <w:tcPr>
                  <w:tcW w:w="634" w:type="pct"/>
                  <w:tcBorders>
                    <w:tl2br w:val="nil"/>
                    <w:tr2bl w:val="nil"/>
                  </w:tcBorders>
                  <w:noWrap w:val="0"/>
                  <w:vAlign w:val="center"/>
                </w:tcPr>
                <w:p w14:paraId="7B7114FF">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粒</w:t>
                  </w:r>
                </w:p>
              </w:tc>
              <w:tc>
                <w:tcPr>
                  <w:tcW w:w="739" w:type="pct"/>
                  <w:tcBorders>
                    <w:tl2br w:val="nil"/>
                    <w:tr2bl w:val="nil"/>
                  </w:tcBorders>
                  <w:noWrap w:val="0"/>
                  <w:vAlign w:val="center"/>
                </w:tcPr>
                <w:p w14:paraId="08704228">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100</w:t>
                  </w:r>
                </w:p>
              </w:tc>
              <w:tc>
                <w:tcPr>
                  <w:tcW w:w="800" w:type="pct"/>
                  <w:tcBorders>
                    <w:tl2br w:val="nil"/>
                    <w:tr2bl w:val="nil"/>
                  </w:tcBorders>
                  <w:noWrap w:val="0"/>
                  <w:vAlign w:val="center"/>
                </w:tcPr>
                <w:p w14:paraId="5E93BF71">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1754A233">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14:paraId="5739E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30E57043">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9</w:t>
                  </w:r>
                </w:p>
              </w:tc>
              <w:tc>
                <w:tcPr>
                  <w:tcW w:w="1574" w:type="pct"/>
                  <w:tcBorders>
                    <w:tl2br w:val="nil"/>
                    <w:tr2bl w:val="nil"/>
                  </w:tcBorders>
                  <w:noWrap w:val="0"/>
                  <w:vAlign w:val="center"/>
                </w:tcPr>
                <w:p w14:paraId="27CE2472">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乐利鲜（头孢氨苄）</w:t>
                  </w:r>
                </w:p>
              </w:tc>
              <w:tc>
                <w:tcPr>
                  <w:tcW w:w="634" w:type="pct"/>
                  <w:tcBorders>
                    <w:tl2br w:val="nil"/>
                    <w:tr2bl w:val="nil"/>
                  </w:tcBorders>
                  <w:noWrap w:val="0"/>
                  <w:vAlign w:val="center"/>
                </w:tcPr>
                <w:p w14:paraId="72E05A90">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粒</w:t>
                  </w:r>
                </w:p>
              </w:tc>
              <w:tc>
                <w:tcPr>
                  <w:tcW w:w="739" w:type="pct"/>
                  <w:tcBorders>
                    <w:tl2br w:val="nil"/>
                    <w:tr2bl w:val="nil"/>
                  </w:tcBorders>
                  <w:noWrap w:val="0"/>
                  <w:vAlign w:val="center"/>
                </w:tcPr>
                <w:p w14:paraId="01701FF5">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300</w:t>
                  </w:r>
                </w:p>
              </w:tc>
              <w:tc>
                <w:tcPr>
                  <w:tcW w:w="800" w:type="pct"/>
                  <w:tcBorders>
                    <w:tl2br w:val="nil"/>
                    <w:tr2bl w:val="nil"/>
                  </w:tcBorders>
                  <w:noWrap w:val="0"/>
                  <w:vAlign w:val="center"/>
                </w:tcPr>
                <w:p w14:paraId="4E285078">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52F42DF4">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14:paraId="558C4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414B9A5C">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w:t>
                  </w:r>
                </w:p>
              </w:tc>
              <w:tc>
                <w:tcPr>
                  <w:tcW w:w="1574" w:type="pct"/>
                  <w:tcBorders>
                    <w:tl2br w:val="nil"/>
                    <w:tr2bl w:val="nil"/>
                  </w:tcBorders>
                  <w:noWrap w:val="0"/>
                  <w:vAlign w:val="center"/>
                </w:tcPr>
                <w:p w14:paraId="1C785D6A">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咳喘宁片剂（多西环素）</w:t>
                  </w:r>
                </w:p>
              </w:tc>
              <w:tc>
                <w:tcPr>
                  <w:tcW w:w="634" w:type="pct"/>
                  <w:tcBorders>
                    <w:tl2br w:val="nil"/>
                    <w:tr2bl w:val="nil"/>
                  </w:tcBorders>
                  <w:noWrap w:val="0"/>
                  <w:vAlign w:val="center"/>
                </w:tcPr>
                <w:p w14:paraId="4F972D24">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片</w:t>
                  </w:r>
                </w:p>
              </w:tc>
              <w:tc>
                <w:tcPr>
                  <w:tcW w:w="739" w:type="pct"/>
                  <w:tcBorders>
                    <w:tl2br w:val="nil"/>
                    <w:tr2bl w:val="nil"/>
                  </w:tcBorders>
                  <w:noWrap w:val="0"/>
                  <w:vAlign w:val="center"/>
                </w:tcPr>
                <w:p w14:paraId="42A465C5">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300</w:t>
                  </w:r>
                </w:p>
              </w:tc>
              <w:tc>
                <w:tcPr>
                  <w:tcW w:w="800" w:type="pct"/>
                  <w:tcBorders>
                    <w:tl2br w:val="nil"/>
                    <w:tr2bl w:val="nil"/>
                  </w:tcBorders>
                  <w:noWrap w:val="0"/>
                  <w:vAlign w:val="center"/>
                </w:tcPr>
                <w:p w14:paraId="61205763">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7236D146">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14:paraId="27A1E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50" w:type="pct"/>
                  <w:tcBorders>
                    <w:tl2br w:val="nil"/>
                    <w:tr2bl w:val="nil"/>
                  </w:tcBorders>
                  <w:noWrap w:val="0"/>
                  <w:vAlign w:val="center"/>
                </w:tcPr>
                <w:p w14:paraId="297957C4">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11</w:t>
                  </w:r>
                </w:p>
              </w:tc>
              <w:tc>
                <w:tcPr>
                  <w:tcW w:w="1574" w:type="pct"/>
                  <w:tcBorders>
                    <w:tl2br w:val="nil"/>
                    <w:tr2bl w:val="nil"/>
                  </w:tcBorders>
                  <w:noWrap w:val="0"/>
                  <w:vAlign w:val="center"/>
                </w:tcPr>
                <w:p w14:paraId="4B206825">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硫酸新霉素</w:t>
                  </w:r>
                </w:p>
              </w:tc>
              <w:tc>
                <w:tcPr>
                  <w:tcW w:w="634" w:type="pct"/>
                  <w:tcBorders>
                    <w:tl2br w:val="nil"/>
                    <w:tr2bl w:val="nil"/>
                  </w:tcBorders>
                  <w:noWrap w:val="0"/>
                  <w:vAlign w:val="center"/>
                </w:tcPr>
                <w:p w14:paraId="2D78B208">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片</w:t>
                  </w:r>
                </w:p>
              </w:tc>
              <w:tc>
                <w:tcPr>
                  <w:tcW w:w="739" w:type="pct"/>
                  <w:tcBorders>
                    <w:tl2br w:val="nil"/>
                    <w:tr2bl w:val="nil"/>
                  </w:tcBorders>
                  <w:noWrap w:val="0"/>
                  <w:vAlign w:val="center"/>
                </w:tcPr>
                <w:p w14:paraId="004306FB">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100</w:t>
                  </w:r>
                </w:p>
              </w:tc>
              <w:tc>
                <w:tcPr>
                  <w:tcW w:w="800" w:type="pct"/>
                  <w:tcBorders>
                    <w:tl2br w:val="nil"/>
                    <w:tr2bl w:val="nil"/>
                  </w:tcBorders>
                  <w:noWrap w:val="0"/>
                  <w:vAlign w:val="center"/>
                </w:tcPr>
                <w:p w14:paraId="22ED5D90">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3BC153C2">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14:paraId="7D18D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6252DA2C">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12</w:t>
                  </w:r>
                </w:p>
              </w:tc>
              <w:tc>
                <w:tcPr>
                  <w:tcW w:w="1574" w:type="pct"/>
                  <w:tcBorders>
                    <w:tl2br w:val="nil"/>
                    <w:tr2bl w:val="nil"/>
                  </w:tcBorders>
                  <w:noWrap w:val="0"/>
                  <w:vAlign w:val="center"/>
                </w:tcPr>
                <w:p w14:paraId="783E0589">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头孢噻呋</w:t>
                  </w:r>
                </w:p>
              </w:tc>
              <w:tc>
                <w:tcPr>
                  <w:tcW w:w="634" w:type="pct"/>
                  <w:tcBorders>
                    <w:tl2br w:val="nil"/>
                    <w:tr2bl w:val="nil"/>
                  </w:tcBorders>
                  <w:noWrap w:val="0"/>
                  <w:vAlign w:val="center"/>
                </w:tcPr>
                <w:p w14:paraId="0E29F4D4">
                  <w:pPr>
                    <w:widowControl/>
                    <w:jc w:val="center"/>
                    <w:textAlignment w:val="bottom"/>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粒</w:t>
                  </w:r>
                </w:p>
              </w:tc>
              <w:tc>
                <w:tcPr>
                  <w:tcW w:w="739" w:type="pct"/>
                  <w:tcBorders>
                    <w:tl2br w:val="nil"/>
                    <w:tr2bl w:val="nil"/>
                  </w:tcBorders>
                  <w:noWrap w:val="0"/>
                  <w:vAlign w:val="center"/>
                </w:tcPr>
                <w:p w14:paraId="62508A86">
                  <w:pPr>
                    <w:adjustRightInd w:val="0"/>
                    <w:snapToGrid w:val="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280</w:t>
                  </w:r>
                </w:p>
              </w:tc>
              <w:tc>
                <w:tcPr>
                  <w:tcW w:w="800" w:type="pct"/>
                  <w:tcBorders>
                    <w:tl2br w:val="nil"/>
                    <w:tr2bl w:val="nil"/>
                  </w:tcBorders>
                  <w:noWrap w:val="0"/>
                  <w:vAlign w:val="center"/>
                </w:tcPr>
                <w:p w14:paraId="38A7A5BB">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2C79D51F">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14:paraId="1C943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729882BD">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13</w:t>
                  </w:r>
                </w:p>
              </w:tc>
              <w:tc>
                <w:tcPr>
                  <w:tcW w:w="1574" w:type="pct"/>
                  <w:tcBorders>
                    <w:tl2br w:val="nil"/>
                    <w:tr2bl w:val="nil"/>
                  </w:tcBorders>
                  <w:noWrap w:val="0"/>
                  <w:vAlign w:val="center"/>
                </w:tcPr>
                <w:p w14:paraId="655C4A07">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碘伏</w:t>
                  </w:r>
                </w:p>
              </w:tc>
              <w:tc>
                <w:tcPr>
                  <w:tcW w:w="634" w:type="pct"/>
                  <w:tcBorders>
                    <w:tl2br w:val="nil"/>
                    <w:tr2bl w:val="nil"/>
                  </w:tcBorders>
                  <w:noWrap w:val="0"/>
                  <w:vAlign w:val="center"/>
                </w:tcPr>
                <w:p w14:paraId="2DA2F5D1">
                  <w:pPr>
                    <w:widowControl/>
                    <w:jc w:val="center"/>
                    <w:textAlignment w:val="bottom"/>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瓶</w:t>
                  </w:r>
                </w:p>
              </w:tc>
              <w:tc>
                <w:tcPr>
                  <w:tcW w:w="739" w:type="pct"/>
                  <w:tcBorders>
                    <w:tl2br w:val="nil"/>
                    <w:tr2bl w:val="nil"/>
                  </w:tcBorders>
                  <w:noWrap w:val="0"/>
                  <w:vAlign w:val="center"/>
                </w:tcPr>
                <w:p w14:paraId="0EA3A76F">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100</w:t>
                  </w:r>
                </w:p>
              </w:tc>
              <w:tc>
                <w:tcPr>
                  <w:tcW w:w="800" w:type="pct"/>
                  <w:tcBorders>
                    <w:tl2br w:val="nil"/>
                    <w:tr2bl w:val="nil"/>
                  </w:tcBorders>
                  <w:noWrap w:val="0"/>
                  <w:vAlign w:val="center"/>
                </w:tcPr>
                <w:p w14:paraId="243DEE43">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4950D879">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r>
            <w:tr w14:paraId="7CE79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39D5986A">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14</w:t>
                  </w:r>
                </w:p>
              </w:tc>
              <w:tc>
                <w:tcPr>
                  <w:tcW w:w="1574" w:type="pct"/>
                  <w:tcBorders>
                    <w:tl2br w:val="nil"/>
                    <w:tr2bl w:val="nil"/>
                  </w:tcBorders>
                  <w:noWrap w:val="0"/>
                  <w:vAlign w:val="center"/>
                </w:tcPr>
                <w:p w14:paraId="60F41D26">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酒精</w:t>
                  </w:r>
                </w:p>
              </w:tc>
              <w:tc>
                <w:tcPr>
                  <w:tcW w:w="634" w:type="pct"/>
                  <w:tcBorders>
                    <w:tl2br w:val="nil"/>
                    <w:tr2bl w:val="nil"/>
                  </w:tcBorders>
                  <w:noWrap w:val="0"/>
                  <w:vAlign w:val="center"/>
                </w:tcPr>
                <w:p w14:paraId="5EDC1FA8">
                  <w:pPr>
                    <w:widowControl/>
                    <w:jc w:val="center"/>
                    <w:textAlignment w:val="bottom"/>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瓶</w:t>
                  </w:r>
                </w:p>
              </w:tc>
              <w:tc>
                <w:tcPr>
                  <w:tcW w:w="739" w:type="pct"/>
                  <w:tcBorders>
                    <w:tl2br w:val="nil"/>
                    <w:tr2bl w:val="nil"/>
                  </w:tcBorders>
                  <w:noWrap w:val="0"/>
                  <w:vAlign w:val="center"/>
                </w:tcPr>
                <w:p w14:paraId="2120CD6E">
                  <w:pPr>
                    <w:adjustRightInd w:val="0"/>
                    <w:snapToGrid w:val="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10</w:t>
                  </w:r>
                </w:p>
              </w:tc>
              <w:tc>
                <w:tcPr>
                  <w:tcW w:w="800" w:type="pct"/>
                  <w:tcBorders>
                    <w:tl2br w:val="nil"/>
                    <w:tr2bl w:val="nil"/>
                  </w:tcBorders>
                  <w:noWrap w:val="0"/>
                  <w:vAlign w:val="center"/>
                </w:tcPr>
                <w:p w14:paraId="345AFF13">
                  <w:pPr>
                    <w:adjustRightInd w:val="0"/>
                    <w:snapToGrid w:val="0"/>
                    <w:jc w:val="center"/>
                    <w:rPr>
                      <w:rFonts w:hint="eastAsia"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7F8F3E74">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500</w:t>
                  </w:r>
                  <w:r>
                    <w:rPr>
                      <w:rFonts w:hint="eastAsia" w:cs="Times New Roman"/>
                      <w:b w:val="0"/>
                      <w:bCs w:val="0"/>
                      <w:color w:val="000000" w:themeColor="text1"/>
                      <w:sz w:val="21"/>
                      <w:szCs w:val="21"/>
                      <w:lang w:val="en-US" w:eastAsia="zh-CN"/>
                      <w14:textFill>
                        <w14:solidFill>
                          <w14:schemeClr w14:val="tx1"/>
                        </w14:solidFill>
                      </w14:textFill>
                    </w:rPr>
                    <w:t>毫升</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/瓶</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，最大储存量2瓶</w:t>
                  </w:r>
                </w:p>
              </w:tc>
            </w:tr>
            <w:tr w14:paraId="7239B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50" w:type="pct"/>
                  <w:tcBorders>
                    <w:tl2br w:val="nil"/>
                    <w:tr2bl w:val="nil"/>
                  </w:tcBorders>
                  <w:noWrap w:val="0"/>
                  <w:vAlign w:val="center"/>
                </w:tcPr>
                <w:p w14:paraId="41B4B29E">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15</w:t>
                  </w:r>
                </w:p>
              </w:tc>
              <w:tc>
                <w:tcPr>
                  <w:tcW w:w="1574" w:type="pct"/>
                  <w:tcBorders>
                    <w:tl2br w:val="nil"/>
                    <w:tr2bl w:val="nil"/>
                  </w:tcBorders>
                  <w:noWrap w:val="0"/>
                  <w:vAlign w:val="center"/>
                </w:tcPr>
                <w:p w14:paraId="42B20821">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二氧化氯</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消毒片</w:t>
                  </w:r>
                </w:p>
              </w:tc>
              <w:tc>
                <w:tcPr>
                  <w:tcW w:w="634" w:type="pct"/>
                  <w:tcBorders>
                    <w:tl2br w:val="nil"/>
                    <w:tr2bl w:val="nil"/>
                  </w:tcBorders>
                  <w:noWrap w:val="0"/>
                  <w:vAlign w:val="center"/>
                </w:tcPr>
                <w:p w14:paraId="3EB57690">
                  <w:pPr>
                    <w:widowControl/>
                    <w:jc w:val="center"/>
                    <w:textAlignment w:val="bottom"/>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瓶</w:t>
                  </w:r>
                </w:p>
              </w:tc>
              <w:tc>
                <w:tcPr>
                  <w:tcW w:w="739" w:type="pct"/>
                  <w:tcBorders>
                    <w:tl2br w:val="nil"/>
                    <w:tr2bl w:val="nil"/>
                  </w:tcBorders>
                  <w:noWrap w:val="0"/>
                  <w:vAlign w:val="center"/>
                </w:tcPr>
                <w:p w14:paraId="57E174DD">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w:t>
                  </w:r>
                </w:p>
              </w:tc>
              <w:tc>
                <w:tcPr>
                  <w:tcW w:w="800" w:type="pct"/>
                  <w:tcBorders>
                    <w:tl2br w:val="nil"/>
                    <w:tr2bl w:val="nil"/>
                  </w:tcBorders>
                  <w:noWrap w:val="0"/>
                  <w:vAlign w:val="center"/>
                </w:tcPr>
                <w:p w14:paraId="6F8D1578">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储物柜</w:t>
                  </w:r>
                </w:p>
              </w:tc>
              <w:tc>
                <w:tcPr>
                  <w:tcW w:w="800" w:type="pct"/>
                  <w:tcBorders>
                    <w:tl2br w:val="nil"/>
                    <w:tr2bl w:val="nil"/>
                  </w:tcBorders>
                  <w:noWrap w:val="0"/>
                  <w:vAlign w:val="center"/>
                </w:tcPr>
                <w:p w14:paraId="427EC24E">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100片/瓶，净重200克</w:t>
                  </w:r>
                </w:p>
              </w:tc>
            </w:tr>
            <w:tr w14:paraId="589A5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63EB35D3">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16</w:t>
                  </w:r>
                </w:p>
              </w:tc>
              <w:tc>
                <w:tcPr>
                  <w:tcW w:w="1574" w:type="pct"/>
                  <w:tcBorders>
                    <w:tl2br w:val="nil"/>
                    <w:tr2bl w:val="nil"/>
                  </w:tcBorders>
                  <w:noWrap w:val="0"/>
                  <w:vAlign w:val="center"/>
                </w:tcPr>
                <w:p w14:paraId="4BD23BF4">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新鲜水</w:t>
                  </w:r>
                </w:p>
              </w:tc>
              <w:tc>
                <w:tcPr>
                  <w:tcW w:w="634" w:type="pct"/>
                  <w:tcBorders>
                    <w:tl2br w:val="nil"/>
                    <w:tr2bl w:val="nil"/>
                  </w:tcBorders>
                  <w:noWrap w:val="0"/>
                  <w:vAlign w:val="center"/>
                </w:tcPr>
                <w:p w14:paraId="3B5999D0">
                  <w:pPr>
                    <w:widowControl/>
                    <w:jc w:val="center"/>
                    <w:textAlignment w:val="bottom"/>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立方米/年</w:t>
                  </w:r>
                </w:p>
              </w:tc>
              <w:tc>
                <w:tcPr>
                  <w:tcW w:w="739" w:type="pct"/>
                  <w:tcBorders>
                    <w:tl2br w:val="nil"/>
                    <w:tr2bl w:val="nil"/>
                  </w:tcBorders>
                  <w:noWrap w:val="0"/>
                  <w:vAlign w:val="center"/>
                </w:tcPr>
                <w:p w14:paraId="7D340FD4">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110.4</w:t>
                  </w:r>
                </w:p>
              </w:tc>
              <w:tc>
                <w:tcPr>
                  <w:tcW w:w="800" w:type="pct"/>
                  <w:tcBorders>
                    <w:tl2br w:val="nil"/>
                    <w:tr2bl w:val="nil"/>
                  </w:tcBorders>
                  <w:noWrap w:val="0"/>
                  <w:vAlign w:val="center"/>
                </w:tcPr>
                <w:p w14:paraId="39B696D7">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管道</w:t>
                  </w:r>
                </w:p>
              </w:tc>
              <w:tc>
                <w:tcPr>
                  <w:tcW w:w="800" w:type="pct"/>
                  <w:tcBorders>
                    <w:tl2br w:val="nil"/>
                    <w:tr2bl w:val="nil"/>
                  </w:tcBorders>
                  <w:noWrap w:val="0"/>
                  <w:vAlign w:val="center"/>
                </w:tcPr>
                <w:p w14:paraId="54424D0A">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市政供水</w:t>
                  </w:r>
                </w:p>
              </w:tc>
            </w:tr>
            <w:tr w14:paraId="54F98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36887044">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17</w:t>
                  </w:r>
                </w:p>
              </w:tc>
              <w:tc>
                <w:tcPr>
                  <w:tcW w:w="1574" w:type="pct"/>
                  <w:tcBorders>
                    <w:tl2br w:val="nil"/>
                    <w:tr2bl w:val="nil"/>
                  </w:tcBorders>
                  <w:noWrap w:val="0"/>
                  <w:vAlign w:val="center"/>
                </w:tcPr>
                <w:p w14:paraId="54177043">
                  <w:pPr>
                    <w:widowControl/>
                    <w:jc w:val="cente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电</w:t>
                  </w:r>
                </w:p>
              </w:tc>
              <w:tc>
                <w:tcPr>
                  <w:tcW w:w="634" w:type="pct"/>
                  <w:tcBorders>
                    <w:tl2br w:val="nil"/>
                    <w:tr2bl w:val="nil"/>
                  </w:tcBorders>
                  <w:noWrap w:val="0"/>
                  <w:vAlign w:val="center"/>
                </w:tcPr>
                <w:p w14:paraId="6840AB13">
                  <w:pPr>
                    <w:widowControl/>
                    <w:jc w:val="center"/>
                    <w:textAlignment w:val="bottom"/>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千瓦时/年</w:t>
                  </w:r>
                </w:p>
              </w:tc>
              <w:tc>
                <w:tcPr>
                  <w:tcW w:w="739" w:type="pct"/>
                  <w:tcBorders>
                    <w:tl2br w:val="nil"/>
                    <w:tr2bl w:val="nil"/>
                  </w:tcBorders>
                  <w:noWrap w:val="0"/>
                  <w:vAlign w:val="center"/>
                </w:tcPr>
                <w:p w14:paraId="3ED3B16C">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6500</w:t>
                  </w:r>
                </w:p>
              </w:tc>
              <w:tc>
                <w:tcPr>
                  <w:tcW w:w="800" w:type="pct"/>
                  <w:tcBorders>
                    <w:tl2br w:val="nil"/>
                    <w:tr2bl w:val="nil"/>
                  </w:tcBorders>
                  <w:noWrap w:val="0"/>
                  <w:vAlign w:val="center"/>
                </w:tcPr>
                <w:p w14:paraId="4F96F417">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800" w:type="pct"/>
                  <w:tcBorders>
                    <w:tl2br w:val="nil"/>
                    <w:tr2bl w:val="nil"/>
                  </w:tcBorders>
                  <w:noWrap w:val="0"/>
                  <w:vAlign w:val="center"/>
                </w:tcPr>
                <w:p w14:paraId="34B70008">
                  <w:pPr>
                    <w:adjustRightInd w:val="0"/>
                    <w:snapToGrid w:val="0"/>
                    <w:jc w:val="center"/>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市政供电</w:t>
                  </w:r>
                </w:p>
              </w:tc>
            </w:tr>
          </w:tbl>
          <w:p w14:paraId="7202DE4B">
            <w:pPr>
              <w:pStyle w:val="5"/>
              <w:numPr>
                <w:ilvl w:val="0"/>
                <w:numId w:val="0"/>
              </w:numPr>
              <w:spacing w:line="360" w:lineRule="auto"/>
              <w:jc w:val="both"/>
              <w:outlineLvl w:val="1"/>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5</w:t>
            </w:r>
            <w:r>
              <w:rPr>
                <w:rFonts w:hint="eastAsia" w:cs="Times New Roman"/>
                <w:b/>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公用工程</w:t>
            </w:r>
          </w:p>
          <w:p w14:paraId="784481FD">
            <w:pPr>
              <w:pStyle w:val="5"/>
              <w:numPr>
                <w:ilvl w:val="0"/>
                <w:numId w:val="0"/>
              </w:numPr>
              <w:spacing w:line="360" w:lineRule="auto"/>
              <w:jc w:val="both"/>
              <w:outlineLvl w:val="1"/>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color w:val="000000" w:themeColor="text1"/>
                <w:kern w:val="2"/>
                <w:sz w:val="24"/>
                <w:szCs w:val="24"/>
                <w:lang w:val="en-US" w:eastAsia="zh-CN" w:bidi="ar-SA"/>
                <w14:textFill>
                  <w14:solidFill>
                    <w14:schemeClr w14:val="tx1"/>
                  </w14:solidFill>
                </w14:textFill>
              </w:rPr>
              <w:t>5.1 供电</w:t>
            </w:r>
          </w:p>
          <w:p w14:paraId="4EED24BA">
            <w:pPr>
              <w:pStyle w:val="3"/>
              <w:spacing w:line="360" w:lineRule="auto"/>
              <w:ind w:firstLine="480"/>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eastAsia="zh-CN"/>
                <w14:textFill>
                  <w14:solidFill>
                    <w14:schemeClr w14:val="tx1"/>
                  </w14:solidFill>
                </w14:textFill>
              </w:rPr>
              <w:t>供电由</w:t>
            </w:r>
            <w:r>
              <w:rPr>
                <w:rFonts w:hint="default" w:ascii="Times New Roman" w:hAnsi="Times New Roman" w:cs="Times New Roman"/>
                <w:color w:val="000000" w:themeColor="text1"/>
                <w:lang w:val="en-US" w:eastAsia="zh-CN"/>
                <w14:textFill>
                  <w14:solidFill>
                    <w14:schemeClr w14:val="tx1"/>
                  </w14:solidFill>
                </w14:textFill>
              </w:rPr>
              <w:t>市政电网</w:t>
            </w:r>
            <w:r>
              <w:rPr>
                <w:rFonts w:hint="default" w:ascii="Times New Roman" w:hAnsi="Times New Roman" w:cs="Times New Roman"/>
                <w:color w:val="000000" w:themeColor="text1"/>
                <w:lang w:eastAsia="zh-CN"/>
                <w14:textFill>
                  <w14:solidFill>
                    <w14:schemeClr w14:val="tx1"/>
                  </w14:solidFill>
                </w14:textFill>
              </w:rPr>
              <w:t>供给</w:t>
            </w:r>
            <w:r>
              <w:rPr>
                <w:rFonts w:hint="default" w:ascii="Times New Roman" w:hAnsi="Times New Roman" w:cs="Times New Roman"/>
                <w:color w:val="000000" w:themeColor="text1"/>
                <w14:textFill>
                  <w14:solidFill>
                    <w14:schemeClr w14:val="tx1"/>
                  </w14:solidFill>
                </w14:textFill>
              </w:rPr>
              <w:t>，能满足用电需求</w:t>
            </w:r>
            <w:r>
              <w:rPr>
                <w:rFonts w:hint="default" w:ascii="Times New Roman" w:hAnsi="Times New Roman" w:cs="Times New Roman"/>
                <w:color w:val="000000" w:themeColor="text1"/>
                <w:lang w:eastAsia="zh-CN"/>
                <w14:textFill>
                  <w14:solidFill>
                    <w14:schemeClr w14:val="tx1"/>
                  </w14:solidFill>
                </w14:textFill>
              </w:rPr>
              <w:t>。</w:t>
            </w:r>
          </w:p>
          <w:p w14:paraId="10D150BD">
            <w:pPr>
              <w:pStyle w:val="6"/>
              <w:spacing w:line="360" w:lineRule="auto"/>
              <w:jc w:val="both"/>
              <w:outlineLvl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.2 给排水</w:t>
            </w:r>
          </w:p>
          <w:p w14:paraId="339C74B2">
            <w:pPr>
              <w:pStyle w:val="3"/>
              <w:spacing w:line="360" w:lineRule="auto"/>
              <w:ind w:left="0" w:leftChars="0" w:firstLine="0" w:firstLineChars="0"/>
              <w:jc w:val="both"/>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5.2.1 给水</w:t>
            </w:r>
          </w:p>
          <w:p w14:paraId="3C95ACD1">
            <w:pPr>
              <w:pStyle w:val="3"/>
              <w:spacing w:line="360" w:lineRule="auto"/>
              <w:ind w:firstLine="48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项目运营期用水依托市政给水</w:t>
            </w:r>
            <w:r>
              <w:rPr>
                <w:rFonts w:hint="eastAsia" w:cs="Times New Roman"/>
                <w:bCs/>
                <w:color w:val="000000" w:themeColor="text1"/>
                <w:sz w:val="24"/>
                <w:szCs w:val="24"/>
                <w:lang w:val="en-US" w:eastAsia="zh-CN"/>
                <w14:textFill>
                  <w14:solidFill>
                    <w14:schemeClr w14:val="tx1"/>
                  </w14:solidFill>
                </w14:textFill>
              </w:rPr>
              <w:t>管网</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，主要为生活用水、</w:t>
            </w:r>
            <w:r>
              <w:rPr>
                <w:rFonts w:hint="eastAsia" w:cs="Times New Roman"/>
                <w:bCs/>
                <w:color w:val="000000" w:themeColor="text1"/>
                <w:sz w:val="24"/>
                <w:szCs w:val="24"/>
                <w:lang w:val="en-US" w:eastAsia="zh-CN"/>
                <w14:textFill>
                  <w14:solidFill>
                    <w14:schemeClr w14:val="tx1"/>
                  </w14:solidFill>
                </w14:textFill>
              </w:rPr>
              <w:t>医疗</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用水、动物美容用水、动物笼清洗用水</w:t>
            </w:r>
            <w:r>
              <w:rPr>
                <w:rFonts w:hint="default" w:ascii="Times New Roman" w:hAnsi="Times New Roman" w:cs="Times New Roman"/>
                <w:color w:val="000000" w:themeColor="text1"/>
                <w:lang w:val="en-US" w:eastAsia="zh-CN"/>
                <w14:textFill>
                  <w14:solidFill>
                    <w14:schemeClr w14:val="tx1"/>
                  </w14:solidFill>
                </w14:textFill>
              </w:rPr>
              <w:t>。</w:t>
            </w:r>
          </w:p>
          <w:p w14:paraId="5B3513EC">
            <w:pPr>
              <w:pStyle w:val="3"/>
              <w:ind w:firstLine="480"/>
              <w:jc w:val="both"/>
              <w:rPr>
                <w:rFonts w:hint="eastAsia"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①</w:t>
            </w:r>
            <w:r>
              <w:rPr>
                <w:rFonts w:hint="eastAsia" w:cs="Times New Roman"/>
                <w:bCs/>
                <w:color w:val="000000" w:themeColor="text1"/>
                <w:szCs w:val="21"/>
                <w:lang w:val="en-US" w:eastAsia="zh-CN"/>
                <w14:textFill>
                  <w14:solidFill>
                    <w14:schemeClr w14:val="tx1"/>
                  </w14:solidFill>
                </w14:textFill>
              </w:rPr>
              <w:t>医疗</w:t>
            </w:r>
            <w:r>
              <w:rPr>
                <w:rFonts w:hint="default" w:ascii="Times New Roman" w:hAnsi="Times New Roman" w:eastAsia="宋体" w:cs="Times New Roman"/>
                <w:bCs/>
                <w:color w:val="000000" w:themeColor="text1"/>
                <w:szCs w:val="21"/>
                <w:lang w:val="en-US" w:eastAsia="zh-CN"/>
                <w14:textFill>
                  <w14:solidFill>
                    <w14:schemeClr w14:val="tx1"/>
                  </w14:solidFill>
                </w14:textFill>
              </w:rPr>
              <w:t>用水</w:t>
            </w:r>
          </w:p>
          <w:p w14:paraId="10044D74">
            <w:pPr>
              <w:pStyle w:val="3"/>
              <w:ind w:firstLine="480"/>
              <w:jc w:val="both"/>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门诊用水：</w:t>
            </w:r>
            <w:r>
              <w:rPr>
                <w:rFonts w:hint="default" w:ascii="Times New Roman" w:hAnsi="Times New Roman" w:eastAsia="宋体" w:cs="Times New Roman"/>
                <w:bCs/>
                <w:color w:val="000000" w:themeColor="text1"/>
                <w:szCs w:val="21"/>
                <w:lang w:val="en-US" w:eastAsia="zh-CN"/>
                <w14:textFill>
                  <w14:solidFill>
                    <w14:schemeClr w14:val="tx1"/>
                  </w14:solidFill>
                </w14:textFill>
              </w:rPr>
              <w:t>本项目参考《建筑给水排水设计标准》</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GB50015-2019</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进行用水量计算，</w:t>
            </w:r>
            <w:r>
              <w:rPr>
                <w:rFonts w:hint="eastAsia" w:cs="Times New Roman"/>
                <w:bCs/>
                <w:color w:val="000000" w:themeColor="text1"/>
                <w:szCs w:val="21"/>
                <w:lang w:val="en-US" w:eastAsia="zh-CN"/>
                <w14:textFill>
                  <w14:solidFill>
                    <w14:schemeClr w14:val="tx1"/>
                  </w14:solidFill>
                </w14:textFill>
              </w:rPr>
              <w:t>其中包括</w:t>
            </w:r>
            <w:r>
              <w:rPr>
                <w:rFonts w:ascii="宋体" w:hAnsi="宋体" w:eastAsia="宋体" w:cs="宋体"/>
                <w:sz w:val="24"/>
                <w:szCs w:val="24"/>
              </w:rPr>
              <w:t>手术室</w:t>
            </w:r>
            <w:r>
              <w:rPr>
                <w:rFonts w:hint="eastAsia" w:ascii="宋体" w:hAnsi="宋体" w:eastAsia="宋体" w:cs="宋体"/>
                <w:sz w:val="24"/>
                <w:szCs w:val="24"/>
                <w:lang w:val="en-US" w:eastAsia="zh-CN"/>
              </w:rPr>
              <w:t>用水、化验室用水、传染病隔离室宠物用水，</w:t>
            </w:r>
            <w:r>
              <w:rPr>
                <w:rFonts w:hint="eastAsia" w:ascii="Times New Roman" w:hAnsi="Times New Roman" w:cs="Times New Roman"/>
                <w:bCs/>
                <w:color w:val="000000" w:themeColor="text1"/>
                <w:szCs w:val="21"/>
                <w:lang w:val="en-US" w:eastAsia="zh-CN"/>
                <w14:textFill>
                  <w14:solidFill>
                    <w14:schemeClr w14:val="tx1"/>
                  </w14:solidFill>
                </w14:textFill>
              </w:rPr>
              <w:t>选取</w:t>
            </w:r>
            <w:r>
              <w:rPr>
                <w:rFonts w:hint="default" w:ascii="Times New Roman" w:hAnsi="Times New Roman" w:eastAsia="宋体" w:cs="Times New Roman"/>
                <w:bCs/>
                <w:color w:val="000000" w:themeColor="text1"/>
                <w:szCs w:val="21"/>
                <w:lang w:val="en-US" w:eastAsia="zh-CN"/>
                <w14:textFill>
                  <w14:solidFill>
                    <w14:schemeClr w14:val="tx1"/>
                  </w14:solidFill>
                </w14:textFill>
              </w:rPr>
              <w:t>最高日用水定额取</w:t>
            </w:r>
            <w:r>
              <w:rPr>
                <w:rFonts w:hint="eastAsia" w:ascii="Times New Roman" w:hAnsi="Times New Roman" w:cs="Times New Roman"/>
                <w:bCs/>
                <w:color w:val="000000" w:themeColor="text1"/>
                <w:szCs w:val="21"/>
                <w:lang w:val="en-US" w:eastAsia="zh-CN"/>
                <w14:textFill>
                  <w14:solidFill>
                    <w14:schemeClr w14:val="tx1"/>
                  </w14:solidFill>
                </w14:textFill>
              </w:rPr>
              <w:t>10</w:t>
            </w:r>
            <w:r>
              <w:rPr>
                <w:rFonts w:hint="eastAsia" w:cs="Times New Roman"/>
                <w:bCs/>
                <w:color w:val="000000" w:themeColor="text1"/>
                <w:szCs w:val="21"/>
                <w:lang w:val="en-US" w:eastAsia="zh-CN"/>
                <w14:textFill>
                  <w14:solidFill>
                    <w14:schemeClr w14:val="tx1"/>
                  </w14:solidFill>
                </w14:textFill>
              </w:rPr>
              <w:t>升</w:t>
            </w:r>
            <w:r>
              <w:rPr>
                <w:rFonts w:hint="default" w:ascii="Times New Roman" w:hAnsi="Times New Roman" w:eastAsia="宋体" w:cs="Times New Roman"/>
                <w:bCs/>
                <w:color w:val="000000" w:themeColor="text1"/>
                <w:szCs w:val="21"/>
                <w:lang w:val="en-US" w:eastAsia="zh-CN"/>
                <w14:textFill>
                  <w14:solidFill>
                    <w14:schemeClr w14:val="tx1"/>
                  </w14:solidFill>
                </w14:textFill>
              </w:rPr>
              <w:t>/只，</w:t>
            </w:r>
            <w:r>
              <w:rPr>
                <w:rFonts w:hint="eastAsia" w:cs="Times New Roman"/>
                <w:bCs/>
                <w:color w:val="000000" w:themeColor="text1"/>
                <w:szCs w:val="21"/>
                <w:lang w:val="en-US" w:eastAsia="zh-CN"/>
                <w14:textFill>
                  <w14:solidFill>
                    <w14:schemeClr w14:val="tx1"/>
                  </w14:solidFill>
                </w14:textFill>
              </w:rPr>
              <w:t>本项目宠物门诊接待量为300只，</w:t>
            </w:r>
            <w:r>
              <w:rPr>
                <w:rFonts w:hint="default" w:ascii="Times New Roman" w:hAnsi="Times New Roman" w:eastAsia="宋体" w:cs="Times New Roman"/>
                <w:bCs/>
                <w:color w:val="000000" w:themeColor="text1"/>
                <w:szCs w:val="21"/>
                <w:lang w:val="en-US" w:eastAsia="zh-CN"/>
                <w14:textFill>
                  <w14:solidFill>
                    <w14:schemeClr w14:val="tx1"/>
                  </w14:solidFill>
                </w14:textFill>
              </w:rPr>
              <w:t>则用水量计</w:t>
            </w:r>
            <w:r>
              <w:rPr>
                <w:rFonts w:hint="eastAsia" w:cs="Times New Roman"/>
                <w:bCs/>
                <w:color w:val="000000" w:themeColor="text1"/>
                <w:szCs w:val="21"/>
                <w:lang w:val="en-US" w:eastAsia="zh-CN"/>
                <w14:textFill>
                  <w14:solidFill>
                    <w14:schemeClr w14:val="tx1"/>
                  </w14:solidFill>
                </w14:textFill>
              </w:rPr>
              <w:t>3吨</w:t>
            </w:r>
            <w:r>
              <w:rPr>
                <w:rFonts w:hint="eastAsia" w:ascii="Times New Roman" w:hAnsi="Times New Roman"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年</w:t>
            </w:r>
            <w:r>
              <w:rPr>
                <w:rFonts w:hint="eastAsia" w:ascii="Times New Roman" w:hAnsi="Times New Roman" w:cs="Times New Roman"/>
                <w:bCs/>
                <w:color w:val="000000" w:themeColor="text1"/>
                <w:szCs w:val="21"/>
                <w:lang w:val="en-US" w:eastAsia="zh-CN"/>
                <w14:textFill>
                  <w14:solidFill>
                    <w14:schemeClr w14:val="tx1"/>
                  </w14:solidFill>
                </w14:textFill>
              </w:rPr>
              <w:t>。</w:t>
            </w:r>
          </w:p>
          <w:p w14:paraId="13FCF786">
            <w:pPr>
              <w:pStyle w:val="3"/>
              <w:ind w:firstLine="480"/>
              <w:jc w:val="both"/>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②</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动物美容用水</w:t>
            </w:r>
          </w:p>
          <w:p w14:paraId="212855C0">
            <w:pPr>
              <w:pStyle w:val="3"/>
              <w:ind w:firstLine="480"/>
              <w:jc w:val="both"/>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洗护废水主要来自宠物美容、清洗过程产生的废水，根据建设提供资料，宠物洗护用水量按每只宠物30</w:t>
            </w:r>
            <w:r>
              <w:rPr>
                <w:rFonts w:hint="eastAsia" w:cs="Times New Roman"/>
                <w:bCs/>
                <w:color w:val="000000" w:themeColor="text1"/>
                <w:szCs w:val="21"/>
                <w:lang w:val="en-US" w:eastAsia="zh-CN"/>
                <w14:textFill>
                  <w14:solidFill>
                    <w14:schemeClr w14:val="tx1"/>
                  </w14:solidFill>
                </w14:textFill>
              </w:rPr>
              <w:t>升</w:t>
            </w:r>
            <w:r>
              <w:rPr>
                <w:rFonts w:hint="eastAsia" w:ascii="Times New Roman" w:hAnsi="Times New Roman" w:cs="Times New Roman"/>
                <w:bCs/>
                <w:color w:val="000000" w:themeColor="text1"/>
                <w:szCs w:val="21"/>
                <w:lang w:val="en-US" w:eastAsia="zh-CN"/>
                <w14:textFill>
                  <w14:solidFill>
                    <w14:schemeClr w14:val="tx1"/>
                  </w14:solidFill>
                </w14:textFill>
              </w:rPr>
              <w:t>计。项目宠物美容年接待量为</w:t>
            </w:r>
            <w:r>
              <w:rPr>
                <w:rFonts w:hint="eastAsia" w:cs="Times New Roman"/>
                <w:bCs/>
                <w:color w:val="000000" w:themeColor="text1"/>
                <w:szCs w:val="21"/>
                <w:lang w:val="en-US" w:eastAsia="zh-CN"/>
                <w14:textFill>
                  <w14:solidFill>
                    <w14:schemeClr w14:val="tx1"/>
                  </w14:solidFill>
                </w14:textFill>
              </w:rPr>
              <w:t>900</w:t>
            </w:r>
            <w:r>
              <w:rPr>
                <w:rFonts w:hint="eastAsia" w:ascii="Times New Roman" w:hAnsi="Times New Roman" w:cs="Times New Roman"/>
                <w:bCs/>
                <w:color w:val="000000" w:themeColor="text1"/>
                <w:szCs w:val="21"/>
                <w:lang w:val="en-US" w:eastAsia="zh-CN"/>
                <w14:textFill>
                  <w14:solidFill>
                    <w14:schemeClr w14:val="tx1"/>
                  </w14:solidFill>
                </w14:textFill>
              </w:rPr>
              <w:t>只，则</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美容</w:t>
            </w:r>
            <w:r>
              <w:rPr>
                <w:rFonts w:hint="eastAsia" w:ascii="Times New Roman" w:hAnsi="Times New Roman" w:cs="Times New Roman"/>
                <w:bCs/>
                <w:color w:val="000000" w:themeColor="text1"/>
                <w:szCs w:val="21"/>
                <w:lang w:val="en-US" w:eastAsia="zh-CN"/>
                <w14:textFill>
                  <w14:solidFill>
                    <w14:schemeClr w14:val="tx1"/>
                  </w14:solidFill>
                </w14:textFill>
              </w:rPr>
              <w:t>用水量为</w:t>
            </w:r>
            <w:r>
              <w:rPr>
                <w:rFonts w:hint="eastAsia" w:cs="Times New Roman"/>
                <w:bCs/>
                <w:color w:val="000000" w:themeColor="text1"/>
                <w:szCs w:val="21"/>
                <w:lang w:val="en-US" w:eastAsia="zh-CN"/>
                <w14:textFill>
                  <w14:solidFill>
                    <w14:schemeClr w14:val="tx1"/>
                  </w14:solidFill>
                </w14:textFill>
              </w:rPr>
              <w:t>27.0吨</w:t>
            </w:r>
            <w:r>
              <w:rPr>
                <w:rFonts w:hint="eastAsia" w:ascii="Times New Roman" w:hAnsi="Times New Roman"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年</w:t>
            </w:r>
            <w:r>
              <w:rPr>
                <w:rFonts w:hint="eastAsia" w:ascii="Times New Roman" w:hAnsi="Times New Roman" w:cs="Times New Roman"/>
                <w:bCs/>
                <w:color w:val="000000" w:themeColor="text1"/>
                <w:szCs w:val="21"/>
                <w:lang w:val="en-US" w:eastAsia="zh-CN"/>
                <w14:textFill>
                  <w14:solidFill>
                    <w14:schemeClr w14:val="tx1"/>
                  </w14:solidFill>
                </w14:textFill>
              </w:rPr>
              <w:t>。</w:t>
            </w:r>
          </w:p>
          <w:p w14:paraId="676BDE99">
            <w:pPr>
              <w:pStyle w:val="3"/>
              <w:ind w:firstLine="480"/>
              <w:jc w:val="both"/>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③</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动物笼清洗用水</w:t>
            </w:r>
          </w:p>
          <w:p w14:paraId="7A3259D6">
            <w:pPr>
              <w:pStyle w:val="3"/>
              <w:ind w:firstLine="480"/>
              <w:jc w:val="both"/>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根据建设单位运行情况，平均动物笼每</w:t>
            </w:r>
            <w:r>
              <w:rPr>
                <w:rFonts w:hint="eastAsia" w:ascii="Times New Roman" w:hAnsi="Times New Roman" w:cs="Times New Roman"/>
                <w:bCs/>
                <w:color w:val="000000" w:themeColor="text1"/>
                <w:szCs w:val="21"/>
                <w:lang w:val="en-US" w:eastAsia="zh-CN"/>
                <w14:textFill>
                  <w14:solidFill>
                    <w14:schemeClr w14:val="tx1"/>
                  </w14:solidFill>
                </w14:textFill>
              </w:rPr>
              <w:t>周</w:t>
            </w:r>
            <w:r>
              <w:rPr>
                <w:rFonts w:hint="default" w:ascii="Times New Roman" w:hAnsi="Times New Roman" w:eastAsia="宋体" w:cs="Times New Roman"/>
                <w:bCs/>
                <w:color w:val="000000" w:themeColor="text1"/>
                <w:szCs w:val="21"/>
                <w:lang w:val="en-US" w:eastAsia="zh-CN"/>
                <w14:textFill>
                  <w14:solidFill>
                    <w14:schemeClr w14:val="tx1"/>
                  </w14:solidFill>
                </w14:textFill>
              </w:rPr>
              <w:t>清洗一次，每次清洗动物笼数量</w:t>
            </w:r>
            <w:r>
              <w:rPr>
                <w:rFonts w:hint="eastAsia" w:cs="Times New Roman"/>
                <w:bCs/>
                <w:color w:val="000000" w:themeColor="text1"/>
                <w:szCs w:val="21"/>
                <w:lang w:val="en-US" w:eastAsia="zh-CN"/>
                <w14:textFill>
                  <w14:solidFill>
                    <w14:schemeClr w14:val="tx1"/>
                  </w14:solidFill>
                </w14:textFill>
              </w:rPr>
              <w:t>为4</w:t>
            </w:r>
            <w:r>
              <w:rPr>
                <w:rFonts w:hint="default" w:ascii="Times New Roman" w:hAnsi="Times New Roman" w:eastAsia="宋体" w:cs="Times New Roman"/>
                <w:bCs/>
                <w:color w:val="000000" w:themeColor="text1"/>
                <w:szCs w:val="21"/>
                <w:lang w:val="en-US" w:eastAsia="zh-CN"/>
                <w14:textFill>
                  <w14:solidFill>
                    <w14:schemeClr w14:val="tx1"/>
                  </w14:solidFill>
                </w14:textFill>
              </w:rPr>
              <w:t>个，清洗用水量按50</w:t>
            </w:r>
            <w:r>
              <w:rPr>
                <w:rFonts w:hint="eastAsia" w:cs="Times New Roman"/>
                <w:bCs/>
                <w:color w:val="000000" w:themeColor="text1"/>
                <w:szCs w:val="21"/>
                <w:lang w:val="en-US" w:eastAsia="zh-CN"/>
                <w14:textFill>
                  <w14:solidFill>
                    <w14:schemeClr w14:val="tx1"/>
                  </w14:solidFill>
                </w14:textFill>
              </w:rPr>
              <w:t>升</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个·</w:t>
            </w:r>
            <w:r>
              <w:rPr>
                <w:rFonts w:hint="default" w:ascii="Times New Roman" w:hAnsi="Times New Roman" w:eastAsia="宋体" w:cs="Times New Roman"/>
                <w:bCs/>
                <w:color w:val="000000" w:themeColor="text1"/>
                <w:szCs w:val="21"/>
                <w:lang w:val="en-US" w:eastAsia="zh-CN"/>
                <w14:textFill>
                  <w14:solidFill>
                    <w14:schemeClr w14:val="tx1"/>
                  </w14:solidFill>
                </w14:textFill>
              </w:rPr>
              <w:t>次，则</w:t>
            </w:r>
            <w:r>
              <w:rPr>
                <w:rFonts w:hint="eastAsia" w:cs="Times New Roman"/>
                <w:bCs/>
                <w:color w:val="000000" w:themeColor="text1"/>
                <w:szCs w:val="21"/>
                <w:lang w:val="en-US" w:eastAsia="zh-CN"/>
                <w14:textFill>
                  <w14:solidFill>
                    <w14:schemeClr w14:val="tx1"/>
                  </w14:solidFill>
                </w14:textFill>
              </w:rPr>
              <w:t>动物</w:t>
            </w:r>
            <w:r>
              <w:rPr>
                <w:rFonts w:hint="default" w:ascii="Times New Roman" w:hAnsi="Times New Roman" w:eastAsia="宋体" w:cs="Times New Roman"/>
                <w:bCs/>
                <w:color w:val="000000" w:themeColor="text1"/>
                <w:szCs w:val="21"/>
                <w:lang w:val="en-US" w:eastAsia="zh-CN"/>
                <w14:textFill>
                  <w14:solidFill>
                    <w14:schemeClr w14:val="tx1"/>
                  </w14:solidFill>
                </w14:textFill>
              </w:rPr>
              <w:t>笼清洗用水量为</w:t>
            </w:r>
            <w:r>
              <w:rPr>
                <w:rFonts w:hint="eastAsia" w:cs="Times New Roman"/>
                <w:bCs/>
                <w:color w:val="000000" w:themeColor="text1"/>
                <w:szCs w:val="21"/>
                <w:lang w:val="en-US" w:eastAsia="zh-CN"/>
                <w14:textFill>
                  <w14:solidFill>
                    <w14:schemeClr w14:val="tx1"/>
                  </w14:solidFill>
                </w14:textFill>
              </w:rPr>
              <w:t>8.6吨</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年</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p w14:paraId="7A2E5389">
            <w:pPr>
              <w:pStyle w:val="3"/>
              <w:ind w:firstLine="480"/>
              <w:jc w:val="both"/>
              <w:rPr>
                <w:rFonts w:hint="default" w:cs="Times New Roman"/>
                <w:bCs/>
                <w:color w:val="0000FF"/>
                <w:szCs w:val="21"/>
                <w:lang w:val="en-US" w:eastAsia="zh-CN"/>
              </w:rPr>
            </w:pPr>
            <w:r>
              <w:rPr>
                <w:rFonts w:hint="eastAsia" w:cs="Times New Roman"/>
                <w:bCs/>
                <w:color w:val="0000FF"/>
                <w:szCs w:val="21"/>
                <w:lang w:val="en-US" w:eastAsia="zh-CN"/>
              </w:rPr>
              <w:t>④生活用水</w:t>
            </w:r>
          </w:p>
          <w:p w14:paraId="0143DCB4">
            <w:pPr>
              <w:pStyle w:val="3"/>
              <w:ind w:firstLine="480"/>
              <w:jc w:val="both"/>
              <w:rPr>
                <w:rFonts w:hint="default" w:ascii="Times New Roman" w:hAnsi="Times New Roman" w:cs="Times New Roman"/>
                <w:bCs/>
                <w:color w:val="0000FF"/>
                <w:szCs w:val="21"/>
                <w:lang w:val="en-US" w:eastAsia="zh-CN"/>
              </w:rPr>
            </w:pPr>
            <w:r>
              <w:rPr>
                <w:rFonts w:hint="eastAsia" w:cs="Times New Roman"/>
                <w:bCs/>
                <w:color w:val="0000FF"/>
                <w:szCs w:val="21"/>
                <w:lang w:val="en-US" w:eastAsia="zh-CN"/>
              </w:rPr>
              <w:t>本项目劳动定员5</w:t>
            </w:r>
            <w:r>
              <w:rPr>
                <w:rFonts w:hint="default" w:cs="Times New Roman"/>
                <w:bCs/>
                <w:color w:val="0000FF"/>
                <w:szCs w:val="21"/>
                <w:lang w:val="en-US" w:eastAsia="zh-CN"/>
              </w:rPr>
              <w:t>人，均不在医院内食宿，年工作3</w:t>
            </w:r>
            <w:r>
              <w:rPr>
                <w:rFonts w:hint="eastAsia" w:cs="Times New Roman"/>
                <w:bCs/>
                <w:color w:val="0000FF"/>
                <w:szCs w:val="21"/>
                <w:lang w:val="en-US" w:eastAsia="zh-CN"/>
              </w:rPr>
              <w:t>0</w:t>
            </w:r>
            <w:r>
              <w:rPr>
                <w:rFonts w:hint="default" w:cs="Times New Roman"/>
                <w:bCs/>
                <w:color w:val="0000FF"/>
                <w:szCs w:val="21"/>
                <w:lang w:val="en-US" w:eastAsia="zh-CN"/>
              </w:rPr>
              <w:t>0天。参照《行业用水定额》</w:t>
            </w:r>
            <w:r>
              <w:rPr>
                <w:rFonts w:hint="eastAsia" w:cs="Times New Roman"/>
                <w:bCs/>
                <w:color w:val="0000FF"/>
                <w:szCs w:val="21"/>
                <w:lang w:val="en-US" w:eastAsia="zh-CN"/>
              </w:rPr>
              <w:t>（</w:t>
            </w:r>
            <w:r>
              <w:rPr>
                <w:rFonts w:hint="default" w:cs="Times New Roman"/>
                <w:bCs/>
                <w:color w:val="0000FF"/>
                <w:szCs w:val="21"/>
                <w:lang w:val="en-US" w:eastAsia="zh-CN"/>
              </w:rPr>
              <w:t>DB</w:t>
            </w:r>
            <w:r>
              <w:rPr>
                <w:rFonts w:hint="eastAsia" w:cs="Times New Roman"/>
                <w:bCs/>
                <w:color w:val="0000FF"/>
                <w:szCs w:val="21"/>
                <w:lang w:val="en-US" w:eastAsia="zh-CN"/>
              </w:rPr>
              <w:t xml:space="preserve"> </w:t>
            </w:r>
            <w:r>
              <w:rPr>
                <w:rFonts w:hint="default" w:cs="Times New Roman"/>
                <w:bCs/>
                <w:color w:val="0000FF"/>
                <w:szCs w:val="21"/>
                <w:lang w:val="en-US" w:eastAsia="zh-CN"/>
              </w:rPr>
              <w:t>35/T772-20</w:t>
            </w:r>
            <w:r>
              <w:rPr>
                <w:rFonts w:hint="eastAsia" w:cs="Times New Roman"/>
                <w:bCs/>
                <w:color w:val="0000FF"/>
                <w:szCs w:val="21"/>
                <w:lang w:val="en-US" w:eastAsia="zh-CN"/>
              </w:rPr>
              <w:t>23）</w:t>
            </w:r>
            <w:r>
              <w:rPr>
                <w:rFonts w:hint="default" w:cs="Times New Roman"/>
                <w:bCs/>
                <w:color w:val="0000FF"/>
                <w:szCs w:val="21"/>
                <w:lang w:val="en-US" w:eastAsia="zh-CN"/>
              </w:rPr>
              <w:t>，不住厂职工生活用水量定额取50</w:t>
            </w:r>
            <w:r>
              <w:rPr>
                <w:rFonts w:hint="eastAsia" w:cs="Times New Roman"/>
                <w:bCs/>
                <w:color w:val="0000FF"/>
                <w:szCs w:val="21"/>
                <w:lang w:val="en-US" w:eastAsia="zh-CN"/>
              </w:rPr>
              <w:t>升/天·</w:t>
            </w:r>
            <w:r>
              <w:rPr>
                <w:rFonts w:hint="default" w:cs="Times New Roman"/>
                <w:bCs/>
                <w:color w:val="0000FF"/>
                <w:szCs w:val="21"/>
                <w:lang w:val="en-US" w:eastAsia="zh-CN"/>
              </w:rPr>
              <w:t>人，则</w:t>
            </w:r>
            <w:r>
              <w:rPr>
                <w:rFonts w:hint="eastAsia" w:cs="Times New Roman"/>
                <w:bCs/>
                <w:color w:val="0000FF"/>
                <w:szCs w:val="21"/>
                <w:lang w:val="en-US" w:eastAsia="zh-CN"/>
              </w:rPr>
              <w:t>本</w:t>
            </w:r>
            <w:r>
              <w:rPr>
                <w:rFonts w:hint="default" w:cs="Times New Roman"/>
                <w:bCs/>
                <w:color w:val="0000FF"/>
                <w:szCs w:val="21"/>
                <w:lang w:val="en-US" w:eastAsia="zh-CN"/>
              </w:rPr>
              <w:t>项目</w:t>
            </w:r>
            <w:r>
              <w:rPr>
                <w:rFonts w:hint="eastAsia" w:cs="Times New Roman"/>
                <w:bCs/>
                <w:color w:val="0000FF"/>
                <w:szCs w:val="21"/>
                <w:lang w:val="en-US" w:eastAsia="zh-CN"/>
              </w:rPr>
              <w:t>员工</w:t>
            </w:r>
            <w:r>
              <w:rPr>
                <w:rFonts w:hint="default" w:cs="Times New Roman"/>
                <w:bCs/>
                <w:color w:val="0000FF"/>
                <w:szCs w:val="21"/>
                <w:lang w:val="en-US" w:eastAsia="zh-CN"/>
              </w:rPr>
              <w:t>用水量为</w:t>
            </w:r>
            <w:r>
              <w:rPr>
                <w:rFonts w:hint="eastAsia" w:cs="Times New Roman"/>
                <w:bCs/>
                <w:color w:val="0000FF"/>
                <w:szCs w:val="21"/>
                <w:lang w:val="en-US" w:eastAsia="zh-CN"/>
              </w:rPr>
              <w:t>0.25吨/天（75.0吨/年）。外来人员</w:t>
            </w:r>
            <w:r>
              <w:rPr>
                <w:rFonts w:hint="eastAsia" w:ascii="Times New Roman" w:hAnsi="Times New Roman" w:cs="Times New Roman"/>
                <w:bCs/>
                <w:color w:val="0000FF"/>
                <w:szCs w:val="21"/>
                <w:lang w:val="en-US" w:eastAsia="zh-CN"/>
              </w:rPr>
              <w:t>用水</w:t>
            </w:r>
            <w:r>
              <w:rPr>
                <w:rFonts w:hint="eastAsia" w:cs="Times New Roman"/>
                <w:bCs/>
                <w:color w:val="0000FF"/>
                <w:szCs w:val="21"/>
                <w:lang w:val="en-US" w:eastAsia="zh-CN"/>
              </w:rPr>
              <w:t>按3L/人计本项目</w:t>
            </w:r>
            <w:r>
              <w:rPr>
                <w:rFonts w:hint="eastAsia" w:ascii="Times New Roman" w:hAnsi="Times New Roman" w:cs="Times New Roman"/>
                <w:bCs/>
                <w:color w:val="0000FF"/>
                <w:szCs w:val="21"/>
                <w:lang w:val="en-US" w:eastAsia="zh-CN"/>
              </w:rPr>
              <w:t>宠物美容年接待量为</w:t>
            </w:r>
            <w:r>
              <w:rPr>
                <w:rFonts w:hint="eastAsia" w:cs="Times New Roman"/>
                <w:bCs/>
                <w:color w:val="0000FF"/>
                <w:szCs w:val="21"/>
                <w:lang w:val="en-US" w:eastAsia="zh-CN"/>
              </w:rPr>
              <w:t>900</w:t>
            </w:r>
            <w:r>
              <w:rPr>
                <w:rFonts w:hint="eastAsia" w:ascii="Times New Roman" w:hAnsi="Times New Roman" w:cs="Times New Roman"/>
                <w:bCs/>
                <w:color w:val="0000FF"/>
                <w:szCs w:val="21"/>
                <w:lang w:val="en-US" w:eastAsia="zh-CN"/>
              </w:rPr>
              <w:t>只</w:t>
            </w:r>
            <w:r>
              <w:rPr>
                <w:rFonts w:hint="eastAsia" w:cs="Times New Roman"/>
                <w:bCs/>
                <w:color w:val="0000FF"/>
                <w:szCs w:val="21"/>
                <w:lang w:val="en-US" w:eastAsia="zh-CN"/>
              </w:rPr>
              <w:t>，宠物门诊年接待量为300只，则外来人员用水量3.6吨/年。则本项</w:t>
            </w:r>
            <w:r>
              <w:rPr>
                <w:rFonts w:hint="eastAsia" w:ascii="Times New Roman" w:hAnsi="Times New Roman" w:cs="Times New Roman"/>
                <w:bCs/>
                <w:color w:val="0000FF"/>
                <w:szCs w:val="21"/>
                <w:lang w:val="en-US" w:eastAsia="zh-CN"/>
              </w:rPr>
              <w:t>目生活用水量78.6吨</w:t>
            </w:r>
          </w:p>
          <w:p w14:paraId="0255EBCB">
            <w:pPr>
              <w:pStyle w:val="3"/>
              <w:spacing w:line="360" w:lineRule="auto"/>
              <w:ind w:left="0" w:leftChars="0" w:firstLine="0" w:firstLineChars="0"/>
              <w:jc w:val="both"/>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5.2.2 排水</w:t>
            </w:r>
          </w:p>
          <w:p w14:paraId="227CD4D8">
            <w:pPr>
              <w:pStyle w:val="3"/>
              <w:spacing w:line="360" w:lineRule="auto"/>
              <w:ind w:firstLine="48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本项目运营期</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废水主要为</w:t>
            </w:r>
            <w:r>
              <w:rPr>
                <w:rFonts w:hint="eastAsia" w:cs="Times New Roman"/>
                <w:bCs/>
                <w:color w:val="000000" w:themeColor="text1"/>
                <w:sz w:val="24"/>
                <w:szCs w:val="24"/>
                <w:lang w:val="en-US" w:eastAsia="zh-CN"/>
                <w14:textFill>
                  <w14:solidFill>
                    <w14:schemeClr w14:val="tx1"/>
                  </w14:solidFill>
                </w14:textFill>
              </w:rPr>
              <w:t>医疗</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废水</w:t>
            </w:r>
            <w:r>
              <w:rPr>
                <w:rFonts w:hint="default" w:ascii="Times New Roman" w:hAnsi="Times New Roman" w:cs="Times New Roman"/>
                <w:bCs/>
                <w:color w:val="000000" w:themeColor="text1"/>
                <w:sz w:val="24"/>
                <w:szCs w:val="24"/>
                <w:lang w:val="en-US" w:eastAsia="zh-CN"/>
                <w14:textFill>
                  <w14:solidFill>
                    <w14:schemeClr w14:val="tx1"/>
                  </w14:solidFill>
                </w14:textFill>
              </w:rPr>
              <w:t>、美容废水、</w:t>
            </w:r>
            <w:r>
              <w:rPr>
                <w:rFonts w:hint="eastAsia" w:cs="Times New Roman"/>
                <w:bCs/>
                <w:color w:val="000000" w:themeColor="text1"/>
                <w:sz w:val="24"/>
                <w:szCs w:val="24"/>
                <w:lang w:val="en-US" w:eastAsia="zh-CN"/>
                <w14:textFill>
                  <w14:solidFill>
                    <w14:schemeClr w14:val="tx1"/>
                  </w14:solidFill>
                </w14:textFill>
              </w:rPr>
              <w:t>动物</w:t>
            </w:r>
            <w:r>
              <w:rPr>
                <w:rFonts w:hint="default" w:ascii="Times New Roman" w:hAnsi="Times New Roman" w:cs="Times New Roman"/>
                <w:bCs/>
                <w:color w:val="000000" w:themeColor="text1"/>
                <w:sz w:val="24"/>
                <w:szCs w:val="24"/>
                <w:lang w:val="en-US" w:eastAsia="zh-CN"/>
                <w14:textFill>
                  <w14:solidFill>
                    <w14:schemeClr w14:val="tx1"/>
                  </w14:solidFill>
                </w14:textFill>
              </w:rPr>
              <w:t>笼清洗</w:t>
            </w:r>
            <w:r>
              <w:rPr>
                <w:rFonts w:hint="eastAsia" w:cs="Times New Roman"/>
                <w:bCs/>
                <w:color w:val="000000" w:themeColor="text1"/>
                <w:sz w:val="24"/>
                <w:szCs w:val="24"/>
                <w:lang w:val="en-US" w:eastAsia="zh-CN"/>
                <w14:textFill>
                  <w14:solidFill>
                    <w14:schemeClr w14:val="tx1"/>
                  </w14:solidFill>
                </w14:textFill>
              </w:rPr>
              <w:t>废水</w:t>
            </w:r>
            <w:r>
              <w:rPr>
                <w:rFonts w:hint="default" w:ascii="Times New Roman" w:hAnsi="Times New Roman" w:cs="Times New Roman"/>
                <w:bCs/>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14:paraId="7D4EEBEB">
            <w:pPr>
              <w:pStyle w:val="3"/>
              <w:spacing w:line="360" w:lineRule="auto"/>
              <w:ind w:firstLine="480"/>
              <w:jc w:val="both"/>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①医疗废水</w:t>
            </w:r>
          </w:p>
          <w:p w14:paraId="13AD967A">
            <w:pPr>
              <w:pStyle w:val="3"/>
              <w:ind w:firstLine="480"/>
              <w:jc w:val="both"/>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本项目</w:t>
            </w:r>
            <w:r>
              <w:rPr>
                <w:rFonts w:hint="eastAsia" w:cs="Times New Roman"/>
                <w:bCs/>
                <w:color w:val="000000" w:themeColor="text1"/>
                <w:szCs w:val="21"/>
                <w:lang w:val="en-US" w:eastAsia="zh-CN"/>
                <w14:textFill>
                  <w14:solidFill>
                    <w14:schemeClr w14:val="tx1"/>
                  </w14:solidFill>
                </w14:textFill>
              </w:rPr>
              <w:t>医疗</w:t>
            </w:r>
            <w:r>
              <w:rPr>
                <w:rFonts w:hint="eastAsia" w:ascii="Times New Roman" w:hAnsi="Times New Roman" w:cs="Times New Roman"/>
                <w:bCs/>
                <w:color w:val="000000" w:themeColor="text1"/>
                <w:szCs w:val="21"/>
                <w:lang w:val="en-US" w:eastAsia="zh-CN"/>
                <w14:textFill>
                  <w14:solidFill>
                    <w14:schemeClr w14:val="tx1"/>
                  </w14:solidFill>
                </w14:textFill>
              </w:rPr>
              <w:t>用水总计为</w:t>
            </w:r>
            <w:r>
              <w:rPr>
                <w:rFonts w:hint="eastAsia" w:cs="Times New Roman"/>
                <w:bCs/>
                <w:color w:val="000000" w:themeColor="text1"/>
                <w:szCs w:val="21"/>
                <w:lang w:val="en-US" w:eastAsia="zh-CN"/>
                <w14:textFill>
                  <w14:solidFill>
                    <w14:schemeClr w14:val="tx1"/>
                  </w14:solidFill>
                </w14:textFill>
              </w:rPr>
              <w:t>3吨</w:t>
            </w:r>
            <w:r>
              <w:rPr>
                <w:rFonts w:hint="eastAsia" w:ascii="Times New Roman" w:hAnsi="Times New Roman"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年</w:t>
            </w:r>
            <w:r>
              <w:rPr>
                <w:rFonts w:hint="eastAsia"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cs="Times New Roman"/>
                <w:bCs/>
                <w:color w:val="000000" w:themeColor="text1"/>
                <w:szCs w:val="21"/>
                <w:lang w:val="en-US" w:eastAsia="zh-CN"/>
                <w14:textFill>
                  <w14:solidFill>
                    <w14:schemeClr w14:val="tx1"/>
                  </w14:solidFill>
                </w14:textFill>
              </w:rPr>
              <w:t>医疗废水产生系数按90%计算，则</w:t>
            </w:r>
            <w:r>
              <w:rPr>
                <w:rFonts w:hint="eastAsia" w:cs="Times New Roman"/>
                <w:bCs/>
                <w:color w:val="000000" w:themeColor="text1"/>
                <w:szCs w:val="21"/>
                <w:lang w:val="en-US" w:eastAsia="zh-CN"/>
                <w14:textFill>
                  <w14:solidFill>
                    <w14:schemeClr w14:val="tx1"/>
                  </w14:solidFill>
                </w14:textFill>
              </w:rPr>
              <w:t>医疗</w:t>
            </w:r>
            <w:r>
              <w:rPr>
                <w:rFonts w:hint="default" w:ascii="Times New Roman" w:hAnsi="Times New Roman" w:cs="Times New Roman"/>
                <w:bCs/>
                <w:color w:val="000000" w:themeColor="text1"/>
                <w:szCs w:val="21"/>
                <w:lang w:val="en-US" w:eastAsia="zh-CN"/>
                <w14:textFill>
                  <w14:solidFill>
                    <w14:schemeClr w14:val="tx1"/>
                  </w14:solidFill>
                </w14:textFill>
              </w:rPr>
              <w:t>废水量</w:t>
            </w:r>
            <w:r>
              <w:rPr>
                <w:rFonts w:hint="eastAsia" w:cs="Times New Roman"/>
                <w:bCs/>
                <w:color w:val="000000" w:themeColor="text1"/>
                <w:szCs w:val="21"/>
                <w:lang w:val="en-US" w:eastAsia="zh-CN"/>
                <w14:textFill>
                  <w14:solidFill>
                    <w14:schemeClr w14:val="tx1"/>
                  </w14:solidFill>
                </w14:textFill>
              </w:rPr>
              <w:t>为2.7吨</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年，本项目医疗废水经过一体化医疗废水消毒设施消毒处理后排入市政污水管网，最终排入奇台县科发再生水有限公司污水处理厂处理。</w:t>
            </w:r>
          </w:p>
          <w:p w14:paraId="0E6AF6AA">
            <w:pPr>
              <w:pStyle w:val="3"/>
              <w:spacing w:line="360" w:lineRule="auto"/>
              <w:ind w:firstLine="480"/>
              <w:jc w:val="both"/>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②美容废水</w:t>
            </w:r>
          </w:p>
          <w:p w14:paraId="00790957">
            <w:pPr>
              <w:pStyle w:val="3"/>
              <w:spacing w:line="360" w:lineRule="auto"/>
              <w:ind w:firstLine="480"/>
              <w:jc w:val="both"/>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美容</w:t>
            </w:r>
            <w:r>
              <w:rPr>
                <w:rFonts w:hint="eastAsia" w:ascii="Times New Roman" w:hAnsi="Times New Roman" w:cs="Times New Roman"/>
                <w:bCs/>
                <w:color w:val="000000" w:themeColor="text1"/>
                <w:szCs w:val="21"/>
                <w:lang w:val="en-US" w:eastAsia="zh-CN"/>
                <w14:textFill>
                  <w14:solidFill>
                    <w14:schemeClr w14:val="tx1"/>
                  </w14:solidFill>
                </w14:textFill>
              </w:rPr>
              <w:t>用水量为</w:t>
            </w:r>
            <w:r>
              <w:rPr>
                <w:rFonts w:hint="eastAsia" w:cs="Times New Roman"/>
                <w:bCs/>
                <w:color w:val="000000" w:themeColor="text1"/>
                <w:szCs w:val="21"/>
                <w:lang w:val="en-US" w:eastAsia="zh-CN"/>
                <w14:textFill>
                  <w14:solidFill>
                    <w14:schemeClr w14:val="tx1"/>
                  </w14:solidFill>
                </w14:textFill>
              </w:rPr>
              <w:t>27.0吨</w:t>
            </w:r>
            <w:r>
              <w:rPr>
                <w:rFonts w:hint="eastAsia" w:ascii="Times New Roman" w:hAnsi="Times New Roman"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年，</w:t>
            </w:r>
            <w:r>
              <w:rPr>
                <w:rFonts w:hint="eastAsia" w:ascii="Times New Roman" w:hAnsi="Times New Roman" w:cs="Times New Roman"/>
                <w:bCs/>
                <w:color w:val="000000" w:themeColor="text1"/>
                <w:szCs w:val="21"/>
                <w:lang w:val="en-US" w:eastAsia="zh-CN"/>
                <w14:textFill>
                  <w14:solidFill>
                    <w14:schemeClr w14:val="tx1"/>
                  </w14:solidFill>
                </w14:textFill>
              </w:rPr>
              <w:t>污水量按用水量的90%计，则美容废水产生量为</w:t>
            </w:r>
            <w:r>
              <w:rPr>
                <w:rFonts w:hint="eastAsia" w:cs="Times New Roman"/>
                <w:bCs/>
                <w:color w:val="000000" w:themeColor="text1"/>
                <w:szCs w:val="21"/>
                <w:lang w:val="en-US" w:eastAsia="zh-CN"/>
                <w14:textFill>
                  <w14:solidFill>
                    <w14:schemeClr w14:val="tx1"/>
                  </w14:solidFill>
                </w14:textFill>
              </w:rPr>
              <w:t>24.3吨</w:t>
            </w:r>
            <w:r>
              <w:rPr>
                <w:rFonts w:hint="eastAsia" w:ascii="Times New Roman" w:hAnsi="Times New Roman"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年，本项目美容废水经过滤网过滤除毛后排入市政污水管网，最终排入奇台县科发再生水有限公司污水处理厂处理。</w:t>
            </w:r>
          </w:p>
          <w:p w14:paraId="66FCC2AF">
            <w:pPr>
              <w:pStyle w:val="3"/>
              <w:spacing w:line="360" w:lineRule="auto"/>
              <w:ind w:firstLine="480"/>
              <w:jc w:val="both"/>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③</w:t>
            </w:r>
            <w:r>
              <w:rPr>
                <w:rFonts w:hint="eastAsia" w:cs="Times New Roman"/>
                <w:bCs/>
                <w:color w:val="000000" w:themeColor="text1"/>
                <w:sz w:val="24"/>
                <w:szCs w:val="24"/>
                <w:lang w:val="en-US" w:eastAsia="zh-CN"/>
                <w14:textFill>
                  <w14:solidFill>
                    <w14:schemeClr w14:val="tx1"/>
                  </w14:solidFill>
                </w14:textFill>
              </w:rPr>
              <w:t>动物</w:t>
            </w:r>
            <w:r>
              <w:rPr>
                <w:rFonts w:hint="default" w:ascii="Times New Roman" w:hAnsi="Times New Roman" w:cs="Times New Roman"/>
                <w:bCs/>
                <w:color w:val="000000" w:themeColor="text1"/>
                <w:sz w:val="24"/>
                <w:szCs w:val="24"/>
                <w:lang w:val="en-US" w:eastAsia="zh-CN"/>
                <w14:textFill>
                  <w14:solidFill>
                    <w14:schemeClr w14:val="tx1"/>
                  </w14:solidFill>
                </w14:textFill>
              </w:rPr>
              <w:t>笼清洗</w:t>
            </w:r>
            <w:r>
              <w:rPr>
                <w:rFonts w:hint="eastAsia" w:cs="Times New Roman"/>
                <w:bCs/>
                <w:color w:val="000000" w:themeColor="text1"/>
                <w:sz w:val="24"/>
                <w:szCs w:val="24"/>
                <w:lang w:val="en-US" w:eastAsia="zh-CN"/>
                <w14:textFill>
                  <w14:solidFill>
                    <w14:schemeClr w14:val="tx1"/>
                  </w14:solidFill>
                </w14:textFill>
              </w:rPr>
              <w:t>废水</w:t>
            </w:r>
          </w:p>
          <w:p w14:paraId="708BDEBE">
            <w:pPr>
              <w:pStyle w:val="3"/>
              <w:spacing w:line="360" w:lineRule="auto"/>
              <w:ind w:firstLine="480"/>
              <w:jc w:val="both"/>
              <w:rPr>
                <w:rFonts w:hint="eastAsia"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本项目</w:t>
            </w:r>
            <w:r>
              <w:rPr>
                <w:rFonts w:hint="default" w:ascii="Times New Roman" w:hAnsi="Times New Roman" w:eastAsia="宋体" w:cs="Times New Roman"/>
                <w:bCs/>
                <w:color w:val="000000" w:themeColor="text1"/>
                <w:szCs w:val="21"/>
                <w:lang w:val="en-US" w:eastAsia="zh-CN"/>
                <w14:textFill>
                  <w14:solidFill>
                    <w14:schemeClr w14:val="tx1"/>
                  </w14:solidFill>
                </w14:textFill>
              </w:rPr>
              <w:t>宠物笼清洗用水量为</w:t>
            </w:r>
            <w:r>
              <w:rPr>
                <w:rFonts w:hint="eastAsia" w:cs="Times New Roman"/>
                <w:bCs/>
                <w:color w:val="000000" w:themeColor="text1"/>
                <w:szCs w:val="21"/>
                <w:lang w:val="en-US" w:eastAsia="zh-CN"/>
                <w14:textFill>
                  <w14:solidFill>
                    <w14:schemeClr w14:val="tx1"/>
                  </w14:solidFill>
                </w14:textFill>
              </w:rPr>
              <w:t>8.6吨</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年，</w:t>
            </w:r>
            <w:r>
              <w:rPr>
                <w:rFonts w:hint="eastAsia" w:cs="Times New Roman"/>
                <w:bCs/>
                <w:color w:val="000000" w:themeColor="text1"/>
                <w:sz w:val="24"/>
                <w:szCs w:val="24"/>
                <w:lang w:val="en-US" w:eastAsia="zh-CN"/>
                <w14:textFill>
                  <w14:solidFill>
                    <w14:schemeClr w14:val="tx1"/>
                  </w14:solidFill>
                </w14:textFill>
              </w:rPr>
              <w:t>动物</w:t>
            </w:r>
            <w:r>
              <w:rPr>
                <w:rFonts w:hint="default" w:ascii="Times New Roman" w:hAnsi="Times New Roman" w:cs="Times New Roman"/>
                <w:bCs/>
                <w:color w:val="000000" w:themeColor="text1"/>
                <w:sz w:val="24"/>
                <w:szCs w:val="24"/>
                <w:lang w:val="en-US" w:eastAsia="zh-CN"/>
                <w14:textFill>
                  <w14:solidFill>
                    <w14:schemeClr w14:val="tx1"/>
                  </w14:solidFill>
                </w14:textFill>
              </w:rPr>
              <w:t>笼清洗</w:t>
            </w:r>
            <w:r>
              <w:rPr>
                <w:rFonts w:hint="eastAsia" w:cs="Times New Roman"/>
                <w:bCs/>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bCs/>
                <w:color w:val="000000" w:themeColor="text1"/>
                <w:szCs w:val="21"/>
                <w:lang w:val="en-US" w:eastAsia="zh-CN"/>
                <w14:textFill>
                  <w14:solidFill>
                    <w14:schemeClr w14:val="tx1"/>
                  </w14:solidFill>
                </w14:textFill>
              </w:rPr>
              <w:t>产生系数按80%计算，则</w:t>
            </w:r>
            <w:r>
              <w:rPr>
                <w:rFonts w:hint="eastAsia" w:cs="Times New Roman"/>
                <w:bCs/>
                <w:color w:val="000000" w:themeColor="text1"/>
                <w:sz w:val="24"/>
                <w:szCs w:val="24"/>
                <w:lang w:val="en-US" w:eastAsia="zh-CN"/>
                <w14:textFill>
                  <w14:solidFill>
                    <w14:schemeClr w14:val="tx1"/>
                  </w14:solidFill>
                </w14:textFill>
              </w:rPr>
              <w:t>动物</w:t>
            </w:r>
            <w:r>
              <w:rPr>
                <w:rFonts w:hint="default" w:ascii="Times New Roman" w:hAnsi="Times New Roman" w:cs="Times New Roman"/>
                <w:bCs/>
                <w:color w:val="000000" w:themeColor="text1"/>
                <w:sz w:val="24"/>
                <w:szCs w:val="24"/>
                <w:lang w:val="en-US" w:eastAsia="zh-CN"/>
                <w14:textFill>
                  <w14:solidFill>
                    <w14:schemeClr w14:val="tx1"/>
                  </w14:solidFill>
                </w14:textFill>
              </w:rPr>
              <w:t>笼清洗</w:t>
            </w:r>
            <w:r>
              <w:rPr>
                <w:rFonts w:hint="eastAsia" w:cs="Times New Roman"/>
                <w:bCs/>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bCs/>
                <w:color w:val="000000" w:themeColor="text1"/>
                <w:szCs w:val="21"/>
                <w:lang w:val="en-US" w:eastAsia="zh-CN"/>
                <w14:textFill>
                  <w14:solidFill>
                    <w14:schemeClr w14:val="tx1"/>
                  </w14:solidFill>
                </w14:textFill>
              </w:rPr>
              <w:t>量为</w:t>
            </w:r>
            <w:r>
              <w:rPr>
                <w:rFonts w:hint="eastAsia" w:cs="Times New Roman"/>
                <w:bCs/>
                <w:color w:val="000000" w:themeColor="text1"/>
                <w:szCs w:val="21"/>
                <w:lang w:val="en-US" w:eastAsia="zh-CN"/>
                <w14:textFill>
                  <w14:solidFill>
                    <w14:schemeClr w14:val="tx1"/>
                  </w14:solidFill>
                </w14:textFill>
              </w:rPr>
              <w:t>6.88吨</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年，本项目</w:t>
            </w:r>
            <w:r>
              <w:rPr>
                <w:rFonts w:hint="eastAsia" w:cs="Times New Roman"/>
                <w:bCs/>
                <w:color w:val="000000" w:themeColor="text1"/>
                <w:sz w:val="24"/>
                <w:szCs w:val="24"/>
                <w:lang w:val="en-US" w:eastAsia="zh-CN"/>
                <w14:textFill>
                  <w14:solidFill>
                    <w14:schemeClr w14:val="tx1"/>
                  </w14:solidFill>
                </w14:textFill>
              </w:rPr>
              <w:t>动物</w:t>
            </w:r>
            <w:r>
              <w:rPr>
                <w:rFonts w:hint="default" w:ascii="Times New Roman" w:hAnsi="Times New Roman" w:cs="Times New Roman"/>
                <w:bCs/>
                <w:color w:val="000000" w:themeColor="text1"/>
                <w:sz w:val="24"/>
                <w:szCs w:val="24"/>
                <w:lang w:val="en-US" w:eastAsia="zh-CN"/>
                <w14:textFill>
                  <w14:solidFill>
                    <w14:schemeClr w14:val="tx1"/>
                  </w14:solidFill>
                </w14:textFill>
              </w:rPr>
              <w:t>笼清洗</w:t>
            </w:r>
            <w:r>
              <w:rPr>
                <w:rFonts w:hint="eastAsia" w:cs="Times New Roman"/>
                <w:bCs/>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bCs/>
                <w:color w:val="000000" w:themeColor="text1"/>
                <w:szCs w:val="21"/>
                <w:lang w:val="en-US" w:eastAsia="zh-CN"/>
                <w14:textFill>
                  <w14:solidFill>
                    <w14:schemeClr w14:val="tx1"/>
                  </w14:solidFill>
                </w14:textFill>
              </w:rPr>
              <w:t>排入市政</w:t>
            </w:r>
            <w:r>
              <w:rPr>
                <w:rFonts w:hint="eastAsia" w:cs="Times New Roman"/>
                <w:bCs/>
                <w:color w:val="000000" w:themeColor="text1"/>
                <w:szCs w:val="21"/>
                <w:lang w:val="en-US" w:eastAsia="zh-CN"/>
                <w14:textFill>
                  <w14:solidFill>
                    <w14:schemeClr w14:val="tx1"/>
                  </w14:solidFill>
                </w14:textFill>
              </w:rPr>
              <w:t>污水</w:t>
            </w:r>
            <w:r>
              <w:rPr>
                <w:rFonts w:hint="default" w:ascii="Times New Roman" w:hAnsi="Times New Roman" w:eastAsia="宋体" w:cs="Times New Roman"/>
                <w:bCs/>
                <w:color w:val="000000" w:themeColor="text1"/>
                <w:szCs w:val="21"/>
                <w:lang w:val="en-US" w:eastAsia="zh-CN"/>
                <w14:textFill>
                  <w14:solidFill>
                    <w14:schemeClr w14:val="tx1"/>
                  </w14:solidFill>
                </w14:textFill>
              </w:rPr>
              <w:t>管网</w:t>
            </w:r>
            <w:r>
              <w:rPr>
                <w:rFonts w:hint="eastAsia" w:ascii="Times New Roman" w:hAnsi="Times New Roman"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最终排入</w:t>
            </w:r>
            <w:r>
              <w:rPr>
                <w:rFonts w:hint="eastAsia" w:cs="Times New Roman"/>
                <w:bCs/>
                <w:color w:val="000000" w:themeColor="text1"/>
                <w:szCs w:val="21"/>
                <w:lang w:val="en-US" w:eastAsia="zh-CN"/>
                <w14:textFill>
                  <w14:solidFill>
                    <w14:schemeClr w14:val="tx1"/>
                  </w14:solidFill>
                </w14:textFill>
              </w:rPr>
              <w:t>奇台县科发再生水有限公司</w:t>
            </w:r>
            <w:r>
              <w:rPr>
                <w:rFonts w:hint="default" w:ascii="Times New Roman" w:hAnsi="Times New Roman" w:eastAsia="宋体" w:cs="Times New Roman"/>
                <w:bCs/>
                <w:color w:val="000000" w:themeColor="text1"/>
                <w:szCs w:val="21"/>
                <w:lang w:val="en-US" w:eastAsia="zh-CN"/>
                <w14:textFill>
                  <w14:solidFill>
                    <w14:schemeClr w14:val="tx1"/>
                  </w14:solidFill>
                </w14:textFill>
              </w:rPr>
              <w:t>污水处理厂处理</w:t>
            </w:r>
            <w:r>
              <w:rPr>
                <w:rFonts w:hint="eastAsia" w:cs="Times New Roman"/>
                <w:bCs/>
                <w:color w:val="000000" w:themeColor="text1"/>
                <w:szCs w:val="21"/>
                <w:lang w:val="en-US" w:eastAsia="zh-CN"/>
                <w14:textFill>
                  <w14:solidFill>
                    <w14:schemeClr w14:val="tx1"/>
                  </w14:solidFill>
                </w14:textFill>
              </w:rPr>
              <w:t>。</w:t>
            </w:r>
          </w:p>
          <w:p w14:paraId="35F42294">
            <w:pPr>
              <w:pStyle w:val="3"/>
              <w:spacing w:line="360" w:lineRule="auto"/>
              <w:ind w:firstLine="480"/>
              <w:jc w:val="both"/>
              <w:rPr>
                <w:rFonts w:hint="eastAsia" w:cs="Times New Roman"/>
                <w:bCs/>
                <w:color w:val="0000FF"/>
                <w:szCs w:val="21"/>
                <w:lang w:val="en-US" w:eastAsia="zh-CN"/>
              </w:rPr>
            </w:pPr>
            <w:r>
              <w:rPr>
                <w:rFonts w:hint="eastAsia" w:cs="Times New Roman"/>
                <w:bCs/>
                <w:color w:val="0000FF"/>
                <w:szCs w:val="21"/>
                <w:lang w:val="en-US" w:eastAsia="zh-CN"/>
              </w:rPr>
              <w:t>④生活污水</w:t>
            </w:r>
          </w:p>
          <w:p w14:paraId="5356EAD7">
            <w:pPr>
              <w:pStyle w:val="3"/>
              <w:spacing w:line="360" w:lineRule="auto"/>
              <w:ind w:firstLine="480"/>
              <w:jc w:val="both"/>
              <w:rPr>
                <w:rFonts w:hint="eastAsia" w:cs="Times New Roman"/>
                <w:bCs/>
                <w:color w:val="0000FF"/>
                <w:szCs w:val="21"/>
                <w:lang w:val="en-US" w:eastAsia="zh-CN"/>
              </w:rPr>
            </w:pPr>
            <w:r>
              <w:rPr>
                <w:rFonts w:hint="eastAsia" w:cs="Times New Roman"/>
                <w:bCs/>
                <w:color w:val="0000FF"/>
                <w:szCs w:val="21"/>
                <w:lang w:val="en-US" w:eastAsia="zh-CN"/>
              </w:rPr>
              <w:t>本</w:t>
            </w:r>
            <w:r>
              <w:rPr>
                <w:rFonts w:hint="default" w:ascii="Times New Roman" w:hAnsi="Times New Roman" w:eastAsia="宋体" w:cs="Times New Roman"/>
                <w:bCs/>
                <w:color w:val="0000FF"/>
                <w:szCs w:val="21"/>
                <w:lang w:val="en-US" w:eastAsia="zh-CN"/>
              </w:rPr>
              <w:t>项目生活用水量为</w:t>
            </w:r>
            <w:r>
              <w:rPr>
                <w:rFonts w:hint="eastAsia" w:ascii="Times New Roman" w:hAnsi="Times New Roman" w:cs="Times New Roman"/>
                <w:bCs/>
                <w:color w:val="0000FF"/>
                <w:szCs w:val="21"/>
                <w:lang w:val="en-US" w:eastAsia="zh-CN"/>
              </w:rPr>
              <w:t>7</w:t>
            </w:r>
            <w:r>
              <w:rPr>
                <w:rFonts w:hint="eastAsia" w:cs="Times New Roman"/>
                <w:bCs/>
                <w:color w:val="0000FF"/>
                <w:szCs w:val="21"/>
                <w:lang w:val="en-US" w:eastAsia="zh-CN"/>
              </w:rPr>
              <w:t>8.6吨</w:t>
            </w:r>
            <w:r>
              <w:rPr>
                <w:rFonts w:hint="eastAsia" w:ascii="Times New Roman" w:hAnsi="Times New Roman" w:cs="Times New Roman"/>
                <w:bCs/>
                <w:color w:val="0000FF"/>
                <w:szCs w:val="21"/>
                <w:lang w:val="en-US" w:eastAsia="zh-CN"/>
              </w:rPr>
              <w:t>/</w:t>
            </w:r>
            <w:r>
              <w:rPr>
                <w:rFonts w:hint="eastAsia" w:cs="Times New Roman"/>
                <w:bCs/>
                <w:color w:val="0000FF"/>
                <w:szCs w:val="21"/>
                <w:lang w:val="en-US" w:eastAsia="zh-CN"/>
              </w:rPr>
              <w:t>年，</w:t>
            </w:r>
            <w:r>
              <w:rPr>
                <w:rFonts w:hint="default" w:ascii="Times New Roman" w:hAnsi="Times New Roman" w:eastAsia="宋体" w:cs="Times New Roman"/>
                <w:bCs/>
                <w:color w:val="0000FF"/>
                <w:szCs w:val="21"/>
                <w:lang w:val="en-US" w:eastAsia="zh-CN"/>
              </w:rPr>
              <w:t>排水量按用水量的80%计，则生活污水排放量为</w:t>
            </w:r>
            <w:r>
              <w:rPr>
                <w:rFonts w:hint="eastAsia" w:ascii="Times New Roman" w:hAnsi="Times New Roman" w:cs="Times New Roman"/>
                <w:bCs/>
                <w:color w:val="0000FF"/>
                <w:szCs w:val="21"/>
                <w:lang w:val="en-US" w:eastAsia="zh-CN"/>
              </w:rPr>
              <w:t>6</w:t>
            </w:r>
            <w:r>
              <w:rPr>
                <w:rFonts w:hint="eastAsia" w:cs="Times New Roman"/>
                <w:bCs/>
                <w:color w:val="0000FF"/>
                <w:szCs w:val="21"/>
                <w:lang w:val="en-US" w:eastAsia="zh-CN"/>
              </w:rPr>
              <w:t>2.88吨</w:t>
            </w:r>
            <w:r>
              <w:rPr>
                <w:rFonts w:hint="eastAsia" w:ascii="Times New Roman" w:hAnsi="Times New Roman" w:cs="Times New Roman"/>
                <w:bCs/>
                <w:color w:val="0000FF"/>
                <w:szCs w:val="21"/>
                <w:lang w:val="en-US" w:eastAsia="zh-CN"/>
              </w:rPr>
              <w:t>/</w:t>
            </w:r>
            <w:r>
              <w:rPr>
                <w:rFonts w:hint="eastAsia" w:cs="Times New Roman"/>
                <w:bCs/>
                <w:color w:val="0000FF"/>
                <w:szCs w:val="21"/>
                <w:lang w:val="en-US" w:eastAsia="zh-CN"/>
              </w:rPr>
              <w:t>年</w:t>
            </w:r>
            <w:r>
              <w:rPr>
                <w:rFonts w:hint="eastAsia" w:ascii="Times New Roman" w:hAnsi="Times New Roman" w:eastAsia="宋体" w:cs="Times New Roman"/>
                <w:bCs/>
                <w:color w:val="0000FF"/>
                <w:szCs w:val="21"/>
                <w:lang w:val="en-US" w:eastAsia="zh-CN"/>
              </w:rPr>
              <w:t>，</w:t>
            </w:r>
            <w:r>
              <w:rPr>
                <w:rFonts w:hint="eastAsia" w:cs="Times New Roman"/>
                <w:bCs/>
                <w:color w:val="0000FF"/>
                <w:szCs w:val="21"/>
                <w:lang w:val="en-US" w:eastAsia="zh-CN"/>
              </w:rPr>
              <w:t>本项目生活污水</w:t>
            </w:r>
            <w:r>
              <w:rPr>
                <w:rFonts w:hint="default" w:ascii="Times New Roman" w:hAnsi="Times New Roman" w:eastAsia="宋体" w:cs="Times New Roman"/>
                <w:bCs/>
                <w:color w:val="0000FF"/>
                <w:szCs w:val="21"/>
                <w:lang w:val="en-US" w:eastAsia="zh-CN"/>
              </w:rPr>
              <w:t>排入市政</w:t>
            </w:r>
            <w:r>
              <w:rPr>
                <w:rFonts w:hint="eastAsia" w:cs="Times New Roman"/>
                <w:bCs/>
                <w:color w:val="0000FF"/>
                <w:szCs w:val="21"/>
                <w:lang w:val="en-US" w:eastAsia="zh-CN"/>
              </w:rPr>
              <w:t>污水</w:t>
            </w:r>
            <w:r>
              <w:rPr>
                <w:rFonts w:hint="default" w:ascii="Times New Roman" w:hAnsi="Times New Roman" w:eastAsia="宋体" w:cs="Times New Roman"/>
                <w:bCs/>
                <w:color w:val="0000FF"/>
                <w:szCs w:val="21"/>
                <w:lang w:val="en-US" w:eastAsia="zh-CN"/>
              </w:rPr>
              <w:t>管网</w:t>
            </w:r>
            <w:r>
              <w:rPr>
                <w:rFonts w:hint="eastAsia" w:ascii="Times New Roman" w:hAnsi="Times New Roman" w:cs="Times New Roman"/>
                <w:bCs/>
                <w:color w:val="0000FF"/>
                <w:szCs w:val="21"/>
                <w:lang w:val="en-US" w:eastAsia="zh-CN"/>
              </w:rPr>
              <w:t>，</w:t>
            </w:r>
            <w:r>
              <w:rPr>
                <w:rFonts w:hint="default" w:ascii="Times New Roman" w:hAnsi="Times New Roman" w:eastAsia="宋体" w:cs="Times New Roman"/>
                <w:bCs/>
                <w:color w:val="0000FF"/>
                <w:szCs w:val="21"/>
                <w:lang w:val="en-US" w:eastAsia="zh-CN"/>
              </w:rPr>
              <w:t>最终排入</w:t>
            </w:r>
            <w:r>
              <w:rPr>
                <w:rFonts w:hint="eastAsia" w:cs="Times New Roman"/>
                <w:bCs/>
                <w:color w:val="0000FF"/>
                <w:szCs w:val="21"/>
                <w:lang w:val="en-US" w:eastAsia="zh-CN"/>
              </w:rPr>
              <w:t>奇台县科发再生水有限公司</w:t>
            </w:r>
            <w:r>
              <w:rPr>
                <w:rFonts w:hint="default" w:ascii="Times New Roman" w:hAnsi="Times New Roman" w:eastAsia="宋体" w:cs="Times New Roman"/>
                <w:bCs/>
                <w:color w:val="0000FF"/>
                <w:szCs w:val="21"/>
                <w:lang w:val="en-US" w:eastAsia="zh-CN"/>
              </w:rPr>
              <w:t>污水处理厂处理</w:t>
            </w:r>
            <w:r>
              <w:rPr>
                <w:rFonts w:hint="eastAsia" w:cs="Times New Roman"/>
                <w:bCs/>
                <w:color w:val="0000FF"/>
                <w:szCs w:val="21"/>
                <w:lang w:val="en-US" w:eastAsia="zh-CN"/>
              </w:rPr>
              <w:t>。</w:t>
            </w:r>
          </w:p>
          <w:p w14:paraId="06337D4A">
            <w:pPr>
              <w:pStyle w:val="3"/>
              <w:ind w:firstLine="480"/>
              <w:jc w:val="both"/>
              <w:rPr>
                <w:rFonts w:hint="default" w:ascii="Times New Roman" w:hAnsi="Times New Roman" w:cs="Times New Roman"/>
                <w:bCs/>
                <w:color w:val="0000FF"/>
                <w:szCs w:val="21"/>
                <w:lang w:val="en-US" w:eastAsia="zh-CN"/>
              </w:rPr>
            </w:pPr>
            <w:r>
              <w:rPr>
                <w:rFonts w:hint="default" w:ascii="Times New Roman" w:hAnsi="Times New Roman" w:eastAsia="宋体" w:cs="Times New Roman"/>
                <w:bCs/>
                <w:color w:val="0000FF"/>
                <w:szCs w:val="21"/>
                <w:lang w:val="en-US" w:eastAsia="zh-CN"/>
              </w:rPr>
              <w:t>本项目水平衡见图</w:t>
            </w:r>
            <w:r>
              <w:rPr>
                <w:rFonts w:hint="eastAsia" w:cs="Times New Roman"/>
                <w:bCs/>
                <w:color w:val="0000FF"/>
                <w:szCs w:val="21"/>
                <w:lang w:val="en-US" w:eastAsia="zh-CN"/>
              </w:rPr>
              <w:t>2-</w:t>
            </w:r>
            <w:r>
              <w:rPr>
                <w:rFonts w:hint="default" w:ascii="Times New Roman" w:hAnsi="Times New Roman" w:eastAsia="宋体" w:cs="Times New Roman"/>
                <w:bCs/>
                <w:color w:val="0000FF"/>
                <w:szCs w:val="21"/>
                <w:lang w:val="en-US" w:eastAsia="zh-CN"/>
              </w:rPr>
              <w:t>1</w:t>
            </w:r>
            <w:r>
              <w:rPr>
                <w:rFonts w:hint="default" w:ascii="Times New Roman" w:hAnsi="Times New Roman" w:cs="Times New Roman"/>
                <w:bCs/>
                <w:color w:val="0000FF"/>
                <w:szCs w:val="21"/>
                <w:lang w:val="en-US" w:eastAsia="zh-CN"/>
              </w:rPr>
              <w:t>。</w:t>
            </w:r>
          </w:p>
          <w:p w14:paraId="638BD3E9">
            <w:pPr>
              <w:pStyle w:val="3"/>
              <w:ind w:left="0" w:leftChars="0" w:firstLine="0" w:firstLineChars="0"/>
              <w:jc w:val="both"/>
              <w:rPr>
                <w:rFonts w:hint="default" w:ascii="Times New Roman" w:hAnsi="Times New Roman" w:cs="Times New Roman"/>
                <w:bCs/>
                <w:color w:val="000000" w:themeColor="text1"/>
                <w:szCs w:val="21"/>
                <w:lang w:val="en-US" w:eastAsia="zh-CN"/>
                <w14:textFill>
                  <w14:solidFill>
                    <w14:schemeClr w14:val="tx1"/>
                  </w14:solidFill>
                </w14:textFill>
              </w:rPr>
            </w:pPr>
            <w:r>
              <w:rPr>
                <w:sz w:val="24"/>
              </w:rPr>
              <w:drawing>
                <wp:inline distT="0" distB="0" distL="114300" distR="114300">
                  <wp:extent cx="4968875" cy="2792730"/>
                  <wp:effectExtent l="0" t="0" r="9525" b="1270"/>
                  <wp:docPr id="24" name="图片 24"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水平衡"/>
                          <pic:cNvPicPr>
                            <a:picLocks noChangeAspect="1"/>
                          </pic:cNvPicPr>
                        </pic:nvPicPr>
                        <pic:blipFill>
                          <a:blip r:embed="rId15"/>
                          <a:stretch>
                            <a:fillRect/>
                          </a:stretch>
                        </pic:blipFill>
                        <pic:spPr>
                          <a:xfrm>
                            <a:off x="0" y="0"/>
                            <a:ext cx="4968875" cy="2792730"/>
                          </a:xfrm>
                          <a:prstGeom prst="rect">
                            <a:avLst/>
                          </a:prstGeom>
                        </pic:spPr>
                      </pic:pic>
                    </a:graphicData>
                  </a:graphic>
                </wp:inline>
              </w:drawing>
            </w:r>
          </w:p>
          <w:p w14:paraId="1CCE34E5">
            <w:pPr>
              <w:pStyle w:val="2"/>
              <w:jc w:val="center"/>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rPr>
              <w:t>图</w:t>
            </w:r>
            <w:r>
              <w:rPr>
                <w:rFonts w:hint="eastAsia" w:ascii="Times New Roman" w:hAnsi="Times New Roman" w:cs="Times New Roman"/>
                <w:color w:val="0000FF"/>
                <w:sz w:val="21"/>
                <w:szCs w:val="21"/>
                <w:lang w:val="en-US" w:eastAsia="zh-CN"/>
              </w:rPr>
              <w:t>2-1</w:t>
            </w:r>
            <w:r>
              <w:rPr>
                <w:rFonts w:hint="default" w:ascii="Times New Roman" w:hAnsi="Times New Roman" w:cs="Times New Roman"/>
                <w:color w:val="0000FF"/>
                <w:sz w:val="21"/>
                <w:szCs w:val="21"/>
              </w:rPr>
              <w:t xml:space="preserve">   </w:t>
            </w:r>
            <w:r>
              <w:rPr>
                <w:rFonts w:hint="default" w:ascii="Times New Roman" w:hAnsi="Times New Roman" w:cs="Times New Roman"/>
                <w:color w:val="0000FF"/>
                <w:sz w:val="21"/>
                <w:szCs w:val="21"/>
                <w:lang w:val="en-US" w:eastAsia="zh-CN"/>
              </w:rPr>
              <w:t>水平衡图（单位：</w:t>
            </w:r>
            <w:r>
              <w:rPr>
                <w:rFonts w:hint="eastAsia" w:ascii="Times New Roman" w:hAnsi="Times New Roman" w:cs="Times New Roman"/>
                <w:color w:val="0000FF"/>
                <w:sz w:val="21"/>
                <w:szCs w:val="21"/>
                <w:lang w:val="en-US" w:eastAsia="zh-CN"/>
              </w:rPr>
              <w:t>吨</w:t>
            </w:r>
            <w:r>
              <w:rPr>
                <w:rFonts w:hint="default" w:ascii="Times New Roman" w:hAnsi="Times New Roman" w:cs="Times New Roman"/>
                <w:color w:val="0000FF"/>
                <w:sz w:val="21"/>
                <w:szCs w:val="21"/>
                <w:lang w:val="en-US" w:eastAsia="zh-CN"/>
              </w:rPr>
              <w:t>/</w:t>
            </w:r>
            <w:r>
              <w:rPr>
                <w:rFonts w:hint="eastAsia" w:ascii="Times New Roman" w:hAnsi="Times New Roman" w:cs="Times New Roman"/>
                <w:color w:val="0000FF"/>
                <w:sz w:val="21"/>
                <w:szCs w:val="21"/>
                <w:lang w:val="en-US" w:eastAsia="zh-CN"/>
              </w:rPr>
              <w:t>年</w:t>
            </w:r>
            <w:r>
              <w:rPr>
                <w:rFonts w:hint="default" w:ascii="Times New Roman" w:hAnsi="Times New Roman" w:cs="Times New Roman"/>
                <w:color w:val="0000FF"/>
                <w:sz w:val="21"/>
                <w:szCs w:val="21"/>
                <w:lang w:val="en-US" w:eastAsia="zh-CN"/>
              </w:rPr>
              <w:t>）</w:t>
            </w:r>
          </w:p>
          <w:p w14:paraId="6A128BE0">
            <w:pPr>
              <w:pStyle w:val="6"/>
              <w:jc w:val="both"/>
              <w:outlineLvl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 xml:space="preserve"> 工作制度及劳动定员</w:t>
            </w:r>
          </w:p>
          <w:p w14:paraId="19E9940E">
            <w:pPr>
              <w:pStyle w:val="3"/>
              <w:ind w:firstLine="480"/>
              <w:jc w:val="both"/>
              <w:rPr>
                <w:rFonts w:hint="default" w:ascii="Times New Roman" w:hAnsi="Times New Roman" w:eastAsia="宋体" w:cs="Times New Roman"/>
                <w:bCs/>
                <w:color w:val="000000" w:themeColor="text1"/>
                <w:szCs w:val="21"/>
                <w:lang w:val="en-US"/>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本</w:t>
            </w:r>
            <w:r>
              <w:rPr>
                <w:rFonts w:hint="default" w:ascii="Times New Roman" w:hAnsi="Times New Roman" w:eastAsia="宋体" w:cs="Times New Roman"/>
                <w:bCs/>
                <w:color w:val="000000" w:themeColor="text1"/>
                <w:szCs w:val="21"/>
                <w:lang w:val="en-US" w:eastAsia="zh-CN"/>
                <w14:textFill>
                  <w14:solidFill>
                    <w14:schemeClr w14:val="tx1"/>
                  </w14:solidFill>
                </w14:textFill>
              </w:rPr>
              <w:t>项目共有员工</w:t>
            </w:r>
            <w:r>
              <w:rPr>
                <w:rFonts w:hint="default" w:ascii="Times New Roman" w:hAnsi="Times New Roman" w:cs="Times New Roman"/>
                <w:bCs/>
                <w:color w:val="000000" w:themeColor="text1"/>
                <w:szCs w:val="21"/>
                <w:lang w:val="en-US" w:eastAsia="zh-CN"/>
                <w14:textFill>
                  <w14:solidFill>
                    <w14:schemeClr w14:val="tx1"/>
                  </w14:solidFill>
                </w14:textFill>
              </w:rPr>
              <w:t>5</w:t>
            </w:r>
            <w:r>
              <w:rPr>
                <w:rFonts w:hint="default" w:ascii="Times New Roman" w:hAnsi="Times New Roman" w:eastAsia="宋体" w:cs="Times New Roman"/>
                <w:bCs/>
                <w:color w:val="000000" w:themeColor="text1"/>
                <w:szCs w:val="21"/>
                <w:lang w:val="en-US" w:eastAsia="zh-CN"/>
                <w14:textFill>
                  <w14:solidFill>
                    <w14:schemeClr w14:val="tx1"/>
                  </w14:solidFill>
                </w14:textFill>
              </w:rPr>
              <w:t>人，不提供食宿，年工作3</w:t>
            </w:r>
            <w:r>
              <w:rPr>
                <w:rFonts w:hint="eastAsia" w:ascii="Times New Roman" w:hAnsi="Times New Roman" w:cs="Times New Roman"/>
                <w:bCs/>
                <w:color w:val="000000" w:themeColor="text1"/>
                <w:szCs w:val="21"/>
                <w:lang w:val="en-US" w:eastAsia="zh-CN"/>
                <w14:textFill>
                  <w14:solidFill>
                    <w14:schemeClr w14:val="tx1"/>
                  </w14:solidFill>
                </w14:textFill>
              </w:rPr>
              <w:t>00</w:t>
            </w:r>
            <w:r>
              <w:rPr>
                <w:rFonts w:hint="default" w:ascii="Times New Roman" w:hAnsi="Times New Roman" w:eastAsia="宋体" w:cs="Times New Roman"/>
                <w:bCs/>
                <w:color w:val="000000" w:themeColor="text1"/>
                <w:szCs w:val="21"/>
                <w:lang w:val="en-US" w:eastAsia="zh-CN"/>
                <w14:textFill>
                  <w14:solidFill>
                    <w14:schemeClr w14:val="tx1"/>
                  </w14:solidFill>
                </w14:textFill>
              </w:rPr>
              <w:t>天，每天工作时间为10</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Cs w:val="21"/>
                <w:lang w:val="en-US" w:eastAsia="zh-CN"/>
                <w14:textFill>
                  <w14:solidFill>
                    <w14:schemeClr w14:val="tx1"/>
                  </w14:solidFill>
                </w14:textFill>
              </w:rPr>
              <w:t>00-2</w:t>
            </w:r>
            <w:r>
              <w:rPr>
                <w:rFonts w:hint="eastAsia" w:cs="Times New Roman"/>
                <w:bCs/>
                <w:color w:val="000000" w:themeColor="text1"/>
                <w:szCs w:val="21"/>
                <w:lang w:val="en-US" w:eastAsia="zh-CN"/>
                <w14:textFill>
                  <w14:solidFill>
                    <w14:schemeClr w14:val="tx1"/>
                  </w14:solidFill>
                </w14:textFill>
              </w:rPr>
              <w:t>0：</w:t>
            </w:r>
            <w:r>
              <w:rPr>
                <w:rFonts w:hint="default" w:ascii="Times New Roman" w:hAnsi="Times New Roman" w:eastAsia="宋体" w:cs="Times New Roman"/>
                <w:bCs/>
                <w:color w:val="000000" w:themeColor="text1"/>
                <w:szCs w:val="21"/>
                <w:lang w:val="en-US" w:eastAsia="zh-CN"/>
                <w14:textFill>
                  <w14:solidFill>
                    <w14:schemeClr w14:val="tx1"/>
                  </w14:solidFill>
                </w14:textFill>
              </w:rPr>
              <w:t>00</w:t>
            </w:r>
            <w:r>
              <w:rPr>
                <w:rFonts w:hint="default" w:ascii="Times New Roman" w:hAnsi="Times New Roman" w:cs="Times New Roman"/>
                <w:bCs/>
                <w:color w:val="000000" w:themeColor="text1"/>
                <w:szCs w:val="21"/>
                <w:lang w:val="en-US" w:eastAsia="zh-CN"/>
                <w14:textFill>
                  <w14:solidFill>
                    <w14:schemeClr w14:val="tx1"/>
                  </w14:solidFill>
                </w14:textFill>
              </w:rPr>
              <w:t>。</w:t>
            </w:r>
          </w:p>
          <w:p w14:paraId="1BC72C72">
            <w:pPr>
              <w:pStyle w:val="6"/>
              <w:jc w:val="both"/>
              <w:outlineLvl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总平面布置</w:t>
            </w:r>
          </w:p>
          <w:p w14:paraId="4849A22A">
            <w:pPr>
              <w:pStyle w:val="3"/>
              <w:ind w:firstLine="480"/>
              <w:jc w:val="both"/>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bCs/>
                <w:color w:val="000000" w:themeColor="text1"/>
                <w:szCs w:val="21"/>
                <w:lang w:val="en-US" w:eastAsia="zh-CN"/>
                <w14:textFill>
                  <w14:solidFill>
                    <w14:schemeClr w14:val="tx1"/>
                  </w14:solidFill>
                </w14:textFill>
              </w:rPr>
              <w:t>本</w:t>
            </w:r>
            <w:r>
              <w:rPr>
                <w:rFonts w:hint="default" w:ascii="Times New Roman" w:hAnsi="Times New Roman" w:eastAsia="宋体" w:cs="Times New Roman"/>
                <w:bCs/>
                <w:color w:val="000000" w:themeColor="text1"/>
                <w:szCs w:val="21"/>
                <w:lang w:val="en-US" w:eastAsia="zh-CN"/>
                <w14:textFill>
                  <w14:solidFill>
                    <w14:schemeClr w14:val="tx1"/>
                  </w14:solidFill>
                </w14:textFill>
              </w:rPr>
              <w:t>项目位于</w:t>
            </w:r>
            <w:r>
              <w:rPr>
                <w:rFonts w:hint="default" w:ascii="Times New Roman" w:hAnsi="Times New Roman" w:eastAsia="宋体"/>
                <w:color w:val="000000" w:themeColor="text1"/>
                <w:lang w:val="en-US" w:eastAsia="zh-CN"/>
                <w14:textFill>
                  <w14:solidFill>
                    <w14:schemeClr w14:val="tx1"/>
                  </w14:solidFill>
                </w14:textFill>
              </w:rPr>
              <w:t>新疆维吾尔自治区昌吉</w:t>
            </w:r>
            <w:r>
              <w:rPr>
                <w:rFonts w:hint="eastAsia" w:ascii="Times New Roman" w:hAnsi="Times New Roman" w:eastAsia="宋体"/>
                <w:color w:val="000000" w:themeColor="text1"/>
                <w:lang w:val="en-US" w:eastAsia="zh-CN"/>
                <w14:textFill>
                  <w14:solidFill>
                    <w14:schemeClr w14:val="tx1"/>
                  </w14:solidFill>
                </w14:textFill>
              </w:rPr>
              <w:t>回族自治</w:t>
            </w:r>
            <w:r>
              <w:rPr>
                <w:rFonts w:hint="default" w:ascii="Times New Roman" w:hAnsi="Times New Roman" w:eastAsia="宋体"/>
                <w:color w:val="000000" w:themeColor="text1"/>
                <w:lang w:val="en-US" w:eastAsia="zh-CN"/>
                <w14:textFill>
                  <w14:solidFill>
                    <w14:schemeClr w14:val="tx1"/>
                  </w14:solidFill>
                </w14:textFill>
              </w:rPr>
              <w:t>州</w:t>
            </w:r>
            <w:r>
              <w:rPr>
                <w:rFonts w:hint="eastAsia" w:ascii="Times New Roman" w:hAnsi="Times New Roman" w:eastAsia="宋体"/>
                <w:color w:val="000000" w:themeColor="text1"/>
                <w:lang w:val="en-US" w:eastAsia="zh-CN"/>
                <w14:textFill>
                  <w14:solidFill>
                    <w14:schemeClr w14:val="tx1"/>
                  </w14:solidFill>
                </w14:textFill>
              </w:rPr>
              <w:t>奇台</w:t>
            </w:r>
            <w:r>
              <w:rPr>
                <w:rFonts w:hint="default" w:ascii="Times New Roman" w:hAnsi="Times New Roman" w:eastAsia="宋体"/>
                <w:color w:val="000000" w:themeColor="text1"/>
                <w:lang w:val="en-US" w:eastAsia="zh-CN"/>
                <w14:textFill>
                  <w14:solidFill>
                    <w14:schemeClr w14:val="tx1"/>
                  </w14:solidFill>
                </w14:textFill>
              </w:rPr>
              <w:t>县</w:t>
            </w:r>
            <w:r>
              <w:rPr>
                <w:rFonts w:hint="default" w:eastAsia="宋体"/>
                <w:b w:val="0"/>
                <w:bCs/>
                <w:color w:val="000000" w:themeColor="text1"/>
                <w:lang w:val="en-US" w:eastAsia="zh-CN"/>
                <w14:textFill>
                  <w14:solidFill>
                    <w14:schemeClr w14:val="tx1"/>
                  </w14:solidFill>
                </w14:textFill>
              </w:rPr>
              <w:t>团结路与</w:t>
            </w:r>
            <w:r>
              <w:rPr>
                <w:rFonts w:hint="eastAsia"/>
                <w:b w:val="0"/>
                <w:bCs/>
                <w:color w:val="000000" w:themeColor="text1"/>
                <w:lang w:val="en-US" w:eastAsia="zh-CN"/>
                <w14:textFill>
                  <w14:solidFill>
                    <w14:schemeClr w14:val="tx1"/>
                  </w14:solidFill>
                </w14:textFill>
              </w:rPr>
              <w:t>旱</w:t>
            </w:r>
            <w:r>
              <w:rPr>
                <w:rFonts w:hint="default" w:eastAsia="宋体"/>
                <w:b w:val="0"/>
                <w:bCs/>
                <w:color w:val="000000" w:themeColor="text1"/>
                <w:lang w:val="en-US" w:eastAsia="zh-CN"/>
                <w14:textFill>
                  <w14:solidFill>
                    <w14:schemeClr w14:val="tx1"/>
                  </w14:solidFill>
                </w14:textFill>
              </w:rPr>
              <w:t>码头中街交汇处圣水华庭1幢1层</w:t>
            </w:r>
            <w:r>
              <w:rPr>
                <w:rFonts w:hint="eastAsia" w:ascii="Times New Roman" w:hAnsi="Times New Roman" w:eastAsia="宋体"/>
                <w:b w:val="0"/>
                <w:bCs/>
                <w:color w:val="000000" w:themeColor="text1"/>
                <w:lang w:val="en-US" w:eastAsia="zh-CN"/>
                <w14:textFill>
                  <w14:solidFill>
                    <w14:schemeClr w14:val="tx1"/>
                  </w14:solidFill>
                </w14:textFill>
              </w:rPr>
              <w:t>4号、5号、</w:t>
            </w:r>
            <w:r>
              <w:rPr>
                <w:rFonts w:hint="default" w:ascii="Times New Roman" w:hAnsi="Times New Roman" w:eastAsia="宋体"/>
                <w:b w:val="0"/>
                <w:bCs/>
                <w:color w:val="000000" w:themeColor="text1"/>
                <w:lang w:val="en-US" w:eastAsia="zh-CN"/>
                <w14:textFill>
                  <w14:solidFill>
                    <w14:schemeClr w14:val="tx1"/>
                  </w14:solidFill>
                </w14:textFill>
              </w:rPr>
              <w:t>6号</w:t>
            </w:r>
            <w:r>
              <w:rPr>
                <w:rFonts w:hint="default" w:ascii="Times New Roman" w:hAnsi="Times New Roman" w:eastAsia="宋体" w:cs="Times New Roman"/>
                <w:bCs/>
                <w:color w:val="000000" w:themeColor="text1"/>
                <w:szCs w:val="21"/>
                <w:lang w:val="en-US" w:eastAsia="zh-CN"/>
                <w14:textFill>
                  <w14:solidFill>
                    <w14:schemeClr w14:val="tx1"/>
                  </w14:solidFill>
                </w14:textFill>
              </w:rPr>
              <w:t>，租赁店</w:t>
            </w:r>
            <w:r>
              <w:rPr>
                <w:rFonts w:hint="default" w:eastAsia="宋体"/>
                <w:b w:val="0"/>
                <w:bCs/>
                <w:color w:val="000000" w:themeColor="text1"/>
                <w:lang w:val="en-US" w:eastAsia="zh-CN"/>
                <w14:textFill>
                  <w14:solidFill>
                    <w14:schemeClr w14:val="tx1"/>
                  </w14:solidFill>
                </w14:textFill>
              </w:rPr>
              <w:t>面共有</w:t>
            </w:r>
            <w:r>
              <w:rPr>
                <w:rFonts w:hint="eastAsia" w:eastAsia="宋体"/>
                <w:b w:val="0"/>
                <w:bCs/>
                <w:color w:val="000000" w:themeColor="text1"/>
                <w:lang w:val="en-US" w:eastAsia="zh-CN"/>
                <w14:textFill>
                  <w14:solidFill>
                    <w14:schemeClr w14:val="tx1"/>
                  </w14:solidFill>
                </w14:textFill>
              </w:rPr>
              <w:t>1</w:t>
            </w:r>
            <w:r>
              <w:rPr>
                <w:rFonts w:hint="default" w:eastAsia="宋体"/>
                <w:b w:val="0"/>
                <w:bCs/>
                <w:color w:val="000000" w:themeColor="text1"/>
                <w:lang w:val="en-US" w:eastAsia="zh-CN"/>
                <w14:textFill>
                  <w14:solidFill>
                    <w14:schemeClr w14:val="tx1"/>
                  </w14:solidFill>
                </w14:textFill>
              </w:rPr>
              <w:t>层，</w:t>
            </w:r>
            <w:r>
              <w:rPr>
                <w:rFonts w:hint="eastAsia" w:eastAsia="宋体"/>
                <w:b w:val="0"/>
                <w:bCs/>
                <w:color w:val="000000" w:themeColor="text1"/>
                <w:lang w:val="en-US" w:eastAsia="zh-CN"/>
                <w14:textFill>
                  <w14:solidFill>
                    <w14:schemeClr w14:val="tx1"/>
                  </w14:solidFill>
                </w14:textFill>
              </w:rPr>
              <w:t>设置设置前台、诊室、免疫室、化验区、处置台、犬住院部、猫住院部、库房、卫生间、手术室、美容室、X光室、医疗废物暂存间、传染病隔离室。</w:t>
            </w:r>
            <w:r>
              <w:rPr>
                <w:rFonts w:hint="default" w:eastAsia="宋体"/>
                <w:b w:val="0"/>
                <w:bCs/>
                <w:color w:val="000000" w:themeColor="text1"/>
                <w:lang w:val="en-US" w:eastAsia="zh-CN"/>
                <w14:textFill>
                  <w14:solidFill>
                    <w14:schemeClr w14:val="tx1"/>
                  </w14:solidFill>
                </w14:textFill>
              </w:rPr>
              <w:t>医疗废水处理设施位于</w:t>
            </w:r>
            <w:r>
              <w:rPr>
                <w:rFonts w:hint="eastAsia" w:eastAsia="宋体"/>
                <w:b w:val="0"/>
                <w:bCs/>
                <w:color w:val="000000" w:themeColor="text1"/>
                <w:lang w:val="en-US" w:eastAsia="zh-CN"/>
                <w14:textFill>
                  <w14:solidFill>
                    <w14:schemeClr w14:val="tx1"/>
                  </w14:solidFill>
                </w14:textFill>
              </w:rPr>
              <w:t>手术室内，医疗废水即产即处理。</w:t>
            </w:r>
            <w:r>
              <w:rPr>
                <w:rFonts w:hint="default" w:eastAsia="宋体"/>
                <w:b w:val="0"/>
                <w:bCs/>
                <w:color w:val="000000" w:themeColor="text1"/>
                <w:lang w:val="en-US" w:eastAsia="zh-CN"/>
                <w14:textFill>
                  <w14:solidFill>
                    <w14:schemeClr w14:val="tx1"/>
                  </w14:solidFill>
                </w14:textFill>
              </w:rPr>
              <w:t>项目整体布局跟操作</w:t>
            </w:r>
            <w:r>
              <w:rPr>
                <w:rFonts w:hint="default" w:ascii="Times New Roman" w:hAnsi="Times New Roman" w:eastAsia="宋体" w:cs="Times New Roman"/>
                <w:bCs/>
                <w:color w:val="000000" w:themeColor="text1"/>
                <w:szCs w:val="21"/>
                <w:lang w:val="en-US" w:eastAsia="zh-CN"/>
                <w14:textFill>
                  <w14:solidFill>
                    <w14:schemeClr w14:val="tx1"/>
                  </w14:solidFill>
                </w14:textFill>
              </w:rPr>
              <w:t>流程的先后顺序相符合，各功能区分区布置，功能分区明确。</w:t>
            </w:r>
          </w:p>
          <w:p w14:paraId="33600620">
            <w:pPr>
              <w:pStyle w:val="3"/>
              <w:ind w:firstLine="48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综上分析，本项目总平面布置功能区划明确，设施设备布置合理，交通便利、顺畅，项目平面布局从环保方面分析基本合理。平面布置图见</w:t>
            </w: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附图4</w:t>
            </w:r>
            <w:r>
              <w:rPr>
                <w:rFonts w:hint="default" w:ascii="Times New Roman" w:hAnsi="Times New Roman" w:eastAsia="宋体" w:cs="Times New Roman"/>
                <w:bCs/>
                <w:color w:val="000000" w:themeColor="text1"/>
                <w:szCs w:val="21"/>
                <w:lang w:val="en-US" w:eastAsia="zh-CN"/>
                <w14:textFill>
                  <w14:solidFill>
                    <w14:schemeClr w14:val="tx1"/>
                  </w14:solidFill>
                </w14:textFill>
              </w:rPr>
              <w:t>。</w:t>
            </w:r>
          </w:p>
        </w:tc>
      </w:tr>
      <w:tr w14:paraId="23A237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4" w:hRule="atLeast"/>
          <w:jc w:val="center"/>
        </w:trPr>
        <w:tc>
          <w:tcPr>
            <w:tcW w:w="454" w:type="dxa"/>
            <w:tcBorders>
              <w:tl2br w:val="nil"/>
              <w:tr2bl w:val="nil"/>
            </w:tcBorders>
            <w:vAlign w:val="center"/>
          </w:tcPr>
          <w:p w14:paraId="142F6F73">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工艺流程和产排污环节</w:t>
            </w:r>
          </w:p>
        </w:tc>
        <w:tc>
          <w:tcPr>
            <w:tcW w:w="8068" w:type="dxa"/>
            <w:tcBorders>
              <w:tl2br w:val="nil"/>
              <w:tr2bl w:val="nil"/>
            </w:tcBorders>
          </w:tcPr>
          <w:p w14:paraId="21F36440">
            <w:pPr>
              <w:pStyle w:val="6"/>
              <w:jc w:val="both"/>
              <w:outlineLvl w:val="2"/>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 施工期工艺流程简述</w:t>
            </w:r>
          </w:p>
          <w:p w14:paraId="08D51388">
            <w:pPr>
              <w:pStyle w:val="6"/>
              <w:keepNext/>
              <w:keepLines/>
              <w:pageBreakBefore w:val="0"/>
              <w:widowControl w:val="0"/>
              <w:kinsoku/>
              <w:wordWrap/>
              <w:overflowPunct/>
              <w:topLinePunct w:val="0"/>
              <w:autoSpaceDE/>
              <w:autoSpaceDN/>
              <w:bidi w:val="0"/>
              <w:adjustRightInd/>
              <w:snapToGrid/>
              <w:ind w:firstLine="480" w:firstLineChars="200"/>
              <w:jc w:val="both"/>
              <w:textAlignment w:val="auto"/>
              <w:outlineLvl w:val="2"/>
              <w:rPr>
                <w:rFonts w:hint="eastAsia" w:cs="Times New Roman"/>
                <w:b w:val="0"/>
                <w:bCs/>
                <w:color w:val="000000" w:themeColor="text1"/>
                <w:kern w:val="2"/>
                <w:sz w:val="24"/>
                <w:szCs w:val="21"/>
                <w:lang w:val="en-US" w:eastAsia="zh-CN" w:bidi="ar-SA"/>
                <w14:textFill>
                  <w14:solidFill>
                    <w14:schemeClr w14:val="tx1"/>
                  </w14:solidFill>
                </w14:textFill>
              </w:rPr>
            </w:pPr>
            <w:r>
              <w:rPr>
                <w:rFonts w:hint="eastAsia" w:cs="Times New Roman"/>
                <w:b w:val="0"/>
                <w:bCs/>
                <w:color w:val="000000" w:themeColor="text1"/>
                <w:kern w:val="2"/>
                <w:sz w:val="24"/>
                <w:szCs w:val="21"/>
                <w:lang w:val="en-US" w:eastAsia="zh-CN" w:bidi="ar-SA"/>
                <w14:textFill>
                  <w14:solidFill>
                    <w14:schemeClr w14:val="tx1"/>
                  </w14:solidFill>
                </w14:textFill>
              </w:rPr>
              <w:t>本项目租赁现有商铺门面，施工期主要为建筑装饰工程以及设备安装工程。施工期对环境的影响主要为装饰过程的扬尘、噪声以及一些装修垃圾，施工期具有短暂性，工程结束后施工产生的烟尘、噪声等对环境影响随之消失，装修垃圾由装修公司自行带走处理。本项目施工期主要工艺流程及产污环节见图2-2。</w:t>
            </w:r>
          </w:p>
          <w:p w14:paraId="7D0914A5">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391025" cy="1543050"/>
                  <wp:effectExtent l="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4391025" cy="1543050"/>
                          </a:xfrm>
                          <a:prstGeom prst="rect">
                            <a:avLst/>
                          </a:prstGeom>
                          <a:noFill/>
                          <a:ln>
                            <a:noFill/>
                          </a:ln>
                        </pic:spPr>
                      </pic:pic>
                    </a:graphicData>
                  </a:graphic>
                </wp:inline>
              </w:drawing>
            </w:r>
          </w:p>
          <w:p w14:paraId="3233AFAD">
            <w:pPr>
              <w:pStyle w:val="2"/>
              <w:jc w:val="center"/>
              <w:rPr>
                <w:rFonts w:hint="default" w:eastAsia="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施工期</w:t>
            </w:r>
            <w:r>
              <w:rPr>
                <w:rFonts w:hint="default" w:ascii="Times New Roman" w:hAnsi="Times New Roman" w:cs="Times New Roman"/>
                <w:color w:val="000000" w:themeColor="text1"/>
                <w:sz w:val="21"/>
                <w:szCs w:val="21"/>
                <w14:textFill>
                  <w14:solidFill>
                    <w14:schemeClr w14:val="tx1"/>
                  </w14:solidFill>
                </w14:textFill>
              </w:rPr>
              <w:t>工艺流程</w:t>
            </w:r>
            <w:r>
              <w:rPr>
                <w:rFonts w:hint="eastAsia" w:cs="Times New Roman"/>
                <w:color w:val="000000" w:themeColor="text1"/>
                <w:sz w:val="21"/>
                <w:szCs w:val="21"/>
                <w:lang w:val="en-US" w:eastAsia="zh-CN"/>
                <w14:textFill>
                  <w14:solidFill>
                    <w14:schemeClr w14:val="tx1"/>
                  </w14:solidFill>
                </w14:textFill>
              </w:rPr>
              <w:t>及产污节点图</w:t>
            </w:r>
          </w:p>
          <w:p w14:paraId="4308B966">
            <w:pPr>
              <w:pStyle w:val="6"/>
              <w:jc w:val="both"/>
              <w:outlineLvl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营运期工艺流程简述</w:t>
            </w:r>
          </w:p>
          <w:p w14:paraId="7F504C28">
            <w:pPr>
              <w:pStyle w:val="6"/>
              <w:jc w:val="both"/>
              <w:outlineLvl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.1 生产工艺流程图</w:t>
            </w:r>
          </w:p>
          <w:p w14:paraId="26FDDC32">
            <w:pPr>
              <w:pStyle w:val="3"/>
              <w:ind w:firstLine="48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项目工艺流程详见下图。</w:t>
            </w:r>
          </w:p>
          <w:p w14:paraId="522CB02B">
            <w:pPr>
              <w:pStyle w:val="3"/>
              <w:ind w:firstLine="0" w:firstLineChars="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599305" cy="2717800"/>
                  <wp:effectExtent l="0" t="0" r="10795" b="6350"/>
                  <wp:docPr id="36" name="图片 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af181b33-2089-46fa-982d-831ec7d4d05e}"/>
                        </s:tag>
                      </a:ext>
                    </a:extLst>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7"/>
                          <a:stretch>
                            <a:fillRect/>
                          </a:stretch>
                        </pic:blipFill>
                        <pic:spPr>
                          <a:xfrm>
                            <a:off x="0" y="0"/>
                            <a:ext cx="4599305" cy="2717800"/>
                          </a:xfrm>
                          <a:prstGeom prst="rect">
                            <a:avLst/>
                          </a:prstGeom>
                          <a:noFill/>
                          <a:ln>
                            <a:noFill/>
                          </a:ln>
                        </pic:spPr>
                      </pic:pic>
                    </a:graphicData>
                  </a:graphic>
                </wp:inline>
              </w:drawing>
            </w:r>
          </w:p>
          <w:p w14:paraId="7FAE1DB7">
            <w:pPr>
              <w:pStyle w:val="1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w:t>
            </w:r>
            <w:r>
              <w:rPr>
                <w:rFonts w:hint="eastAsia" w:cs="Times New Roman"/>
                <w:color w:val="000000" w:themeColor="text1"/>
                <w:sz w:val="21"/>
                <w:szCs w:val="21"/>
                <w:lang w:val="en-US" w:eastAsia="zh-CN"/>
                <w14:textFill>
                  <w14:solidFill>
                    <w14:schemeClr w14:val="tx1"/>
                  </w14:solidFill>
                </w14:textFill>
              </w:rPr>
              <w:t>2-3</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运营期</w:t>
            </w:r>
            <w:r>
              <w:rPr>
                <w:rFonts w:hint="default" w:ascii="Times New Roman" w:hAnsi="Times New Roman" w:cs="Times New Roman"/>
                <w:color w:val="000000" w:themeColor="text1"/>
                <w:sz w:val="21"/>
                <w:szCs w:val="21"/>
                <w14:textFill>
                  <w14:solidFill>
                    <w14:schemeClr w14:val="tx1"/>
                  </w14:solidFill>
                </w14:textFill>
              </w:rPr>
              <w:t>工艺流程</w:t>
            </w:r>
            <w:r>
              <w:rPr>
                <w:rFonts w:hint="eastAsia" w:cs="Times New Roman"/>
                <w:color w:val="000000" w:themeColor="text1"/>
                <w:sz w:val="21"/>
                <w:szCs w:val="21"/>
                <w:lang w:val="en-US" w:eastAsia="zh-CN"/>
                <w14:textFill>
                  <w14:solidFill>
                    <w14:schemeClr w14:val="tx1"/>
                  </w14:solidFill>
                </w14:textFill>
              </w:rPr>
              <w:t>及产污节点</w:t>
            </w:r>
            <w:r>
              <w:rPr>
                <w:rFonts w:hint="default" w:ascii="Times New Roman" w:hAnsi="Times New Roman" w:cs="Times New Roman"/>
                <w:color w:val="000000" w:themeColor="text1"/>
                <w:sz w:val="21"/>
                <w:szCs w:val="21"/>
                <w14:textFill>
                  <w14:solidFill>
                    <w14:schemeClr w14:val="tx1"/>
                  </w14:solidFill>
                </w14:textFill>
              </w:rPr>
              <w:t>图</w:t>
            </w:r>
          </w:p>
          <w:p w14:paraId="28CBEC76">
            <w:pPr>
              <w:pStyle w:val="3"/>
              <w:ind w:firstLine="0" w:firstLineChars="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生产工艺流程简述：</w:t>
            </w:r>
          </w:p>
          <w:p w14:paraId="13E699F3">
            <w:pPr>
              <w:pStyle w:val="3"/>
              <w:keepNext w:val="0"/>
              <w:keepLines w:val="0"/>
              <w:pageBreakBefore w:val="0"/>
              <w:widowControl w:val="0"/>
              <w:kinsoku/>
              <w:wordWrap/>
              <w:overflowPunct/>
              <w:autoSpaceDE/>
              <w:autoSpaceDN/>
              <w:bidi w:val="0"/>
              <w:adjustRightInd/>
              <w:snapToGrid/>
              <w:spacing w:after="0" w:line="360" w:lineRule="auto"/>
              <w:ind w:firstLine="480" w:firstLineChars="200"/>
              <w:jc w:val="both"/>
              <w:rPr>
                <w:rFonts w:hint="eastAsia" w:ascii="Times New Roman" w:hAnsi="Times New Roman" w:eastAsia="宋体" w:cs="Times New Roman"/>
                <w:b w:val="0"/>
                <w:bCs w:val="0"/>
                <w:color w:val="000000" w:themeColor="text1"/>
                <w:sz w:val="24"/>
                <w:lang w:eastAsia="zh-CN"/>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美容、护理</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根据客户需求，对宠物进行美容处理，美容过程包括洗浴、剪毛发、指甲、洗耳、造型设计等美容服务，美容后即可离开</w:t>
            </w:r>
            <w:r>
              <w:rPr>
                <w:rFonts w:hint="eastAsia" w:cs="Times New Roman"/>
                <w:b w:val="0"/>
                <w:bCs w:val="0"/>
                <w:color w:val="000000" w:themeColor="text1"/>
                <w:sz w:val="24"/>
                <w:lang w:eastAsia="zh-CN"/>
                <w14:textFill>
                  <w14:solidFill>
                    <w14:schemeClr w14:val="tx1"/>
                  </w14:solidFill>
                </w14:textFill>
              </w:rPr>
              <w:t>。</w:t>
            </w:r>
          </w:p>
          <w:p w14:paraId="53967956">
            <w:pPr>
              <w:pStyle w:val="3"/>
              <w:keepNext w:val="0"/>
              <w:keepLines w:val="0"/>
              <w:pageBreakBefore w:val="0"/>
              <w:widowControl w:val="0"/>
              <w:kinsoku/>
              <w:wordWrap/>
              <w:overflowPunct/>
              <w:autoSpaceDE/>
              <w:autoSpaceDN/>
              <w:bidi w:val="0"/>
              <w:adjustRightInd/>
              <w:snapToGrid/>
              <w:spacing w:after="0" w:line="360" w:lineRule="auto"/>
              <w:ind w:firstLine="480" w:firstLineChars="200"/>
              <w:jc w:val="both"/>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宠物寄养</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此过程产生宠物毛发、排泄物粪便、废水、噪声。</w:t>
            </w:r>
          </w:p>
          <w:p w14:paraId="527EB28F">
            <w:pPr>
              <w:pStyle w:val="3"/>
              <w:keepNext w:val="0"/>
              <w:keepLines w:val="0"/>
              <w:pageBreakBefore w:val="0"/>
              <w:widowControl w:val="0"/>
              <w:kinsoku/>
              <w:wordWrap/>
              <w:overflowPunct/>
              <w:autoSpaceDE/>
              <w:autoSpaceDN/>
              <w:bidi w:val="0"/>
              <w:adjustRightInd/>
              <w:snapToGrid/>
              <w:spacing w:after="0" w:line="360" w:lineRule="auto"/>
              <w:ind w:firstLine="480" w:firstLineChars="200"/>
              <w:jc w:val="both"/>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问诊检查</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顾客将受伤或生病的动物带入医院后，医生对动物进行</w:t>
            </w:r>
            <w:r>
              <w:rPr>
                <w:rFonts w:hint="eastAsia" w:cs="Times New Roman"/>
                <w:b w:val="0"/>
                <w:bCs w:val="0"/>
                <w:color w:val="000000" w:themeColor="text1"/>
                <w:sz w:val="24"/>
                <w:lang w:eastAsia="zh-CN"/>
                <w14:textFill>
                  <w14:solidFill>
                    <w14:schemeClr w14:val="tx1"/>
                  </w14:solidFill>
                </w14:textFill>
              </w:rPr>
              <w:t>医疗</w:t>
            </w:r>
            <w:r>
              <w:rPr>
                <w:rFonts w:hint="default" w:ascii="Times New Roman" w:hAnsi="Times New Roman" w:cs="Times New Roman"/>
                <w:b w:val="0"/>
                <w:bCs w:val="0"/>
                <w:color w:val="000000" w:themeColor="text1"/>
                <w:sz w:val="24"/>
                <w14:textFill>
                  <w14:solidFill>
                    <w14:schemeClr w14:val="tx1"/>
                  </w14:solidFill>
                </w14:textFill>
              </w:rPr>
              <w:t>，首先对生病的宠物进行一般性的检查，包括量体温、称体重等</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必要时进行化验检查。</w:t>
            </w:r>
          </w:p>
          <w:p w14:paraId="7523EC24">
            <w:pPr>
              <w:pStyle w:val="3"/>
              <w:keepNext w:val="0"/>
              <w:keepLines w:val="0"/>
              <w:pageBreakBefore w:val="0"/>
              <w:widowControl w:val="0"/>
              <w:kinsoku/>
              <w:wordWrap/>
              <w:overflowPunct/>
              <w:autoSpaceDE/>
              <w:autoSpaceDN/>
              <w:bidi w:val="0"/>
              <w:adjustRightInd/>
              <w:snapToGrid/>
              <w:spacing w:after="0" w:line="360" w:lineRule="auto"/>
              <w:ind w:firstLine="480" w:firstLineChars="200"/>
              <w:jc w:val="both"/>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诊断、治疗、住院、离开</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化验是利用常规仪器直接对宠物的血样、尿液粪便等进行读数，不涉及化学试剂的使用。根据检查及化验结果，仅需服药治疗的，便等进行药物治疗</w:t>
            </w:r>
            <w:r>
              <w:rPr>
                <w:rFonts w:hint="default" w:ascii="Times New Roman" w:hAnsi="Times New Roman"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需要进行手术的，则制定手术方案并进行手术，手术期间对动物进行呼吸麻醉，术后进行住院观察，待达到出院条件后安排离开。</w:t>
            </w:r>
          </w:p>
          <w:p w14:paraId="4F382C6E">
            <w:pPr>
              <w:pStyle w:val="3"/>
              <w:keepNext w:val="0"/>
              <w:keepLines w:val="0"/>
              <w:pageBreakBefore w:val="0"/>
              <w:widowControl w:val="0"/>
              <w:kinsoku/>
              <w:wordWrap/>
              <w:overflowPunct/>
              <w:autoSpaceDE/>
              <w:autoSpaceDN/>
              <w:bidi w:val="0"/>
              <w:adjustRightInd/>
              <w:snapToGrid/>
              <w:spacing w:after="0" w:line="360" w:lineRule="auto"/>
              <w:ind w:firstLine="48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本项目运营期工艺流程及产污环节见图</w:t>
            </w:r>
            <w:r>
              <w:rPr>
                <w:rFonts w:hint="eastAsia" w:cs="Times New Roman"/>
                <w:b w:val="0"/>
                <w:bCs w:val="0"/>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lang w:val="en-US" w:eastAsia="zh-CN"/>
                <w14:textFill>
                  <w14:solidFill>
                    <w14:schemeClr w14:val="tx1"/>
                  </w14:solidFill>
                </w14:textFill>
              </w:rPr>
              <w:t>。</w:t>
            </w:r>
          </w:p>
          <w:p w14:paraId="24A5C0AE">
            <w:pPr>
              <w:pStyle w:val="6"/>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 产排污环节</w:t>
            </w:r>
          </w:p>
          <w:p w14:paraId="6FEC19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本项目运营期污染工序与污染因子见表2-5。</w:t>
            </w:r>
          </w:p>
          <w:p w14:paraId="3CEDFA92">
            <w:pPr>
              <w:pStyle w:val="34"/>
              <w:bidi w:val="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表2-5   项目产排污情况汇总表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524"/>
              <w:gridCol w:w="2639"/>
              <w:gridCol w:w="2891"/>
            </w:tblGrid>
            <w:tr w14:paraId="674B2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05" w:type="pct"/>
                  <w:tcBorders>
                    <w:bottom w:val="single" w:color="auto" w:sz="12" w:space="0"/>
                  </w:tcBorders>
                  <w:noWrap w:val="0"/>
                  <w:vAlign w:val="center"/>
                </w:tcPr>
                <w:p w14:paraId="35A30D0A">
                  <w:pPr>
                    <w:pStyle w:val="3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971" w:type="pct"/>
                  <w:tcBorders>
                    <w:bottom w:val="single" w:color="auto" w:sz="12" w:space="0"/>
                  </w:tcBorders>
                  <w:noWrap w:val="0"/>
                  <w:vAlign w:val="center"/>
                </w:tcPr>
                <w:p w14:paraId="4CD04A69">
                  <w:pPr>
                    <w:pStyle w:val="3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污染类别</w:t>
                  </w:r>
                </w:p>
              </w:tc>
              <w:tc>
                <w:tcPr>
                  <w:tcW w:w="1681" w:type="pct"/>
                  <w:tcBorders>
                    <w:bottom w:val="single" w:color="auto" w:sz="12" w:space="0"/>
                  </w:tcBorders>
                  <w:noWrap w:val="0"/>
                  <w:vAlign w:val="center"/>
                </w:tcPr>
                <w:p w14:paraId="5B2CF374">
                  <w:pPr>
                    <w:pStyle w:val="3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污染源/污染工序</w:t>
                  </w:r>
                </w:p>
              </w:tc>
              <w:tc>
                <w:tcPr>
                  <w:tcW w:w="1841" w:type="pct"/>
                  <w:tcBorders>
                    <w:bottom w:val="single" w:color="auto" w:sz="12" w:space="0"/>
                  </w:tcBorders>
                  <w:noWrap w:val="0"/>
                  <w:vAlign w:val="center"/>
                </w:tcPr>
                <w:p w14:paraId="6CB57901">
                  <w:pPr>
                    <w:pStyle w:val="35"/>
                    <w:widowControl w:val="0"/>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污染因子</w:t>
                  </w:r>
                </w:p>
              </w:tc>
            </w:tr>
            <w:tr w14:paraId="288B8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op w:val="single" w:color="auto" w:sz="12" w:space="0"/>
                    <w:tl2br w:val="nil"/>
                    <w:tr2bl w:val="nil"/>
                  </w:tcBorders>
                  <w:noWrap w:val="0"/>
                  <w:vAlign w:val="center"/>
                </w:tcPr>
                <w:p w14:paraId="6315A9F9">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971" w:type="pct"/>
                  <w:tcBorders>
                    <w:top w:val="single" w:color="auto" w:sz="12" w:space="0"/>
                    <w:tl2br w:val="nil"/>
                    <w:tr2bl w:val="nil"/>
                  </w:tcBorders>
                  <w:noWrap w:val="0"/>
                  <w:vAlign w:val="center"/>
                </w:tcPr>
                <w:p w14:paraId="3CC3EEB7">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废气</w:t>
                  </w:r>
                </w:p>
              </w:tc>
              <w:tc>
                <w:tcPr>
                  <w:tcW w:w="1681" w:type="pct"/>
                  <w:tcBorders>
                    <w:top w:val="single" w:color="auto" w:sz="12" w:space="0"/>
                    <w:tl2br w:val="nil"/>
                    <w:tr2bl w:val="nil"/>
                  </w:tcBorders>
                  <w:noWrap w:val="0"/>
                  <w:vAlign w:val="center"/>
                </w:tcPr>
                <w:p w14:paraId="35397662">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宠物本身散发或手术产生的异味</w:t>
                  </w:r>
                </w:p>
              </w:tc>
              <w:tc>
                <w:tcPr>
                  <w:tcW w:w="1841" w:type="pct"/>
                  <w:tcBorders>
                    <w:top w:val="single" w:color="auto" w:sz="12" w:space="0"/>
                    <w:tl2br w:val="nil"/>
                    <w:tr2bl w:val="nil"/>
                  </w:tcBorders>
                  <w:noWrap w:val="0"/>
                  <w:vAlign w:val="center"/>
                </w:tcPr>
                <w:p w14:paraId="5A8F0211">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臭气浓度</w:t>
                  </w:r>
                </w:p>
              </w:tc>
            </w:tr>
            <w:tr w14:paraId="58533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5F67361C">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971" w:type="pct"/>
                  <w:tcBorders>
                    <w:tl2br w:val="nil"/>
                    <w:tr2bl w:val="nil"/>
                  </w:tcBorders>
                  <w:noWrap w:val="0"/>
                  <w:vAlign w:val="center"/>
                </w:tcPr>
                <w:p w14:paraId="4D6A3D7A">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噪声</w:t>
                  </w:r>
                </w:p>
              </w:tc>
              <w:tc>
                <w:tcPr>
                  <w:tcW w:w="1681" w:type="pct"/>
                  <w:tcBorders>
                    <w:tl2br w:val="nil"/>
                    <w:tr2bl w:val="nil"/>
                  </w:tcBorders>
                  <w:noWrap w:val="0"/>
                  <w:vAlign w:val="center"/>
                </w:tcPr>
                <w:p w14:paraId="501F7C6E">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宠物叫声、人员活动噪声等</w:t>
                  </w:r>
                </w:p>
              </w:tc>
              <w:tc>
                <w:tcPr>
                  <w:tcW w:w="1841" w:type="pct"/>
                  <w:tcBorders>
                    <w:tl2br w:val="nil"/>
                    <w:tr2bl w:val="nil"/>
                  </w:tcBorders>
                  <w:noWrap w:val="0"/>
                  <w:vAlign w:val="center"/>
                </w:tcPr>
                <w:p w14:paraId="2E662107">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等效声级</w:t>
                  </w:r>
                </w:p>
              </w:tc>
            </w:tr>
            <w:tr w14:paraId="0E3FD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76D86767">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971" w:type="pct"/>
                  <w:vMerge w:val="restart"/>
                  <w:tcBorders>
                    <w:tl2br w:val="nil"/>
                    <w:tr2bl w:val="nil"/>
                  </w:tcBorders>
                  <w:noWrap w:val="0"/>
                  <w:vAlign w:val="center"/>
                </w:tcPr>
                <w:p w14:paraId="5B134B3B">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w:t>
                  </w:r>
                </w:p>
              </w:tc>
              <w:tc>
                <w:tcPr>
                  <w:tcW w:w="1681" w:type="pct"/>
                  <w:tcBorders>
                    <w:tl2br w:val="nil"/>
                    <w:tr2bl w:val="nil"/>
                  </w:tcBorders>
                  <w:noWrap w:val="0"/>
                  <w:vAlign w:val="center"/>
                </w:tcPr>
                <w:p w14:paraId="1192CE97">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生活污水</w:t>
                  </w:r>
                </w:p>
              </w:tc>
              <w:tc>
                <w:tcPr>
                  <w:tcW w:w="1841" w:type="pct"/>
                  <w:tcBorders>
                    <w:tl2br w:val="nil"/>
                    <w:tr2bl w:val="nil"/>
                  </w:tcBorders>
                  <w:noWrap w:val="0"/>
                  <w:vAlign w:val="center"/>
                </w:tcPr>
                <w:p w14:paraId="2E6C697F">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pH、SS、COD、BOD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 xml:space="preserve">、氨氮 </w:t>
                  </w:r>
                </w:p>
              </w:tc>
            </w:tr>
            <w:tr w14:paraId="443C9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736928CD">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971" w:type="pct"/>
                  <w:vMerge w:val="continue"/>
                  <w:tcBorders>
                    <w:tl2br w:val="nil"/>
                    <w:tr2bl w:val="nil"/>
                  </w:tcBorders>
                  <w:noWrap w:val="0"/>
                  <w:vAlign w:val="center"/>
                </w:tcPr>
                <w:p w14:paraId="55869607">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681" w:type="pct"/>
                  <w:tcBorders>
                    <w:tl2br w:val="nil"/>
                    <w:tr2bl w:val="nil"/>
                  </w:tcBorders>
                  <w:noWrap w:val="0"/>
                  <w:vAlign w:val="center"/>
                </w:tcPr>
                <w:p w14:paraId="4D125FC7">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美容废水</w:t>
                  </w:r>
                </w:p>
              </w:tc>
              <w:tc>
                <w:tcPr>
                  <w:tcW w:w="1841" w:type="pct"/>
                  <w:tcBorders>
                    <w:tl2br w:val="nil"/>
                    <w:tr2bl w:val="nil"/>
                  </w:tcBorders>
                  <w:noWrap w:val="0"/>
                  <w:vAlign w:val="center"/>
                </w:tcPr>
                <w:p w14:paraId="71BF915C">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pH、SS、COD、BOD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、氨氮</w:t>
                  </w:r>
                </w:p>
              </w:tc>
            </w:tr>
            <w:tr w14:paraId="28EBE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482E69C9">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971" w:type="pct"/>
                  <w:vMerge w:val="continue"/>
                  <w:tcBorders>
                    <w:tl2br w:val="nil"/>
                    <w:tr2bl w:val="nil"/>
                  </w:tcBorders>
                  <w:noWrap w:val="0"/>
                  <w:vAlign w:val="center"/>
                </w:tcPr>
                <w:p w14:paraId="36C9CEF4">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681" w:type="pct"/>
                  <w:tcBorders>
                    <w:tl2br w:val="nil"/>
                    <w:tr2bl w:val="nil"/>
                  </w:tcBorders>
                  <w:noWrap w:val="0"/>
                  <w:vAlign w:val="center"/>
                </w:tcPr>
                <w:p w14:paraId="723E53CD">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宠物笼清洗污水</w:t>
                  </w:r>
                </w:p>
              </w:tc>
              <w:tc>
                <w:tcPr>
                  <w:tcW w:w="1841" w:type="pct"/>
                  <w:tcBorders>
                    <w:tl2br w:val="nil"/>
                    <w:tr2bl w:val="nil"/>
                  </w:tcBorders>
                  <w:noWrap w:val="0"/>
                  <w:vAlign w:val="center"/>
                </w:tcPr>
                <w:p w14:paraId="4768C1A4">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pH、SS、COD、BOD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、氨氮、阴离子表面活性剂</w:t>
                  </w:r>
                </w:p>
              </w:tc>
            </w:tr>
            <w:tr w14:paraId="6410D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18D34866">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971" w:type="pct"/>
                  <w:vMerge w:val="continue"/>
                  <w:tcBorders>
                    <w:tl2br w:val="nil"/>
                    <w:tr2bl w:val="nil"/>
                  </w:tcBorders>
                  <w:noWrap w:val="0"/>
                  <w:vAlign w:val="center"/>
                </w:tcPr>
                <w:p w14:paraId="3F2F930A">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681" w:type="pct"/>
                  <w:tcBorders>
                    <w:tl2br w:val="nil"/>
                    <w:tr2bl w:val="nil"/>
                  </w:tcBorders>
                  <w:noWrap w:val="0"/>
                  <w:vAlign w:val="center"/>
                </w:tcPr>
                <w:p w14:paraId="697060C5">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医疗废水</w:t>
                  </w:r>
                </w:p>
              </w:tc>
              <w:tc>
                <w:tcPr>
                  <w:tcW w:w="1841" w:type="pct"/>
                  <w:tcBorders>
                    <w:tl2br w:val="nil"/>
                    <w:tr2bl w:val="nil"/>
                  </w:tcBorders>
                  <w:noWrap w:val="0"/>
                  <w:vAlign w:val="center"/>
                </w:tcPr>
                <w:p w14:paraId="73CB9D56">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pH、SS、COD、BOD</w:t>
                  </w:r>
                  <w:r>
                    <w:rPr>
                      <w:rFonts w:hint="default" w:ascii="Times New Roman" w:hAnsi="Times New Roman" w:cs="Times New Roman"/>
                      <w:color w:val="000000" w:themeColor="text1"/>
                      <w:vertAlign w:val="subscript"/>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、氨氮、粪大肠菌群</w:t>
                  </w:r>
                </w:p>
              </w:tc>
            </w:tr>
            <w:tr w14:paraId="18578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4D291ED2">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w:t>
                  </w:r>
                </w:p>
              </w:tc>
              <w:tc>
                <w:tcPr>
                  <w:tcW w:w="971" w:type="pct"/>
                  <w:vMerge w:val="restart"/>
                  <w:tcBorders>
                    <w:tl2br w:val="nil"/>
                    <w:tr2bl w:val="nil"/>
                  </w:tcBorders>
                  <w:noWrap w:val="0"/>
                  <w:vAlign w:val="center"/>
                </w:tcPr>
                <w:p w14:paraId="0B989F28">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固废</w:t>
                  </w:r>
                </w:p>
              </w:tc>
              <w:tc>
                <w:tcPr>
                  <w:tcW w:w="1681" w:type="pct"/>
                  <w:tcBorders>
                    <w:tl2br w:val="nil"/>
                    <w:tr2bl w:val="nil"/>
                  </w:tcBorders>
                  <w:noWrap w:val="0"/>
                  <w:vAlign w:val="center"/>
                </w:tcPr>
                <w:p w14:paraId="0C260877">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医务人员办公生活</w:t>
                  </w:r>
                </w:p>
              </w:tc>
              <w:tc>
                <w:tcPr>
                  <w:tcW w:w="1841" w:type="pct"/>
                  <w:tcBorders>
                    <w:tl2br w:val="nil"/>
                    <w:tr2bl w:val="nil"/>
                  </w:tcBorders>
                  <w:noWrap w:val="0"/>
                  <w:vAlign w:val="center"/>
                </w:tcPr>
                <w:p w14:paraId="13369FD6">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生活垃圾</w:t>
                  </w:r>
                </w:p>
              </w:tc>
            </w:tr>
            <w:tr w14:paraId="2660C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18632A2B">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w:t>
                  </w:r>
                </w:p>
              </w:tc>
              <w:tc>
                <w:tcPr>
                  <w:tcW w:w="971" w:type="pct"/>
                  <w:vMerge w:val="continue"/>
                  <w:tcBorders>
                    <w:tl2br w:val="nil"/>
                    <w:tr2bl w:val="nil"/>
                  </w:tcBorders>
                  <w:noWrap w:val="0"/>
                  <w:vAlign w:val="center"/>
                </w:tcPr>
                <w:p w14:paraId="7E9EB173">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681" w:type="pct"/>
                  <w:tcBorders>
                    <w:tl2br w:val="nil"/>
                    <w:tr2bl w:val="nil"/>
                  </w:tcBorders>
                  <w:noWrap w:val="0"/>
                  <w:vAlign w:val="center"/>
                </w:tcPr>
                <w:p w14:paraId="23811EC2">
                  <w:pPr>
                    <w:pStyle w:val="35"/>
                    <w:widowControl w:val="0"/>
                    <w:bidi w:val="0"/>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宠物日常生活垃圾</w:t>
                  </w:r>
                </w:p>
              </w:tc>
              <w:tc>
                <w:tcPr>
                  <w:tcW w:w="1841" w:type="pct"/>
                  <w:tcBorders>
                    <w:tl2br w:val="nil"/>
                    <w:tr2bl w:val="nil"/>
                  </w:tcBorders>
                  <w:noWrap w:val="0"/>
                  <w:vAlign w:val="center"/>
                </w:tcPr>
                <w:p w14:paraId="77817799">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宠物排泄物</w:t>
                  </w:r>
                </w:p>
              </w:tc>
            </w:tr>
            <w:tr w14:paraId="02797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61549782">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971" w:type="pct"/>
                  <w:vMerge w:val="continue"/>
                  <w:tcBorders>
                    <w:tl2br w:val="nil"/>
                    <w:tr2bl w:val="nil"/>
                  </w:tcBorders>
                  <w:noWrap w:val="0"/>
                  <w:vAlign w:val="center"/>
                </w:tcPr>
                <w:p w14:paraId="11D6783B">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681" w:type="pct"/>
                  <w:tcBorders>
                    <w:tl2br w:val="nil"/>
                    <w:tr2bl w:val="nil"/>
                  </w:tcBorders>
                  <w:noWrap w:val="0"/>
                  <w:vAlign w:val="center"/>
                </w:tcPr>
                <w:p w14:paraId="00EB9AC7">
                  <w:pPr>
                    <w:pStyle w:val="35"/>
                    <w:widowControl w:val="0"/>
                    <w:bidi w:val="0"/>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医疗</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过程</w:t>
                  </w:r>
                </w:p>
              </w:tc>
              <w:tc>
                <w:tcPr>
                  <w:tcW w:w="1841" w:type="pct"/>
                  <w:tcBorders>
                    <w:tl2br w:val="nil"/>
                    <w:tr2bl w:val="nil"/>
                  </w:tcBorders>
                  <w:noWrap w:val="0"/>
                  <w:vAlign w:val="center"/>
                </w:tcPr>
                <w:p w14:paraId="19AA6114">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医疗废物</w:t>
                  </w:r>
                </w:p>
              </w:tc>
            </w:tr>
            <w:tr w14:paraId="7594B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4424DBFF">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c>
                <w:tcPr>
                  <w:tcW w:w="971" w:type="pct"/>
                  <w:vMerge w:val="continue"/>
                  <w:tcBorders>
                    <w:tl2br w:val="nil"/>
                    <w:tr2bl w:val="nil"/>
                  </w:tcBorders>
                  <w:noWrap w:val="0"/>
                  <w:vAlign w:val="center"/>
                </w:tcPr>
                <w:p w14:paraId="0A1F121E">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681" w:type="pct"/>
                  <w:tcBorders>
                    <w:tl2br w:val="nil"/>
                    <w:tr2bl w:val="nil"/>
                  </w:tcBorders>
                  <w:noWrap w:val="0"/>
                  <w:vAlign w:val="center"/>
                </w:tcPr>
                <w:p w14:paraId="784F7CB1">
                  <w:pPr>
                    <w:pStyle w:val="35"/>
                    <w:widowControl w:val="0"/>
                    <w:bidi w:val="0"/>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污水处理过程</w:t>
                  </w:r>
                </w:p>
              </w:tc>
              <w:tc>
                <w:tcPr>
                  <w:tcW w:w="1841" w:type="pct"/>
                  <w:tcBorders>
                    <w:tl2br w:val="nil"/>
                    <w:tr2bl w:val="nil"/>
                  </w:tcBorders>
                  <w:noWrap w:val="0"/>
                  <w:vAlign w:val="center"/>
                </w:tcPr>
                <w:p w14:paraId="067965B2">
                  <w:pPr>
                    <w:pStyle w:val="35"/>
                    <w:widowControl w:val="0"/>
                    <w:bidi w:val="0"/>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污泥</w:t>
                  </w:r>
                </w:p>
              </w:tc>
            </w:tr>
            <w:tr w14:paraId="746EC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5" w:type="pct"/>
                  <w:tcBorders>
                    <w:tl2br w:val="nil"/>
                    <w:tr2bl w:val="nil"/>
                  </w:tcBorders>
                  <w:noWrap w:val="0"/>
                  <w:vAlign w:val="center"/>
                </w:tcPr>
                <w:p w14:paraId="060A1754">
                  <w:pPr>
                    <w:pStyle w:val="35"/>
                    <w:widowControl w:val="0"/>
                    <w:bidi w:val="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w:t>
                  </w:r>
                </w:p>
              </w:tc>
              <w:tc>
                <w:tcPr>
                  <w:tcW w:w="971" w:type="pct"/>
                  <w:vMerge w:val="continue"/>
                  <w:tcBorders>
                    <w:tl2br w:val="nil"/>
                    <w:tr2bl w:val="nil"/>
                  </w:tcBorders>
                  <w:noWrap w:val="0"/>
                  <w:vAlign w:val="center"/>
                </w:tcPr>
                <w:p w14:paraId="3A2FE95A">
                  <w:pPr>
                    <w:pStyle w:val="35"/>
                    <w:widowControl w:val="0"/>
                    <w:bidi w:val="0"/>
                    <w:rPr>
                      <w:rFonts w:hint="default" w:ascii="Times New Roman" w:hAnsi="Times New Roman" w:cs="Times New Roman"/>
                      <w:color w:val="000000" w:themeColor="text1"/>
                      <w:lang w:val="en-US" w:eastAsia="zh-CN"/>
                      <w14:textFill>
                        <w14:solidFill>
                          <w14:schemeClr w14:val="tx1"/>
                        </w14:solidFill>
                      </w14:textFill>
                    </w:rPr>
                  </w:pPr>
                </w:p>
              </w:tc>
              <w:tc>
                <w:tcPr>
                  <w:tcW w:w="1681" w:type="pct"/>
                  <w:tcBorders>
                    <w:tl2br w:val="nil"/>
                    <w:tr2bl w:val="nil"/>
                  </w:tcBorders>
                  <w:noWrap w:val="0"/>
                  <w:vAlign w:val="center"/>
                </w:tcPr>
                <w:p w14:paraId="533B764E">
                  <w:pPr>
                    <w:pStyle w:val="35"/>
                    <w:widowControl w:val="0"/>
                    <w:bidi w:val="0"/>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消毒过程</w:t>
                  </w:r>
                </w:p>
              </w:tc>
              <w:tc>
                <w:tcPr>
                  <w:tcW w:w="1841" w:type="pct"/>
                  <w:tcBorders>
                    <w:tl2br w:val="nil"/>
                    <w:tr2bl w:val="nil"/>
                  </w:tcBorders>
                  <w:noWrap w:val="0"/>
                  <w:vAlign w:val="center"/>
                </w:tcPr>
                <w:p w14:paraId="5899E8D9">
                  <w:pPr>
                    <w:pStyle w:val="35"/>
                    <w:widowControl w:val="0"/>
                    <w:bidi w:val="0"/>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废紫外灯管</w:t>
                  </w:r>
                </w:p>
              </w:tc>
            </w:tr>
          </w:tbl>
          <w:p w14:paraId="1A122CE9">
            <w:pPr>
              <w:pStyle w:val="17"/>
              <w:jc w:val="both"/>
              <w:rPr>
                <w:rFonts w:hint="default" w:ascii="Times New Roman" w:hAnsi="Times New Roman" w:cs="Times New Roman"/>
                <w:color w:val="000000" w:themeColor="text1"/>
                <w:lang w:val="en-US" w:eastAsia="zh-CN"/>
                <w14:textFill>
                  <w14:solidFill>
                    <w14:schemeClr w14:val="tx1"/>
                  </w14:solidFill>
                </w14:textFill>
              </w:rPr>
            </w:pPr>
          </w:p>
        </w:tc>
      </w:tr>
      <w:tr w14:paraId="30DE3C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30" w:hRule="atLeast"/>
          <w:jc w:val="center"/>
        </w:trPr>
        <w:tc>
          <w:tcPr>
            <w:tcW w:w="454" w:type="dxa"/>
            <w:tcBorders>
              <w:tl2br w:val="nil"/>
              <w:tr2bl w:val="nil"/>
            </w:tcBorders>
            <w:vAlign w:val="center"/>
          </w:tcPr>
          <w:p w14:paraId="1658074A">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val="0"/>
                <w:color w:val="000000" w:themeColor="text1"/>
                <w14:textFill>
                  <w14:solidFill>
                    <w14:schemeClr w14:val="tx1"/>
                  </w14:solidFill>
                </w14:textFill>
              </w:rPr>
              <w:t>与项目有关的</w:t>
            </w:r>
            <w:r>
              <w:rPr>
                <w:rFonts w:hint="default" w:ascii="Times New Roman" w:hAnsi="Times New Roman" w:cs="Times New Roman"/>
                <w:b w:val="0"/>
                <w:bCs w:val="0"/>
                <w:color w:val="000000" w:themeColor="text1"/>
                <w:lang w:eastAsia="zh-CN"/>
                <w14:textFill>
                  <w14:solidFill>
                    <w14:schemeClr w14:val="tx1"/>
                  </w14:solidFill>
                </w14:textFill>
              </w:rPr>
              <w:t>现有</w:t>
            </w:r>
            <w:r>
              <w:rPr>
                <w:rFonts w:hint="default" w:ascii="Times New Roman" w:hAnsi="Times New Roman" w:cs="Times New Roman"/>
                <w:b w:val="0"/>
                <w:bCs w:val="0"/>
                <w:color w:val="000000" w:themeColor="text1"/>
                <w14:textFill>
                  <w14:solidFill>
                    <w14:schemeClr w14:val="tx1"/>
                  </w14:solidFill>
                </w14:textFill>
              </w:rPr>
              <w:t>环境污染问题</w:t>
            </w:r>
          </w:p>
        </w:tc>
        <w:tc>
          <w:tcPr>
            <w:tcW w:w="8068" w:type="dxa"/>
            <w:tcBorders>
              <w:tl2br w:val="nil"/>
              <w:tr2bl w:val="nil"/>
            </w:tcBorders>
            <w:vAlign w:val="center"/>
          </w:tcPr>
          <w:p w14:paraId="703B14FD">
            <w:pPr>
              <w:pStyle w:val="20"/>
              <w:rPr>
                <w:rFonts w:hint="default"/>
                <w:color w:val="000000" w:themeColor="text1"/>
                <w14:textFill>
                  <w14:solidFill>
                    <w14:schemeClr w14:val="tx1"/>
                  </w14:solidFill>
                </w14:textFill>
              </w:rPr>
            </w:pPr>
            <w:r>
              <w:rPr>
                <w:rFonts w:hint="default" w:ascii="Times New Roman" w:hAnsi="Times New Roman" w:eastAsia="宋体" w:cstheme="minorBidi"/>
                <w:b w:val="0"/>
                <w:bCs/>
                <w:color w:val="000000" w:themeColor="text1"/>
                <w:kern w:val="2"/>
                <w:sz w:val="24"/>
                <w:szCs w:val="24"/>
                <w:lang w:val="en-US" w:eastAsia="zh-CN" w:bidi="ar-SA"/>
                <w14:textFill>
                  <w14:solidFill>
                    <w14:schemeClr w14:val="tx1"/>
                  </w14:solidFill>
                </w14:textFill>
              </w:rPr>
              <w:t>本项目为新建项目，现场未发现与本项目有关的原有环境污染问题。</w:t>
            </w:r>
          </w:p>
        </w:tc>
      </w:tr>
    </w:tbl>
    <w:p w14:paraId="2EC435CF">
      <w:pPr>
        <w:jc w:val="both"/>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E7AE829">
      <w:pPr>
        <w:pStyle w:val="4"/>
        <w:numPr>
          <w:ilvl w:val="0"/>
          <w:numId w:val="0"/>
        </w:numPr>
        <w:jc w:val="center"/>
        <w:rPr>
          <w:rFonts w:hint="eastAsia" w:ascii="黑体" w:hAnsi="黑体" w:eastAsia="黑体" w:cs="黑体"/>
          <w:b w:val="0"/>
          <w:bCs/>
        </w:rPr>
      </w:pPr>
      <w:r>
        <w:rPr>
          <w:rFonts w:hint="eastAsia" w:ascii="黑体" w:hAnsi="黑体" w:eastAsia="黑体" w:cs="黑体"/>
          <w:b w:val="0"/>
          <w:bCs/>
          <w:kern w:val="44"/>
          <w:sz w:val="30"/>
          <w:szCs w:val="24"/>
          <w:lang w:val="en-US" w:eastAsia="zh-CN" w:bidi="ar-SA"/>
        </w:rPr>
        <w:t>三、</w:t>
      </w:r>
      <w:r>
        <w:rPr>
          <w:rFonts w:hint="eastAsia" w:ascii="黑体" w:hAnsi="黑体" w:eastAsia="黑体" w:cs="黑体"/>
          <w:b w:val="0"/>
          <w:bCs/>
        </w:rPr>
        <w:t>区域环境质量现状、环境保护目标及评价标准</w:t>
      </w:r>
    </w:p>
    <w:tbl>
      <w:tblPr>
        <w:tblStyle w:val="26"/>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22"/>
        <w:gridCol w:w="7900"/>
      </w:tblGrid>
      <w:tr w14:paraId="240A02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22" w:type="dxa"/>
            <w:tcBorders>
              <w:tl2br w:val="nil"/>
              <w:tr2bl w:val="nil"/>
            </w:tcBorders>
            <w:vAlign w:val="center"/>
          </w:tcPr>
          <w:p w14:paraId="3C603F56">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区域</w:t>
            </w:r>
          </w:p>
          <w:p w14:paraId="692386BE">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环境</w:t>
            </w:r>
          </w:p>
          <w:p w14:paraId="46A8A1E3">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质量</w:t>
            </w:r>
          </w:p>
          <w:p w14:paraId="620ADDD6">
            <w:pPr>
              <w:jc w:val="center"/>
              <w:rPr>
                <w:color w:val="000000" w:themeColor="text1"/>
                <w14:textFill>
                  <w14:solidFill>
                    <w14:schemeClr w14:val="tx1"/>
                  </w14:solidFill>
                </w14:textFill>
              </w:rPr>
            </w:pPr>
            <w:r>
              <w:rPr>
                <w:rFonts w:hint="eastAsia"/>
                <w:b w:val="0"/>
                <w:bCs/>
                <w:color w:val="000000" w:themeColor="text1"/>
                <w14:textFill>
                  <w14:solidFill>
                    <w14:schemeClr w14:val="tx1"/>
                  </w14:solidFill>
                </w14:textFill>
              </w:rPr>
              <w:t>现状</w:t>
            </w:r>
          </w:p>
        </w:tc>
        <w:tc>
          <w:tcPr>
            <w:tcW w:w="7900" w:type="dxa"/>
            <w:tcBorders>
              <w:tl2br w:val="nil"/>
              <w:tr2bl w:val="nil"/>
            </w:tcBorders>
          </w:tcPr>
          <w:p w14:paraId="3F081B33">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ascii="Times New Roman" w:hAnsi="Times New Roman" w:eastAsia="宋体"/>
                <w:color w:val="000000" w:themeColor="text1"/>
                <w:lang w:val="en-US" w:eastAsia="zh-CN"/>
                <w14:textFill>
                  <w14:solidFill>
                    <w14:schemeClr w14:val="tx1"/>
                  </w14:solidFill>
                </w14:textFill>
              </w:rPr>
              <w:t>大气环境质量现状与评价</w:t>
            </w:r>
          </w:p>
          <w:p w14:paraId="416F448A">
            <w:pPr>
              <w:pStyle w:val="6"/>
              <w:bidi w:val="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1.1 </w:t>
            </w:r>
            <w:r>
              <w:rPr>
                <w:rFonts w:hint="default" w:ascii="Times New Roman" w:hAnsi="Times New Roman" w:cs="Times New Roman"/>
                <w:color w:val="000000" w:themeColor="text1"/>
                <w14:textFill>
                  <w14:solidFill>
                    <w14:schemeClr w14:val="tx1"/>
                  </w14:solidFill>
                </w14:textFill>
              </w:rPr>
              <w:t>项目所在区域达标判定</w:t>
            </w:r>
          </w:p>
          <w:p w14:paraId="2F4A8CE7">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b w:val="0"/>
                <w:bCs/>
                <w:color w:val="000000" w:themeColor="text1"/>
                <w:sz w:val="24"/>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本项目</w:t>
            </w:r>
            <w:r>
              <w:rPr>
                <w:rFonts w:hint="eastAsia"/>
                <w:b w:val="0"/>
                <w:bCs/>
                <w:color w:val="000000" w:themeColor="text1"/>
                <w:sz w:val="24"/>
                <w:lang w:val="en-US" w:eastAsia="zh-CN"/>
                <w14:textFill>
                  <w14:solidFill>
                    <w14:schemeClr w14:val="tx1"/>
                  </w14:solidFill>
                </w14:textFill>
              </w:rPr>
              <w:t>位于</w:t>
            </w:r>
            <w:r>
              <w:rPr>
                <w:rFonts w:hint="default"/>
                <w:b w:val="0"/>
                <w:bCs/>
                <w:color w:val="000000" w:themeColor="text1"/>
                <w:sz w:val="24"/>
                <w:lang w:val="en-US" w:eastAsia="zh-CN"/>
                <w14:textFill>
                  <w14:solidFill>
                    <w14:schemeClr w14:val="tx1"/>
                  </w14:solidFill>
                </w14:textFill>
              </w:rPr>
              <w:t>新疆维吾尔自治区昌吉</w:t>
            </w:r>
            <w:r>
              <w:rPr>
                <w:rFonts w:hint="eastAsia"/>
                <w:b w:val="0"/>
                <w:bCs/>
                <w:color w:val="000000" w:themeColor="text1"/>
                <w:sz w:val="24"/>
                <w:lang w:val="en-US" w:eastAsia="zh-CN"/>
                <w14:textFill>
                  <w14:solidFill>
                    <w14:schemeClr w14:val="tx1"/>
                  </w14:solidFill>
                </w14:textFill>
              </w:rPr>
              <w:t>回族自治</w:t>
            </w:r>
            <w:r>
              <w:rPr>
                <w:rFonts w:hint="default"/>
                <w:b w:val="0"/>
                <w:bCs/>
                <w:color w:val="000000" w:themeColor="text1"/>
                <w:sz w:val="24"/>
                <w:lang w:val="en-US" w:eastAsia="zh-CN"/>
                <w14:textFill>
                  <w14:solidFill>
                    <w14:schemeClr w14:val="tx1"/>
                  </w14:solidFill>
                </w14:textFill>
              </w:rPr>
              <w:t>州</w:t>
            </w:r>
            <w:r>
              <w:rPr>
                <w:rFonts w:hint="eastAsia"/>
                <w:b w:val="0"/>
                <w:bCs/>
                <w:color w:val="000000" w:themeColor="text1"/>
                <w:sz w:val="24"/>
                <w:lang w:val="en-US" w:eastAsia="zh-CN"/>
                <w14:textFill>
                  <w14:solidFill>
                    <w14:schemeClr w14:val="tx1"/>
                  </w14:solidFill>
                </w14:textFill>
              </w:rPr>
              <w:t>奇台</w:t>
            </w:r>
            <w:r>
              <w:rPr>
                <w:rFonts w:hint="default"/>
                <w:b w:val="0"/>
                <w:bCs/>
                <w:color w:val="000000" w:themeColor="text1"/>
                <w:sz w:val="24"/>
                <w:lang w:val="en-US" w:eastAsia="zh-CN"/>
                <w14:textFill>
                  <w14:solidFill>
                    <w14:schemeClr w14:val="tx1"/>
                  </w14:solidFill>
                </w14:textFill>
              </w:rPr>
              <w:t>县团结路与</w:t>
            </w:r>
            <w:r>
              <w:rPr>
                <w:rFonts w:hint="eastAsia"/>
                <w:b w:val="0"/>
                <w:bCs/>
                <w:color w:val="000000" w:themeColor="text1"/>
                <w:sz w:val="24"/>
                <w:lang w:val="en-US" w:eastAsia="zh-CN"/>
                <w14:textFill>
                  <w14:solidFill>
                    <w14:schemeClr w14:val="tx1"/>
                  </w14:solidFill>
                </w14:textFill>
              </w:rPr>
              <w:t>旱</w:t>
            </w:r>
            <w:r>
              <w:rPr>
                <w:rFonts w:hint="default"/>
                <w:b w:val="0"/>
                <w:bCs/>
                <w:color w:val="000000" w:themeColor="text1"/>
                <w:sz w:val="24"/>
                <w:lang w:val="en-US" w:eastAsia="zh-CN"/>
                <w14:textFill>
                  <w14:solidFill>
                    <w14:schemeClr w14:val="tx1"/>
                  </w14:solidFill>
                </w14:textFill>
              </w:rPr>
              <w:t>码头中街交汇处圣水华庭1幢1层</w:t>
            </w:r>
            <w:r>
              <w:rPr>
                <w:rFonts w:hint="eastAsia"/>
                <w:b w:val="0"/>
                <w:bCs/>
                <w:color w:val="000000" w:themeColor="text1"/>
                <w:sz w:val="24"/>
                <w:lang w:val="en-US" w:eastAsia="zh-CN"/>
                <w14:textFill>
                  <w14:solidFill>
                    <w14:schemeClr w14:val="tx1"/>
                  </w14:solidFill>
                </w14:textFill>
              </w:rPr>
              <w:t>4号、5号、</w:t>
            </w:r>
            <w:r>
              <w:rPr>
                <w:rFonts w:hint="default"/>
                <w:b w:val="0"/>
                <w:bCs/>
                <w:color w:val="000000" w:themeColor="text1"/>
                <w:sz w:val="24"/>
                <w:lang w:val="en-US" w:eastAsia="zh-CN"/>
                <w14:textFill>
                  <w14:solidFill>
                    <w14:schemeClr w14:val="tx1"/>
                  </w14:solidFill>
                </w14:textFill>
              </w:rPr>
              <w:t>6号</w:t>
            </w:r>
            <w:r>
              <w:rPr>
                <w:rFonts w:hint="eastAsia"/>
                <w:b w:val="0"/>
                <w:bCs/>
                <w:color w:val="000000" w:themeColor="text1"/>
                <w:sz w:val="24"/>
                <w:lang w:val="en-US" w:eastAsia="zh-CN"/>
                <w14:textFill>
                  <w14:solidFill>
                    <w14:schemeClr w14:val="tx1"/>
                  </w14:solidFill>
                </w14:textFill>
              </w:rPr>
              <w:t>，</w:t>
            </w:r>
            <w:r>
              <w:rPr>
                <w:rFonts w:hint="default"/>
                <w:b w:val="0"/>
                <w:bCs/>
                <w:color w:val="000000" w:themeColor="text1"/>
                <w:sz w:val="24"/>
                <w:lang w:val="en-US" w:eastAsia="zh-CN"/>
                <w14:textFill>
                  <w14:solidFill>
                    <w14:schemeClr w14:val="tx1"/>
                  </w14:solidFill>
                </w14:textFill>
              </w:rPr>
              <w:t>本工程区域环境空气执行《环境空气质量标准》（GB3095-2012）二级 标准。根据初步调查，项目区附近无大的大气污染源，空气环境质量总体良好</w:t>
            </w:r>
            <w:r>
              <w:rPr>
                <w:rFonts w:hint="eastAsia"/>
                <w:b w:val="0"/>
                <w:bCs/>
                <w:color w:val="000000" w:themeColor="text1"/>
                <w:sz w:val="24"/>
                <w:lang w:val="en-US" w:eastAsia="zh-CN"/>
                <w14:textFill>
                  <w14:solidFill>
                    <w14:schemeClr w14:val="tx1"/>
                  </w14:solidFill>
                </w14:textFill>
              </w:rPr>
              <w:t>。</w:t>
            </w:r>
          </w:p>
          <w:p w14:paraId="03A6580A">
            <w:pPr>
              <w:pStyle w:val="6"/>
              <w:jc w:val="both"/>
              <w:outlineLvl w:val="2"/>
              <w:rPr>
                <w:rFonts w:hint="default" w:ascii="宋体" w:hAnsi="宋体" w:eastAsia="宋体" w:cs="宋体"/>
                <w:sz w:val="24"/>
                <w:szCs w:val="24"/>
                <w:lang w:val="en-US" w:eastAsia="zh-CN"/>
              </w:rPr>
            </w:pPr>
            <w:r>
              <w:rPr>
                <w:rFonts w:hint="default" w:ascii="Times New Roman" w:hAnsi="Times New Roman" w:eastAsia="宋体" w:cs="Times New Roman"/>
                <w:sz w:val="24"/>
                <w:szCs w:val="24"/>
                <w:lang w:val="en-US" w:eastAsia="zh-CN"/>
              </w:rPr>
              <w:t>1.2</w:t>
            </w:r>
            <w:r>
              <w:rPr>
                <w:rFonts w:hint="eastAsia" w:ascii="宋体" w:hAnsi="宋体" w:cs="宋体"/>
                <w:sz w:val="24"/>
                <w:szCs w:val="24"/>
                <w:lang w:val="en-US" w:eastAsia="zh-CN"/>
              </w:rPr>
              <w:t xml:space="preserve"> </w:t>
            </w:r>
            <w:r>
              <w:rPr>
                <w:rFonts w:ascii="宋体" w:hAnsi="宋体" w:eastAsia="宋体" w:cs="宋体"/>
                <w:sz w:val="24"/>
                <w:szCs w:val="24"/>
              </w:rPr>
              <w:t>数据来源</w:t>
            </w:r>
          </w:p>
          <w:p w14:paraId="2B76FFC5">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b w:val="0"/>
                <w:bCs/>
                <w:color w:val="000000" w:themeColor="text1"/>
                <w:sz w:val="24"/>
                <w:lang w:val="en-US" w:eastAsia="zh-CN"/>
                <w14:textFill>
                  <w14:solidFill>
                    <w14:schemeClr w14:val="tx1"/>
                  </w14:solidFill>
                </w14:textFill>
              </w:rPr>
            </w:pPr>
            <w:r>
              <w:rPr>
                <w:rFonts w:hint="default"/>
                <w:b w:val="0"/>
                <w:bCs/>
                <w:color w:val="000000" w:themeColor="text1"/>
                <w:sz w:val="24"/>
                <w:lang w:val="en-US" w:eastAsia="zh-CN"/>
                <w14:textFill>
                  <w14:solidFill>
                    <w14:schemeClr w14:val="tx1"/>
                  </w14:solidFill>
                </w14:textFill>
              </w:rPr>
              <w:t>根据《环境影响评价技术导则 大气环境》（HJ2.2-2018）要求，基本污 染物引用《昌吉州2024年环境空气质量报告》中2024年奇台县环境空气质量数据进行判定，基本污染物包括SO</w:t>
            </w:r>
            <w:r>
              <w:rPr>
                <w:rFonts w:hint="default"/>
                <w:b w:val="0"/>
                <w:bCs/>
                <w:color w:val="000000" w:themeColor="text1"/>
                <w:sz w:val="24"/>
                <w:vertAlign w:val="subscript"/>
                <w:lang w:val="en-US" w:eastAsia="zh-CN"/>
                <w14:textFill>
                  <w14:solidFill>
                    <w14:schemeClr w14:val="tx1"/>
                  </w14:solidFill>
                </w14:textFill>
              </w:rPr>
              <w:t>2</w:t>
            </w:r>
            <w:r>
              <w:rPr>
                <w:rFonts w:hint="default"/>
                <w:b w:val="0"/>
                <w:bCs/>
                <w:color w:val="000000" w:themeColor="text1"/>
                <w:sz w:val="24"/>
                <w:lang w:val="en-US" w:eastAsia="zh-CN"/>
                <w14:textFill>
                  <w14:solidFill>
                    <w14:schemeClr w14:val="tx1"/>
                  </w14:solidFill>
                </w14:textFill>
              </w:rPr>
              <w:t>、NO</w:t>
            </w:r>
            <w:r>
              <w:rPr>
                <w:rFonts w:hint="default"/>
                <w:b w:val="0"/>
                <w:bCs/>
                <w:color w:val="000000" w:themeColor="text1"/>
                <w:sz w:val="24"/>
                <w:vertAlign w:val="subscript"/>
                <w:lang w:val="en-US" w:eastAsia="zh-CN"/>
                <w14:textFill>
                  <w14:solidFill>
                    <w14:schemeClr w14:val="tx1"/>
                  </w14:solidFill>
                </w14:textFill>
              </w:rPr>
              <w:t>2</w:t>
            </w:r>
            <w:r>
              <w:rPr>
                <w:rFonts w:hint="default"/>
                <w:b w:val="0"/>
                <w:bCs/>
                <w:color w:val="000000" w:themeColor="text1"/>
                <w:sz w:val="24"/>
                <w:lang w:val="en-US" w:eastAsia="zh-CN"/>
                <w14:textFill>
                  <w14:solidFill>
                    <w14:schemeClr w14:val="tx1"/>
                  </w14:solidFill>
                </w14:textFill>
              </w:rPr>
              <w:t>、PM</w:t>
            </w:r>
            <w:r>
              <w:rPr>
                <w:rFonts w:hint="default"/>
                <w:b w:val="0"/>
                <w:bCs/>
                <w:color w:val="000000" w:themeColor="text1"/>
                <w:sz w:val="24"/>
                <w:vertAlign w:val="subscript"/>
                <w:lang w:val="en-US" w:eastAsia="zh-CN"/>
                <w14:textFill>
                  <w14:solidFill>
                    <w14:schemeClr w14:val="tx1"/>
                  </w14:solidFill>
                </w14:textFill>
              </w:rPr>
              <w:t>10</w:t>
            </w:r>
            <w:r>
              <w:rPr>
                <w:rFonts w:hint="default"/>
                <w:b w:val="0"/>
                <w:bCs/>
                <w:color w:val="000000" w:themeColor="text1"/>
                <w:sz w:val="24"/>
                <w:lang w:val="en-US" w:eastAsia="zh-CN"/>
                <w14:textFill>
                  <w14:solidFill>
                    <w14:schemeClr w14:val="tx1"/>
                  </w14:solidFill>
                </w14:textFill>
              </w:rPr>
              <w:t>、PM</w:t>
            </w:r>
            <w:r>
              <w:rPr>
                <w:rFonts w:hint="default"/>
                <w:b w:val="0"/>
                <w:bCs/>
                <w:color w:val="000000" w:themeColor="text1"/>
                <w:sz w:val="24"/>
                <w:vertAlign w:val="subscript"/>
                <w:lang w:val="en-US" w:eastAsia="zh-CN"/>
                <w14:textFill>
                  <w14:solidFill>
                    <w14:schemeClr w14:val="tx1"/>
                  </w14:solidFill>
                </w14:textFill>
              </w:rPr>
              <w:t>2.5</w:t>
            </w:r>
            <w:r>
              <w:rPr>
                <w:rFonts w:hint="default"/>
                <w:b w:val="0"/>
                <w:bCs/>
                <w:color w:val="000000" w:themeColor="text1"/>
                <w:sz w:val="24"/>
                <w:lang w:val="en-US" w:eastAsia="zh-CN"/>
                <w14:textFill>
                  <w14:solidFill>
                    <w14:schemeClr w14:val="tx1"/>
                  </w14:solidFill>
                </w14:textFill>
              </w:rPr>
              <w:t>、CO和O</w:t>
            </w:r>
            <w:r>
              <w:rPr>
                <w:rFonts w:hint="default"/>
                <w:b w:val="0"/>
                <w:bCs/>
                <w:color w:val="000000" w:themeColor="text1"/>
                <w:sz w:val="24"/>
                <w:vertAlign w:val="subscript"/>
                <w:lang w:val="en-US" w:eastAsia="zh-CN"/>
                <w14:textFill>
                  <w14:solidFill>
                    <w14:schemeClr w14:val="tx1"/>
                  </w14:solidFill>
                </w14:textFill>
              </w:rPr>
              <w:t>3</w:t>
            </w:r>
            <w:r>
              <w:rPr>
                <w:rFonts w:hint="default"/>
                <w:b w:val="0"/>
                <w:bCs/>
                <w:color w:val="000000" w:themeColor="text1"/>
                <w:sz w:val="24"/>
                <w:lang w:val="en-US" w:eastAsia="zh-CN"/>
                <w14:textFill>
                  <w14:solidFill>
                    <w14:schemeClr w14:val="tx1"/>
                  </w14:solidFill>
                </w14:textFill>
              </w:rPr>
              <w:t>，进行项目所在区域环境空气达标判定和区域各污染物的环境质量现状评价。</w:t>
            </w:r>
          </w:p>
          <w:p w14:paraId="1BF3CD9B">
            <w:pPr>
              <w:pStyle w:val="6"/>
              <w:bidi w:val="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1.3</w:t>
            </w:r>
            <w:r>
              <w:rPr>
                <w:rFonts w:hint="eastAsia"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lang w:val="en-US" w:eastAsia="zh-CN"/>
                <w14:textFill>
                  <w14:solidFill>
                    <w14:schemeClr w14:val="tx1"/>
                  </w14:solidFill>
                </w14:textFill>
              </w:rPr>
              <w:t>评价标准</w:t>
            </w:r>
          </w:p>
          <w:p w14:paraId="69BAD3B2">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b w:val="0"/>
                <w:bCs/>
                <w:color w:val="000000" w:themeColor="text1"/>
                <w:sz w:val="24"/>
                <w:lang w:val="en-US" w:eastAsia="zh-CN"/>
                <w14:textFill>
                  <w14:solidFill>
                    <w14:schemeClr w14:val="tx1"/>
                  </w14:solidFill>
                </w14:textFill>
              </w:rPr>
            </w:pPr>
            <w:r>
              <w:rPr>
                <w:rFonts w:ascii="宋体" w:hAnsi="宋体" w:eastAsia="宋体" w:cs="宋体"/>
                <w:b w:val="0"/>
                <w:bCs/>
                <w:sz w:val="24"/>
                <w:szCs w:val="24"/>
              </w:rPr>
              <w:t>根据本项目所在区域的环境功能区划，基本污染物及特征污染物执行 《环境空气质量标准》（GB3095-2012）中的二级标准，</w:t>
            </w:r>
            <w:r>
              <w:rPr>
                <w:rFonts w:hint="default"/>
                <w:b w:val="0"/>
                <w:bCs/>
                <w:color w:val="000000" w:themeColor="text1"/>
                <w:sz w:val="24"/>
                <w:lang w:val="en-US" w:eastAsia="zh-CN"/>
                <w14:textFill>
                  <w14:solidFill>
                    <w14:schemeClr w14:val="tx1"/>
                  </w14:solidFill>
                </w14:textFill>
              </w:rPr>
              <w:t>具体数据见表3-1。</w:t>
            </w:r>
          </w:p>
          <w:p w14:paraId="16EB0CEF">
            <w:pPr>
              <w:pStyle w:val="34"/>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表3-1   环境空气质量标准（GB3095-2012）二级标准</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节选</w:t>
            </w:r>
            <w:r>
              <w:rPr>
                <w:rFonts w:hint="eastAsia"/>
                <w:color w:val="000000" w:themeColor="text1"/>
                <w:sz w:val="21"/>
                <w:szCs w:val="21"/>
                <w:lang w:eastAsia="zh-CN"/>
                <w14:textFill>
                  <w14:solidFill>
                    <w14:schemeClr w14:val="tx1"/>
                  </w14:solidFill>
                </w14:textFill>
              </w:rPr>
              <w:t>）</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730"/>
              <w:gridCol w:w="2128"/>
              <w:gridCol w:w="2128"/>
              <w:gridCol w:w="1040"/>
            </w:tblGrid>
            <w:tr w14:paraId="20949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tcBorders>
                    <w:bottom w:val="single" w:color="000000" w:sz="12" w:space="0"/>
                  </w:tcBorders>
                  <w:noWrap w:val="0"/>
                  <w:vAlign w:val="center"/>
                </w:tcPr>
                <w:p w14:paraId="4F1D0521">
                  <w:pPr>
                    <w:pStyle w:val="35"/>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1126" w:type="pct"/>
                  <w:tcBorders>
                    <w:bottom w:val="single" w:color="000000" w:sz="12" w:space="0"/>
                  </w:tcBorders>
                  <w:noWrap w:val="0"/>
                  <w:vAlign w:val="center"/>
                </w:tcPr>
                <w:p w14:paraId="4FF7C6B5">
                  <w:pPr>
                    <w:pStyle w:val="35"/>
                    <w:rPr>
                      <w:b/>
                      <w:bCs/>
                      <w:color w:val="000000" w:themeColor="text1"/>
                      <w14:textFill>
                        <w14:solidFill>
                          <w14:schemeClr w14:val="tx1"/>
                        </w14:solidFill>
                      </w14:textFill>
                    </w:rPr>
                  </w:pPr>
                  <w:r>
                    <w:rPr>
                      <w:b/>
                      <w:bCs/>
                      <w:color w:val="000000" w:themeColor="text1"/>
                      <w14:textFill>
                        <w14:solidFill>
                          <w14:schemeClr w14:val="tx1"/>
                        </w14:solidFill>
                      </w14:textFill>
                    </w:rPr>
                    <w:t>污染物项目</w:t>
                  </w:r>
                </w:p>
              </w:tc>
              <w:tc>
                <w:tcPr>
                  <w:tcW w:w="1385" w:type="pct"/>
                  <w:tcBorders>
                    <w:bottom w:val="single" w:color="000000" w:sz="12" w:space="0"/>
                  </w:tcBorders>
                  <w:noWrap w:val="0"/>
                  <w:vAlign w:val="center"/>
                </w:tcPr>
                <w:p w14:paraId="7C4D6B4B">
                  <w:pPr>
                    <w:pStyle w:val="35"/>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年评价指标</w:t>
                  </w:r>
                </w:p>
              </w:tc>
              <w:tc>
                <w:tcPr>
                  <w:tcW w:w="1385" w:type="pct"/>
                  <w:tcBorders>
                    <w:bottom w:val="single" w:color="000000" w:sz="12" w:space="0"/>
                  </w:tcBorders>
                  <w:noWrap w:val="0"/>
                  <w:vAlign w:val="center"/>
                </w:tcPr>
                <w:p w14:paraId="0248667F">
                  <w:pPr>
                    <w:pStyle w:val="35"/>
                    <w:rPr>
                      <w:b/>
                      <w:bCs/>
                      <w:color w:val="000000" w:themeColor="text1"/>
                      <w14:textFill>
                        <w14:solidFill>
                          <w14:schemeClr w14:val="tx1"/>
                        </w14:solidFill>
                      </w14:textFill>
                    </w:rPr>
                  </w:pPr>
                  <w:r>
                    <w:rPr>
                      <w:b/>
                      <w:bCs/>
                      <w:color w:val="000000" w:themeColor="text1"/>
                      <w14:textFill>
                        <w14:solidFill>
                          <w14:schemeClr w14:val="tx1"/>
                        </w14:solidFill>
                      </w14:textFill>
                    </w:rPr>
                    <w:t>浓度限值</w:t>
                  </w:r>
                </w:p>
              </w:tc>
              <w:tc>
                <w:tcPr>
                  <w:tcW w:w="676" w:type="pct"/>
                  <w:tcBorders>
                    <w:bottom w:val="single" w:color="000000" w:sz="12" w:space="0"/>
                  </w:tcBorders>
                  <w:noWrap w:val="0"/>
                  <w:vAlign w:val="center"/>
                </w:tcPr>
                <w:p w14:paraId="2FFCCF36">
                  <w:pPr>
                    <w:pStyle w:val="35"/>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r>
            <w:tr w14:paraId="29C30D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restart"/>
                  <w:tcBorders>
                    <w:top w:val="single" w:color="000000" w:sz="12" w:space="0"/>
                    <w:tl2br w:val="nil"/>
                    <w:tr2bl w:val="nil"/>
                  </w:tcBorders>
                  <w:noWrap w:val="0"/>
                  <w:vAlign w:val="center"/>
                </w:tcPr>
                <w:p w14:paraId="3E9BD006">
                  <w:pPr>
                    <w:pStyle w:val="35"/>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26" w:type="pct"/>
                  <w:vMerge w:val="restart"/>
                  <w:tcBorders>
                    <w:top w:val="single" w:color="000000" w:sz="12" w:space="0"/>
                    <w:tl2br w:val="nil"/>
                    <w:tr2bl w:val="nil"/>
                  </w:tcBorders>
                  <w:noWrap w:val="0"/>
                  <w:vAlign w:val="center"/>
                </w:tcPr>
                <w:p w14:paraId="173E8012">
                  <w:pPr>
                    <w:pStyle w:val="35"/>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385" w:type="pct"/>
                  <w:tcBorders>
                    <w:top w:val="single" w:color="000000" w:sz="12" w:space="0"/>
                    <w:tl2br w:val="nil"/>
                    <w:tr2bl w:val="nil"/>
                  </w:tcBorders>
                  <w:noWrap w:val="0"/>
                  <w:vAlign w:val="center"/>
                </w:tcPr>
                <w:p w14:paraId="180BCF42">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1385" w:type="pct"/>
                  <w:tcBorders>
                    <w:top w:val="single" w:color="000000" w:sz="12" w:space="0"/>
                    <w:tl2br w:val="nil"/>
                    <w:tr2bl w:val="nil"/>
                  </w:tcBorders>
                  <w:noWrap w:val="0"/>
                  <w:vAlign w:val="center"/>
                </w:tcPr>
                <w:p w14:paraId="77876D36">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676" w:type="pct"/>
                  <w:vMerge w:val="restart"/>
                  <w:tcBorders>
                    <w:top w:val="single" w:color="000000" w:sz="12" w:space="0"/>
                    <w:tl2br w:val="nil"/>
                    <w:tr2bl w:val="nil"/>
                  </w:tcBorders>
                  <w:noWrap w:val="0"/>
                  <w:vAlign w:val="center"/>
                </w:tcPr>
                <w:p w14:paraId="366773B0">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微克/立方米</w:t>
                  </w:r>
                </w:p>
              </w:tc>
            </w:tr>
            <w:tr w14:paraId="6EFA53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continue"/>
                  <w:tcBorders>
                    <w:tl2br w:val="nil"/>
                    <w:tr2bl w:val="nil"/>
                  </w:tcBorders>
                  <w:noWrap w:val="0"/>
                  <w:vAlign w:val="center"/>
                </w:tcPr>
                <w:p w14:paraId="020DA928">
                  <w:pPr>
                    <w:pStyle w:val="35"/>
                    <w:rPr>
                      <w:color w:val="000000" w:themeColor="text1"/>
                      <w14:textFill>
                        <w14:solidFill>
                          <w14:schemeClr w14:val="tx1"/>
                        </w14:solidFill>
                      </w14:textFill>
                    </w:rPr>
                  </w:pPr>
                </w:p>
              </w:tc>
              <w:tc>
                <w:tcPr>
                  <w:tcW w:w="1126" w:type="pct"/>
                  <w:vMerge w:val="continue"/>
                  <w:tcBorders>
                    <w:tl2br w:val="nil"/>
                    <w:tr2bl w:val="nil"/>
                  </w:tcBorders>
                  <w:noWrap w:val="0"/>
                  <w:vAlign w:val="center"/>
                </w:tcPr>
                <w:p w14:paraId="18ED8F33">
                  <w:pPr>
                    <w:pStyle w:val="35"/>
                    <w:rPr>
                      <w:color w:val="000000" w:themeColor="text1"/>
                      <w14:textFill>
                        <w14:solidFill>
                          <w14:schemeClr w14:val="tx1"/>
                        </w14:solidFill>
                      </w14:textFill>
                    </w:rPr>
                  </w:pPr>
                </w:p>
              </w:tc>
              <w:tc>
                <w:tcPr>
                  <w:tcW w:w="1385" w:type="pct"/>
                  <w:tcBorders>
                    <w:tl2br w:val="nil"/>
                    <w:tr2bl w:val="nil"/>
                  </w:tcBorders>
                  <w:noWrap w:val="0"/>
                  <w:vAlign w:val="center"/>
                </w:tcPr>
                <w:p w14:paraId="054F8B36">
                  <w:pPr>
                    <w:pStyle w:val="35"/>
                    <w:rPr>
                      <w:color w:val="000000" w:themeColor="text1"/>
                      <w14:textFill>
                        <w14:solidFill>
                          <w14:schemeClr w14:val="tx1"/>
                        </w14:solidFill>
                      </w14:textFill>
                    </w:rPr>
                  </w:pPr>
                  <w:r>
                    <w:rPr>
                      <w:color w:val="000000" w:themeColor="text1"/>
                      <w14:textFill>
                        <w14:solidFill>
                          <w14:schemeClr w14:val="tx1"/>
                        </w14:solidFill>
                      </w14:textFill>
                    </w:rPr>
                    <w:t>24小时</w:t>
                  </w:r>
                  <w:r>
                    <w:rPr>
                      <w:rFonts w:hint="eastAsia"/>
                      <w:color w:val="000000" w:themeColor="text1"/>
                      <w14:textFill>
                        <w14:solidFill>
                          <w14:schemeClr w14:val="tx1"/>
                        </w14:solidFill>
                      </w14:textFill>
                    </w:rPr>
                    <w:t>平均</w:t>
                  </w:r>
                </w:p>
              </w:tc>
              <w:tc>
                <w:tcPr>
                  <w:tcW w:w="1385" w:type="pct"/>
                  <w:tcBorders>
                    <w:tl2br w:val="nil"/>
                    <w:tr2bl w:val="nil"/>
                  </w:tcBorders>
                  <w:noWrap w:val="0"/>
                  <w:vAlign w:val="center"/>
                </w:tcPr>
                <w:p w14:paraId="2F7DAF9B">
                  <w:pPr>
                    <w:pStyle w:val="35"/>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676" w:type="pct"/>
                  <w:vMerge w:val="continue"/>
                  <w:tcBorders>
                    <w:tl2br w:val="nil"/>
                    <w:tr2bl w:val="nil"/>
                  </w:tcBorders>
                  <w:noWrap w:val="0"/>
                  <w:vAlign w:val="center"/>
                </w:tcPr>
                <w:p w14:paraId="340F92E3">
                  <w:pPr>
                    <w:pStyle w:val="35"/>
                    <w:rPr>
                      <w:color w:val="000000" w:themeColor="text1"/>
                      <w14:textFill>
                        <w14:solidFill>
                          <w14:schemeClr w14:val="tx1"/>
                        </w14:solidFill>
                      </w14:textFill>
                    </w:rPr>
                  </w:pPr>
                </w:p>
              </w:tc>
            </w:tr>
            <w:tr w14:paraId="03B1D0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continue"/>
                  <w:tcBorders>
                    <w:tl2br w:val="nil"/>
                    <w:tr2bl w:val="nil"/>
                  </w:tcBorders>
                  <w:noWrap w:val="0"/>
                  <w:vAlign w:val="center"/>
                </w:tcPr>
                <w:p w14:paraId="67E213C2">
                  <w:pPr>
                    <w:pStyle w:val="35"/>
                    <w:rPr>
                      <w:color w:val="000000" w:themeColor="text1"/>
                      <w14:textFill>
                        <w14:solidFill>
                          <w14:schemeClr w14:val="tx1"/>
                        </w14:solidFill>
                      </w14:textFill>
                    </w:rPr>
                  </w:pPr>
                </w:p>
              </w:tc>
              <w:tc>
                <w:tcPr>
                  <w:tcW w:w="1126" w:type="pct"/>
                  <w:vMerge w:val="continue"/>
                  <w:tcBorders>
                    <w:tl2br w:val="nil"/>
                    <w:tr2bl w:val="nil"/>
                  </w:tcBorders>
                  <w:noWrap w:val="0"/>
                  <w:vAlign w:val="center"/>
                </w:tcPr>
                <w:p w14:paraId="581D70A8">
                  <w:pPr>
                    <w:pStyle w:val="35"/>
                    <w:rPr>
                      <w:color w:val="000000" w:themeColor="text1"/>
                      <w14:textFill>
                        <w14:solidFill>
                          <w14:schemeClr w14:val="tx1"/>
                        </w14:solidFill>
                      </w14:textFill>
                    </w:rPr>
                  </w:pPr>
                </w:p>
              </w:tc>
              <w:tc>
                <w:tcPr>
                  <w:tcW w:w="1385" w:type="pct"/>
                  <w:tcBorders>
                    <w:tl2br w:val="nil"/>
                    <w:tr2bl w:val="nil"/>
                  </w:tcBorders>
                  <w:noWrap w:val="0"/>
                  <w:vAlign w:val="center"/>
                </w:tcPr>
                <w:p w14:paraId="66253048">
                  <w:pPr>
                    <w:pStyle w:val="35"/>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1385" w:type="pct"/>
                  <w:tcBorders>
                    <w:tl2br w:val="nil"/>
                    <w:tr2bl w:val="nil"/>
                  </w:tcBorders>
                  <w:noWrap w:val="0"/>
                  <w:vAlign w:val="center"/>
                </w:tcPr>
                <w:p w14:paraId="3327E98A">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676" w:type="pct"/>
                  <w:vMerge w:val="continue"/>
                  <w:tcBorders>
                    <w:tl2br w:val="nil"/>
                    <w:tr2bl w:val="nil"/>
                  </w:tcBorders>
                  <w:noWrap w:val="0"/>
                  <w:vAlign w:val="center"/>
                </w:tcPr>
                <w:p w14:paraId="5E8B8E43">
                  <w:pPr>
                    <w:pStyle w:val="35"/>
                    <w:rPr>
                      <w:color w:val="000000" w:themeColor="text1"/>
                      <w14:textFill>
                        <w14:solidFill>
                          <w14:schemeClr w14:val="tx1"/>
                        </w14:solidFill>
                      </w14:textFill>
                    </w:rPr>
                  </w:pPr>
                </w:p>
              </w:tc>
            </w:tr>
            <w:tr w14:paraId="02E405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restart"/>
                  <w:tcBorders>
                    <w:tl2br w:val="nil"/>
                    <w:tr2bl w:val="nil"/>
                  </w:tcBorders>
                  <w:noWrap w:val="0"/>
                  <w:vAlign w:val="center"/>
                </w:tcPr>
                <w:p w14:paraId="67B3E43E">
                  <w:pPr>
                    <w:pStyle w:val="35"/>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26" w:type="pct"/>
                  <w:vMerge w:val="restart"/>
                  <w:tcBorders>
                    <w:tl2br w:val="nil"/>
                    <w:tr2bl w:val="nil"/>
                  </w:tcBorders>
                  <w:noWrap w:val="0"/>
                  <w:vAlign w:val="center"/>
                </w:tcPr>
                <w:p w14:paraId="3164EEF6">
                  <w:pPr>
                    <w:pStyle w:val="35"/>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1385" w:type="pct"/>
                  <w:tcBorders>
                    <w:tl2br w:val="nil"/>
                    <w:tr2bl w:val="nil"/>
                  </w:tcBorders>
                  <w:noWrap w:val="0"/>
                  <w:vAlign w:val="center"/>
                </w:tcPr>
                <w:p w14:paraId="779A2690">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年平均</w:t>
                  </w:r>
                </w:p>
              </w:tc>
              <w:tc>
                <w:tcPr>
                  <w:tcW w:w="1385" w:type="pct"/>
                  <w:tcBorders>
                    <w:tl2br w:val="nil"/>
                    <w:tr2bl w:val="nil"/>
                  </w:tcBorders>
                  <w:noWrap w:val="0"/>
                  <w:vAlign w:val="center"/>
                </w:tcPr>
                <w:p w14:paraId="297DC76B">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676" w:type="pct"/>
                  <w:vMerge w:val="continue"/>
                  <w:tcBorders>
                    <w:tl2br w:val="nil"/>
                    <w:tr2bl w:val="nil"/>
                  </w:tcBorders>
                  <w:noWrap w:val="0"/>
                  <w:vAlign w:val="center"/>
                </w:tcPr>
                <w:p w14:paraId="09ED32D3">
                  <w:pPr>
                    <w:pStyle w:val="35"/>
                    <w:rPr>
                      <w:color w:val="000000" w:themeColor="text1"/>
                      <w14:textFill>
                        <w14:solidFill>
                          <w14:schemeClr w14:val="tx1"/>
                        </w14:solidFill>
                      </w14:textFill>
                    </w:rPr>
                  </w:pPr>
                </w:p>
              </w:tc>
            </w:tr>
            <w:tr w14:paraId="251D81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continue"/>
                  <w:tcBorders>
                    <w:tl2br w:val="nil"/>
                    <w:tr2bl w:val="nil"/>
                  </w:tcBorders>
                  <w:noWrap w:val="0"/>
                  <w:vAlign w:val="center"/>
                </w:tcPr>
                <w:p w14:paraId="4189FE57">
                  <w:pPr>
                    <w:pStyle w:val="35"/>
                    <w:rPr>
                      <w:color w:val="000000" w:themeColor="text1"/>
                      <w14:textFill>
                        <w14:solidFill>
                          <w14:schemeClr w14:val="tx1"/>
                        </w14:solidFill>
                      </w14:textFill>
                    </w:rPr>
                  </w:pPr>
                </w:p>
              </w:tc>
              <w:tc>
                <w:tcPr>
                  <w:tcW w:w="1126" w:type="pct"/>
                  <w:vMerge w:val="continue"/>
                  <w:tcBorders>
                    <w:tl2br w:val="nil"/>
                    <w:tr2bl w:val="nil"/>
                  </w:tcBorders>
                  <w:noWrap w:val="0"/>
                  <w:vAlign w:val="center"/>
                </w:tcPr>
                <w:p w14:paraId="647C7EF7">
                  <w:pPr>
                    <w:pStyle w:val="35"/>
                    <w:rPr>
                      <w:color w:val="000000" w:themeColor="text1"/>
                      <w14:textFill>
                        <w14:solidFill>
                          <w14:schemeClr w14:val="tx1"/>
                        </w14:solidFill>
                      </w14:textFill>
                    </w:rPr>
                  </w:pPr>
                </w:p>
              </w:tc>
              <w:tc>
                <w:tcPr>
                  <w:tcW w:w="1385" w:type="pct"/>
                  <w:tcBorders>
                    <w:tl2br w:val="nil"/>
                    <w:tr2bl w:val="nil"/>
                  </w:tcBorders>
                  <w:noWrap w:val="0"/>
                  <w:vAlign w:val="center"/>
                </w:tcPr>
                <w:p w14:paraId="55490904">
                  <w:pPr>
                    <w:pStyle w:val="35"/>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385" w:type="pct"/>
                  <w:tcBorders>
                    <w:tl2br w:val="nil"/>
                    <w:tr2bl w:val="nil"/>
                  </w:tcBorders>
                  <w:noWrap w:val="0"/>
                  <w:vAlign w:val="center"/>
                </w:tcPr>
                <w:p w14:paraId="27572B08">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676" w:type="pct"/>
                  <w:vMerge w:val="continue"/>
                  <w:tcBorders>
                    <w:tl2br w:val="nil"/>
                    <w:tr2bl w:val="nil"/>
                  </w:tcBorders>
                  <w:noWrap w:val="0"/>
                  <w:vAlign w:val="center"/>
                </w:tcPr>
                <w:p w14:paraId="47D5DE96">
                  <w:pPr>
                    <w:pStyle w:val="35"/>
                    <w:rPr>
                      <w:color w:val="000000" w:themeColor="text1"/>
                      <w14:textFill>
                        <w14:solidFill>
                          <w14:schemeClr w14:val="tx1"/>
                        </w14:solidFill>
                      </w14:textFill>
                    </w:rPr>
                  </w:pPr>
                </w:p>
              </w:tc>
            </w:tr>
            <w:tr w14:paraId="69670E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continue"/>
                  <w:tcBorders>
                    <w:tl2br w:val="nil"/>
                    <w:tr2bl w:val="nil"/>
                  </w:tcBorders>
                  <w:noWrap w:val="0"/>
                  <w:vAlign w:val="center"/>
                </w:tcPr>
                <w:p w14:paraId="6181A6E9">
                  <w:pPr>
                    <w:pStyle w:val="35"/>
                    <w:rPr>
                      <w:color w:val="000000" w:themeColor="text1"/>
                      <w14:textFill>
                        <w14:solidFill>
                          <w14:schemeClr w14:val="tx1"/>
                        </w14:solidFill>
                      </w14:textFill>
                    </w:rPr>
                  </w:pPr>
                </w:p>
              </w:tc>
              <w:tc>
                <w:tcPr>
                  <w:tcW w:w="1126" w:type="pct"/>
                  <w:vMerge w:val="continue"/>
                  <w:tcBorders>
                    <w:tl2br w:val="nil"/>
                    <w:tr2bl w:val="nil"/>
                  </w:tcBorders>
                  <w:noWrap w:val="0"/>
                  <w:vAlign w:val="center"/>
                </w:tcPr>
                <w:p w14:paraId="58866247">
                  <w:pPr>
                    <w:pStyle w:val="35"/>
                    <w:rPr>
                      <w:color w:val="000000" w:themeColor="text1"/>
                      <w14:textFill>
                        <w14:solidFill>
                          <w14:schemeClr w14:val="tx1"/>
                        </w14:solidFill>
                      </w14:textFill>
                    </w:rPr>
                  </w:pPr>
                </w:p>
              </w:tc>
              <w:tc>
                <w:tcPr>
                  <w:tcW w:w="1385" w:type="pct"/>
                  <w:tcBorders>
                    <w:tl2br w:val="nil"/>
                    <w:tr2bl w:val="nil"/>
                  </w:tcBorders>
                  <w:noWrap w:val="0"/>
                  <w:vAlign w:val="center"/>
                </w:tcPr>
                <w:p w14:paraId="7C82A3CC">
                  <w:pPr>
                    <w:pStyle w:val="35"/>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1385" w:type="pct"/>
                  <w:tcBorders>
                    <w:tl2br w:val="nil"/>
                    <w:tr2bl w:val="nil"/>
                  </w:tcBorders>
                  <w:noWrap w:val="0"/>
                  <w:vAlign w:val="center"/>
                </w:tcPr>
                <w:p w14:paraId="1E5263A6">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676" w:type="pct"/>
                  <w:vMerge w:val="continue"/>
                  <w:tcBorders>
                    <w:tl2br w:val="nil"/>
                    <w:tr2bl w:val="nil"/>
                  </w:tcBorders>
                  <w:noWrap w:val="0"/>
                  <w:vAlign w:val="center"/>
                </w:tcPr>
                <w:p w14:paraId="0F67C3B2">
                  <w:pPr>
                    <w:pStyle w:val="35"/>
                    <w:rPr>
                      <w:color w:val="000000" w:themeColor="text1"/>
                      <w14:textFill>
                        <w14:solidFill>
                          <w14:schemeClr w14:val="tx1"/>
                        </w14:solidFill>
                      </w14:textFill>
                    </w:rPr>
                  </w:pPr>
                </w:p>
              </w:tc>
            </w:tr>
            <w:tr w14:paraId="171A9C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restart"/>
                  <w:tcBorders>
                    <w:tl2br w:val="nil"/>
                    <w:tr2bl w:val="nil"/>
                  </w:tcBorders>
                  <w:noWrap w:val="0"/>
                  <w:vAlign w:val="center"/>
                </w:tcPr>
                <w:p w14:paraId="57A65978">
                  <w:pPr>
                    <w:pStyle w:val="35"/>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126" w:type="pct"/>
                  <w:vMerge w:val="restart"/>
                  <w:tcBorders>
                    <w:tl2br w:val="nil"/>
                    <w:tr2bl w:val="nil"/>
                  </w:tcBorders>
                  <w:noWrap w:val="0"/>
                  <w:vAlign w:val="center"/>
                </w:tcPr>
                <w:p w14:paraId="248156F0">
                  <w:pPr>
                    <w:pStyle w:val="35"/>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1385" w:type="pct"/>
                  <w:tcBorders>
                    <w:tl2br w:val="nil"/>
                    <w:tr2bl w:val="nil"/>
                  </w:tcBorders>
                  <w:noWrap w:val="0"/>
                  <w:vAlign w:val="center"/>
                </w:tcPr>
                <w:p w14:paraId="3E58C75A">
                  <w:pPr>
                    <w:pStyle w:val="35"/>
                    <w:rPr>
                      <w:color w:val="000000" w:themeColor="text1"/>
                      <w14:textFill>
                        <w14:solidFill>
                          <w14:schemeClr w14:val="tx1"/>
                        </w14:solidFill>
                      </w14:textFill>
                    </w:rPr>
                  </w:pPr>
                  <w:r>
                    <w:rPr>
                      <w:color w:val="000000" w:themeColor="text1"/>
                      <w14:textFill>
                        <w14:solidFill>
                          <w14:schemeClr w14:val="tx1"/>
                        </w14:solidFill>
                      </w14:textFill>
                    </w:rPr>
                    <w:t>日</w:t>
                  </w:r>
                  <w:r>
                    <w:rPr>
                      <w:rFonts w:hint="eastAsia"/>
                      <w:color w:val="000000" w:themeColor="text1"/>
                      <w14:textFill>
                        <w14:solidFill>
                          <w14:schemeClr w14:val="tx1"/>
                        </w14:solidFill>
                      </w14:textFill>
                    </w:rPr>
                    <w:t>最</w:t>
                  </w:r>
                  <w:r>
                    <w:rPr>
                      <w:color w:val="000000" w:themeColor="text1"/>
                      <w14:textFill>
                        <w14:solidFill>
                          <w14:schemeClr w14:val="tx1"/>
                        </w14:solidFill>
                      </w14:textFill>
                    </w:rPr>
                    <w:t>大8小时平均</w:t>
                  </w:r>
                </w:p>
              </w:tc>
              <w:tc>
                <w:tcPr>
                  <w:tcW w:w="1385" w:type="pct"/>
                  <w:tcBorders>
                    <w:tl2br w:val="nil"/>
                    <w:tr2bl w:val="nil"/>
                  </w:tcBorders>
                  <w:noWrap w:val="0"/>
                  <w:vAlign w:val="center"/>
                </w:tcPr>
                <w:p w14:paraId="3F43A061">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160</w:t>
                  </w:r>
                </w:p>
              </w:tc>
              <w:tc>
                <w:tcPr>
                  <w:tcW w:w="676" w:type="pct"/>
                  <w:vMerge w:val="continue"/>
                  <w:tcBorders>
                    <w:tl2br w:val="nil"/>
                    <w:tr2bl w:val="nil"/>
                  </w:tcBorders>
                  <w:noWrap w:val="0"/>
                  <w:vAlign w:val="center"/>
                </w:tcPr>
                <w:p w14:paraId="4A62FFFB">
                  <w:pPr>
                    <w:pStyle w:val="35"/>
                    <w:rPr>
                      <w:color w:val="000000" w:themeColor="text1"/>
                      <w14:textFill>
                        <w14:solidFill>
                          <w14:schemeClr w14:val="tx1"/>
                        </w14:solidFill>
                      </w14:textFill>
                    </w:rPr>
                  </w:pPr>
                </w:p>
              </w:tc>
            </w:tr>
            <w:tr w14:paraId="25695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continue"/>
                  <w:tcBorders>
                    <w:tl2br w:val="nil"/>
                    <w:tr2bl w:val="nil"/>
                  </w:tcBorders>
                  <w:noWrap w:val="0"/>
                  <w:vAlign w:val="center"/>
                </w:tcPr>
                <w:p w14:paraId="5ED1470A">
                  <w:pPr>
                    <w:pStyle w:val="35"/>
                    <w:rPr>
                      <w:color w:val="000000" w:themeColor="text1"/>
                      <w14:textFill>
                        <w14:solidFill>
                          <w14:schemeClr w14:val="tx1"/>
                        </w14:solidFill>
                      </w14:textFill>
                    </w:rPr>
                  </w:pPr>
                </w:p>
              </w:tc>
              <w:tc>
                <w:tcPr>
                  <w:tcW w:w="1126" w:type="pct"/>
                  <w:vMerge w:val="continue"/>
                  <w:tcBorders>
                    <w:tl2br w:val="nil"/>
                    <w:tr2bl w:val="nil"/>
                  </w:tcBorders>
                  <w:noWrap w:val="0"/>
                  <w:vAlign w:val="center"/>
                </w:tcPr>
                <w:p w14:paraId="54ECCD5D">
                  <w:pPr>
                    <w:pStyle w:val="35"/>
                    <w:rPr>
                      <w:color w:val="000000" w:themeColor="text1"/>
                      <w14:textFill>
                        <w14:solidFill>
                          <w14:schemeClr w14:val="tx1"/>
                        </w14:solidFill>
                      </w14:textFill>
                    </w:rPr>
                  </w:pPr>
                </w:p>
              </w:tc>
              <w:tc>
                <w:tcPr>
                  <w:tcW w:w="1385" w:type="pct"/>
                  <w:tcBorders>
                    <w:tl2br w:val="nil"/>
                    <w:tr2bl w:val="nil"/>
                  </w:tcBorders>
                  <w:noWrap w:val="0"/>
                  <w:vAlign w:val="center"/>
                </w:tcPr>
                <w:p w14:paraId="0AEB2C13">
                  <w:pPr>
                    <w:pStyle w:val="35"/>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1385" w:type="pct"/>
                  <w:tcBorders>
                    <w:tl2br w:val="nil"/>
                    <w:tr2bl w:val="nil"/>
                  </w:tcBorders>
                  <w:noWrap w:val="0"/>
                  <w:vAlign w:val="center"/>
                </w:tcPr>
                <w:p w14:paraId="7B98C023">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200</w:t>
                  </w:r>
                </w:p>
              </w:tc>
              <w:tc>
                <w:tcPr>
                  <w:tcW w:w="676" w:type="pct"/>
                  <w:vMerge w:val="continue"/>
                  <w:tcBorders>
                    <w:tl2br w:val="nil"/>
                    <w:tr2bl w:val="nil"/>
                  </w:tcBorders>
                  <w:noWrap w:val="0"/>
                  <w:vAlign w:val="center"/>
                </w:tcPr>
                <w:p w14:paraId="3AE6ECBB">
                  <w:pPr>
                    <w:pStyle w:val="35"/>
                    <w:rPr>
                      <w:color w:val="000000" w:themeColor="text1"/>
                      <w14:textFill>
                        <w14:solidFill>
                          <w14:schemeClr w14:val="tx1"/>
                        </w14:solidFill>
                      </w14:textFill>
                    </w:rPr>
                  </w:pPr>
                </w:p>
              </w:tc>
            </w:tr>
            <w:tr w14:paraId="498C65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426" w:type="pct"/>
                  <w:vMerge w:val="restart"/>
                  <w:tcBorders>
                    <w:tl2br w:val="nil"/>
                    <w:tr2bl w:val="nil"/>
                  </w:tcBorders>
                  <w:noWrap w:val="0"/>
                  <w:vAlign w:val="center"/>
                </w:tcPr>
                <w:p w14:paraId="1E448610">
                  <w:pPr>
                    <w:pStyle w:val="35"/>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126" w:type="pct"/>
                  <w:vMerge w:val="restart"/>
                  <w:tcBorders>
                    <w:tl2br w:val="nil"/>
                    <w:tr2bl w:val="nil"/>
                  </w:tcBorders>
                  <w:noWrap w:val="0"/>
                  <w:vAlign w:val="center"/>
                </w:tcPr>
                <w:p w14:paraId="0C5ED7E6">
                  <w:pPr>
                    <w:pStyle w:val="35"/>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1385" w:type="pct"/>
                  <w:tcBorders>
                    <w:tl2br w:val="nil"/>
                    <w:tr2bl w:val="nil"/>
                  </w:tcBorders>
                  <w:noWrap w:val="0"/>
                  <w:vAlign w:val="center"/>
                </w:tcPr>
                <w:p w14:paraId="394173C9">
                  <w:pPr>
                    <w:pStyle w:val="35"/>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385" w:type="pct"/>
                  <w:tcBorders>
                    <w:tl2br w:val="nil"/>
                    <w:tr2bl w:val="nil"/>
                  </w:tcBorders>
                  <w:noWrap w:val="0"/>
                  <w:vAlign w:val="center"/>
                </w:tcPr>
                <w:p w14:paraId="5390FAC0">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70</w:t>
                  </w:r>
                </w:p>
              </w:tc>
              <w:tc>
                <w:tcPr>
                  <w:tcW w:w="676" w:type="pct"/>
                  <w:vMerge w:val="continue"/>
                  <w:tcBorders>
                    <w:tl2br w:val="nil"/>
                    <w:tr2bl w:val="nil"/>
                  </w:tcBorders>
                  <w:noWrap w:val="0"/>
                  <w:vAlign w:val="center"/>
                </w:tcPr>
                <w:p w14:paraId="298C2257">
                  <w:pPr>
                    <w:pStyle w:val="35"/>
                    <w:rPr>
                      <w:color w:val="000000" w:themeColor="text1"/>
                      <w14:textFill>
                        <w14:solidFill>
                          <w14:schemeClr w14:val="tx1"/>
                        </w14:solidFill>
                      </w14:textFill>
                    </w:rPr>
                  </w:pPr>
                </w:p>
              </w:tc>
            </w:tr>
            <w:tr w14:paraId="237546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continue"/>
                  <w:tcBorders>
                    <w:tl2br w:val="nil"/>
                    <w:tr2bl w:val="nil"/>
                  </w:tcBorders>
                  <w:noWrap w:val="0"/>
                  <w:vAlign w:val="center"/>
                </w:tcPr>
                <w:p w14:paraId="522DDAB1">
                  <w:pPr>
                    <w:pStyle w:val="35"/>
                    <w:rPr>
                      <w:color w:val="000000" w:themeColor="text1"/>
                      <w14:textFill>
                        <w14:solidFill>
                          <w14:schemeClr w14:val="tx1"/>
                        </w14:solidFill>
                      </w14:textFill>
                    </w:rPr>
                  </w:pPr>
                </w:p>
              </w:tc>
              <w:tc>
                <w:tcPr>
                  <w:tcW w:w="1126" w:type="pct"/>
                  <w:vMerge w:val="continue"/>
                  <w:tcBorders>
                    <w:tl2br w:val="nil"/>
                    <w:tr2bl w:val="nil"/>
                  </w:tcBorders>
                  <w:noWrap w:val="0"/>
                  <w:vAlign w:val="center"/>
                </w:tcPr>
                <w:p w14:paraId="78665FEE">
                  <w:pPr>
                    <w:pStyle w:val="35"/>
                    <w:rPr>
                      <w:color w:val="000000" w:themeColor="text1"/>
                      <w14:textFill>
                        <w14:solidFill>
                          <w14:schemeClr w14:val="tx1"/>
                        </w14:solidFill>
                      </w14:textFill>
                    </w:rPr>
                  </w:pPr>
                </w:p>
              </w:tc>
              <w:tc>
                <w:tcPr>
                  <w:tcW w:w="1385" w:type="pct"/>
                  <w:tcBorders>
                    <w:tl2br w:val="nil"/>
                    <w:tr2bl w:val="nil"/>
                  </w:tcBorders>
                  <w:noWrap w:val="0"/>
                  <w:vAlign w:val="center"/>
                </w:tcPr>
                <w:p w14:paraId="65CC9415">
                  <w:pPr>
                    <w:pStyle w:val="35"/>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385" w:type="pct"/>
                  <w:tcBorders>
                    <w:tl2br w:val="nil"/>
                    <w:tr2bl w:val="nil"/>
                  </w:tcBorders>
                  <w:noWrap w:val="0"/>
                  <w:vAlign w:val="center"/>
                </w:tcPr>
                <w:p w14:paraId="3753D522">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150</w:t>
                  </w:r>
                </w:p>
              </w:tc>
              <w:tc>
                <w:tcPr>
                  <w:tcW w:w="676" w:type="pct"/>
                  <w:vMerge w:val="continue"/>
                  <w:tcBorders>
                    <w:tl2br w:val="nil"/>
                    <w:tr2bl w:val="nil"/>
                  </w:tcBorders>
                  <w:noWrap w:val="0"/>
                  <w:vAlign w:val="center"/>
                </w:tcPr>
                <w:p w14:paraId="7CAFCC3F">
                  <w:pPr>
                    <w:pStyle w:val="35"/>
                    <w:rPr>
                      <w:color w:val="000000" w:themeColor="text1"/>
                      <w14:textFill>
                        <w14:solidFill>
                          <w14:schemeClr w14:val="tx1"/>
                        </w14:solidFill>
                      </w14:textFill>
                    </w:rPr>
                  </w:pPr>
                </w:p>
              </w:tc>
            </w:tr>
            <w:tr w14:paraId="1F0DC0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restart"/>
                  <w:tcBorders>
                    <w:tl2br w:val="nil"/>
                    <w:tr2bl w:val="nil"/>
                  </w:tcBorders>
                  <w:noWrap w:val="0"/>
                  <w:vAlign w:val="center"/>
                </w:tcPr>
                <w:p w14:paraId="0BF111CD">
                  <w:pPr>
                    <w:pStyle w:val="35"/>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126" w:type="pct"/>
                  <w:vMerge w:val="restart"/>
                  <w:tcBorders>
                    <w:tl2br w:val="nil"/>
                    <w:tr2bl w:val="nil"/>
                  </w:tcBorders>
                  <w:noWrap w:val="0"/>
                  <w:vAlign w:val="center"/>
                </w:tcPr>
                <w:p w14:paraId="299D45D3">
                  <w:pPr>
                    <w:pStyle w:val="35"/>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1385" w:type="pct"/>
                  <w:tcBorders>
                    <w:tl2br w:val="nil"/>
                    <w:tr2bl w:val="nil"/>
                  </w:tcBorders>
                  <w:noWrap w:val="0"/>
                  <w:vAlign w:val="center"/>
                </w:tcPr>
                <w:p w14:paraId="68DFD8FE">
                  <w:pPr>
                    <w:pStyle w:val="35"/>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385" w:type="pct"/>
                  <w:tcBorders>
                    <w:tl2br w:val="nil"/>
                    <w:tr2bl w:val="nil"/>
                  </w:tcBorders>
                  <w:noWrap w:val="0"/>
                  <w:vAlign w:val="center"/>
                </w:tcPr>
                <w:p w14:paraId="3706AFC6">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676" w:type="pct"/>
                  <w:vMerge w:val="continue"/>
                  <w:tcBorders>
                    <w:tl2br w:val="nil"/>
                    <w:tr2bl w:val="nil"/>
                  </w:tcBorders>
                  <w:noWrap w:val="0"/>
                  <w:vAlign w:val="center"/>
                </w:tcPr>
                <w:p w14:paraId="083ECDDF">
                  <w:pPr>
                    <w:pStyle w:val="35"/>
                    <w:rPr>
                      <w:color w:val="000000" w:themeColor="text1"/>
                      <w14:textFill>
                        <w14:solidFill>
                          <w14:schemeClr w14:val="tx1"/>
                        </w14:solidFill>
                      </w14:textFill>
                    </w:rPr>
                  </w:pPr>
                </w:p>
              </w:tc>
            </w:tr>
            <w:tr w14:paraId="5EE1F0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426" w:type="pct"/>
                  <w:vMerge w:val="continue"/>
                  <w:tcBorders>
                    <w:tl2br w:val="nil"/>
                    <w:tr2bl w:val="nil"/>
                  </w:tcBorders>
                  <w:noWrap w:val="0"/>
                  <w:vAlign w:val="center"/>
                </w:tcPr>
                <w:p w14:paraId="4D28C890">
                  <w:pPr>
                    <w:pStyle w:val="35"/>
                    <w:rPr>
                      <w:color w:val="000000" w:themeColor="text1"/>
                      <w14:textFill>
                        <w14:solidFill>
                          <w14:schemeClr w14:val="tx1"/>
                        </w14:solidFill>
                      </w14:textFill>
                    </w:rPr>
                  </w:pPr>
                </w:p>
              </w:tc>
              <w:tc>
                <w:tcPr>
                  <w:tcW w:w="1126" w:type="pct"/>
                  <w:vMerge w:val="continue"/>
                  <w:tcBorders>
                    <w:tl2br w:val="nil"/>
                    <w:tr2bl w:val="nil"/>
                  </w:tcBorders>
                  <w:noWrap w:val="0"/>
                  <w:vAlign w:val="center"/>
                </w:tcPr>
                <w:p w14:paraId="2E3701C5">
                  <w:pPr>
                    <w:pStyle w:val="35"/>
                    <w:rPr>
                      <w:color w:val="000000" w:themeColor="text1"/>
                      <w14:textFill>
                        <w14:solidFill>
                          <w14:schemeClr w14:val="tx1"/>
                        </w14:solidFill>
                      </w14:textFill>
                    </w:rPr>
                  </w:pPr>
                </w:p>
              </w:tc>
              <w:tc>
                <w:tcPr>
                  <w:tcW w:w="1385" w:type="pct"/>
                  <w:tcBorders>
                    <w:tl2br w:val="nil"/>
                    <w:tr2bl w:val="nil"/>
                  </w:tcBorders>
                  <w:noWrap w:val="0"/>
                  <w:vAlign w:val="center"/>
                </w:tcPr>
                <w:p w14:paraId="34746673">
                  <w:pPr>
                    <w:pStyle w:val="35"/>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385" w:type="pct"/>
                  <w:tcBorders>
                    <w:tl2br w:val="nil"/>
                    <w:tr2bl w:val="nil"/>
                  </w:tcBorders>
                  <w:noWrap w:val="0"/>
                  <w:vAlign w:val="center"/>
                </w:tcPr>
                <w:p w14:paraId="1E65458F">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676" w:type="pct"/>
                  <w:vMerge w:val="continue"/>
                  <w:tcBorders>
                    <w:tl2br w:val="nil"/>
                    <w:tr2bl w:val="nil"/>
                  </w:tcBorders>
                  <w:noWrap w:val="0"/>
                  <w:vAlign w:val="center"/>
                </w:tcPr>
                <w:p w14:paraId="06F78D83">
                  <w:pPr>
                    <w:pStyle w:val="35"/>
                    <w:rPr>
                      <w:color w:val="000000" w:themeColor="text1"/>
                      <w14:textFill>
                        <w14:solidFill>
                          <w14:schemeClr w14:val="tx1"/>
                        </w14:solidFill>
                      </w14:textFill>
                    </w:rPr>
                  </w:pPr>
                </w:p>
              </w:tc>
            </w:tr>
            <w:tr w14:paraId="76D767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restart"/>
                  <w:tcBorders>
                    <w:tl2br w:val="nil"/>
                    <w:tr2bl w:val="nil"/>
                  </w:tcBorders>
                  <w:noWrap w:val="0"/>
                  <w:vAlign w:val="center"/>
                </w:tcPr>
                <w:p w14:paraId="03045272">
                  <w:pPr>
                    <w:pStyle w:val="35"/>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126" w:type="pct"/>
                  <w:vMerge w:val="restart"/>
                  <w:tcBorders>
                    <w:tl2br w:val="nil"/>
                    <w:tr2bl w:val="nil"/>
                  </w:tcBorders>
                  <w:shd w:val="clear" w:color="auto" w:fill="auto"/>
                  <w:noWrap w:val="0"/>
                  <w:vAlign w:val="center"/>
                </w:tcPr>
                <w:p w14:paraId="07EC129D">
                  <w:pPr>
                    <w:pStyle w:val="35"/>
                    <w:rPr>
                      <w:rFonts w:ascii="Times New Roman" w:hAnsi="Times New Roman" w:eastAsia="宋体" w:cs="Times New Roman"/>
                      <w:color w:val="000000" w:themeColor="text1"/>
                      <w:kern w:val="2"/>
                      <w:sz w:val="21"/>
                      <w:szCs w:val="24"/>
                      <w:lang w:val="zh-TW" w:eastAsia="zh-TW" w:bidi="ar-SA"/>
                      <w14:textFill>
                        <w14:solidFill>
                          <w14:schemeClr w14:val="tx1"/>
                        </w14:solidFill>
                      </w14:textFill>
                    </w:rPr>
                  </w:pPr>
                  <w:r>
                    <w:rPr>
                      <w:rFonts w:hint="eastAsia"/>
                      <w:color w:val="000000" w:themeColor="text1"/>
                      <w14:textFill>
                        <w14:solidFill>
                          <w14:schemeClr w14:val="tx1"/>
                        </w14:solidFill>
                      </w14:textFill>
                    </w:rPr>
                    <w:t>CO</w:t>
                  </w:r>
                </w:p>
              </w:tc>
              <w:tc>
                <w:tcPr>
                  <w:tcW w:w="1385" w:type="pct"/>
                  <w:tcBorders>
                    <w:tl2br w:val="nil"/>
                    <w:tr2bl w:val="nil"/>
                  </w:tcBorders>
                  <w:shd w:val="clear" w:color="auto" w:fill="auto"/>
                  <w:noWrap w:val="0"/>
                  <w:vAlign w:val="center"/>
                </w:tcPr>
                <w:p w14:paraId="584A7DBC">
                  <w:pPr>
                    <w:pStyle w:val="35"/>
                    <w:rPr>
                      <w:rFonts w:ascii="Times New Roman" w:hAnsi="Times New Roman" w:eastAsia="宋体" w:cs="Times New Roman"/>
                      <w:color w:val="000000" w:themeColor="text1"/>
                      <w:kern w:val="2"/>
                      <w:sz w:val="21"/>
                      <w:szCs w:val="24"/>
                      <w:lang w:val="zh-TW" w:eastAsia="zh-TW" w:bidi="ar-SA"/>
                      <w14:textFill>
                        <w14:solidFill>
                          <w14:schemeClr w14:val="tx1"/>
                        </w14:solidFill>
                      </w14:textFill>
                    </w:rPr>
                  </w:pPr>
                  <w:r>
                    <w:rPr>
                      <w:color w:val="000000" w:themeColor="text1"/>
                      <w14:textFill>
                        <w14:solidFill>
                          <w14:schemeClr w14:val="tx1"/>
                        </w14:solidFill>
                      </w14:textFill>
                    </w:rPr>
                    <w:t>24小时平均</w:t>
                  </w:r>
                </w:p>
              </w:tc>
              <w:tc>
                <w:tcPr>
                  <w:tcW w:w="1385" w:type="pct"/>
                  <w:tcBorders>
                    <w:tl2br w:val="nil"/>
                    <w:tr2bl w:val="nil"/>
                  </w:tcBorders>
                  <w:shd w:val="clear" w:color="auto" w:fill="auto"/>
                  <w:noWrap w:val="0"/>
                  <w:vAlign w:val="center"/>
                </w:tcPr>
                <w:p w14:paraId="747B08FE">
                  <w:pPr>
                    <w:pStyle w:val="35"/>
                    <w:rPr>
                      <w:rFonts w:hint="eastAsia" w:ascii="Times New Roman" w:hAnsi="Times New Roman" w:eastAsia="宋体" w:cs="Times New Roman"/>
                      <w:color w:val="000000" w:themeColor="text1"/>
                      <w:kern w:val="2"/>
                      <w:sz w:val="21"/>
                      <w:szCs w:val="24"/>
                      <w:lang w:val="zh-TW" w:eastAsia="zh-TW" w:bidi="ar-SA"/>
                      <w14:textFill>
                        <w14:solidFill>
                          <w14:schemeClr w14:val="tx1"/>
                        </w14:solidFill>
                      </w14:textFill>
                    </w:rPr>
                  </w:pPr>
                  <w:r>
                    <w:rPr>
                      <w:rFonts w:hint="eastAsia"/>
                      <w:color w:val="000000" w:themeColor="text1"/>
                      <w14:textFill>
                        <w14:solidFill>
                          <w14:schemeClr w14:val="tx1"/>
                        </w14:solidFill>
                      </w14:textFill>
                    </w:rPr>
                    <w:t>4</w:t>
                  </w:r>
                </w:p>
              </w:tc>
              <w:tc>
                <w:tcPr>
                  <w:tcW w:w="676" w:type="pct"/>
                  <w:vMerge w:val="restart"/>
                  <w:tcBorders>
                    <w:tl2br w:val="nil"/>
                    <w:tr2bl w:val="nil"/>
                  </w:tcBorders>
                  <w:noWrap w:val="0"/>
                  <w:vAlign w:val="center"/>
                </w:tcPr>
                <w:p w14:paraId="6EB874B5">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毫克/立方米</w:t>
                  </w:r>
                </w:p>
              </w:tc>
            </w:tr>
            <w:tr w14:paraId="5ECD34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26" w:type="pct"/>
                  <w:vMerge w:val="continue"/>
                  <w:tcBorders>
                    <w:tl2br w:val="nil"/>
                    <w:tr2bl w:val="nil"/>
                  </w:tcBorders>
                  <w:noWrap w:val="0"/>
                  <w:vAlign w:val="center"/>
                </w:tcPr>
                <w:p w14:paraId="4C4391AA">
                  <w:pPr>
                    <w:pStyle w:val="35"/>
                    <w:rPr>
                      <w:color w:val="000000" w:themeColor="text1"/>
                      <w14:textFill>
                        <w14:solidFill>
                          <w14:schemeClr w14:val="tx1"/>
                        </w14:solidFill>
                      </w14:textFill>
                    </w:rPr>
                  </w:pPr>
                </w:p>
              </w:tc>
              <w:tc>
                <w:tcPr>
                  <w:tcW w:w="1126" w:type="pct"/>
                  <w:vMerge w:val="continue"/>
                  <w:tcBorders>
                    <w:tl2br w:val="nil"/>
                    <w:tr2bl w:val="nil"/>
                  </w:tcBorders>
                  <w:noWrap w:val="0"/>
                  <w:vAlign w:val="center"/>
                </w:tcPr>
                <w:p w14:paraId="6BCCC1EF">
                  <w:pPr>
                    <w:pStyle w:val="35"/>
                    <w:rPr>
                      <w:color w:val="000000" w:themeColor="text1"/>
                      <w14:textFill>
                        <w14:solidFill>
                          <w14:schemeClr w14:val="tx1"/>
                        </w14:solidFill>
                      </w14:textFill>
                    </w:rPr>
                  </w:pPr>
                </w:p>
              </w:tc>
              <w:tc>
                <w:tcPr>
                  <w:tcW w:w="1385" w:type="pct"/>
                  <w:tcBorders>
                    <w:tl2br w:val="nil"/>
                    <w:tr2bl w:val="nil"/>
                  </w:tcBorders>
                  <w:shd w:val="clear" w:color="auto" w:fill="auto"/>
                  <w:noWrap w:val="0"/>
                  <w:vAlign w:val="center"/>
                </w:tcPr>
                <w:p w14:paraId="4D246B01">
                  <w:pPr>
                    <w:pStyle w:val="35"/>
                    <w:rPr>
                      <w:rFonts w:ascii="Times New Roman" w:hAnsi="Times New Roman" w:eastAsia="宋体" w:cs="Times New Roman"/>
                      <w:color w:val="000000" w:themeColor="text1"/>
                      <w:kern w:val="2"/>
                      <w:sz w:val="21"/>
                      <w:szCs w:val="24"/>
                      <w:lang w:val="zh-TW" w:eastAsia="zh-TW" w:bidi="ar-SA"/>
                      <w14:textFill>
                        <w14:solidFill>
                          <w14:schemeClr w14:val="tx1"/>
                        </w14:solidFill>
                      </w14:textFill>
                    </w:rPr>
                  </w:pPr>
                  <w:r>
                    <w:rPr>
                      <w:color w:val="000000" w:themeColor="text1"/>
                      <w14:textFill>
                        <w14:solidFill>
                          <w14:schemeClr w14:val="tx1"/>
                        </w14:solidFill>
                      </w14:textFill>
                    </w:rPr>
                    <w:t>1小时平均</w:t>
                  </w:r>
                </w:p>
              </w:tc>
              <w:tc>
                <w:tcPr>
                  <w:tcW w:w="1385" w:type="pct"/>
                  <w:tcBorders>
                    <w:tl2br w:val="nil"/>
                    <w:tr2bl w:val="nil"/>
                  </w:tcBorders>
                  <w:shd w:val="clear" w:color="auto" w:fill="auto"/>
                  <w:noWrap w:val="0"/>
                  <w:vAlign w:val="center"/>
                </w:tcPr>
                <w:p w14:paraId="086B943C">
                  <w:pPr>
                    <w:pStyle w:val="35"/>
                    <w:rPr>
                      <w:rFonts w:hint="eastAsia" w:ascii="Times New Roman" w:hAnsi="Times New Roman" w:eastAsia="宋体" w:cs="Times New Roman"/>
                      <w:color w:val="000000" w:themeColor="text1"/>
                      <w:kern w:val="2"/>
                      <w:sz w:val="21"/>
                      <w:szCs w:val="24"/>
                      <w:lang w:val="zh-TW" w:eastAsia="zh-TW" w:bidi="ar-SA"/>
                      <w14:textFill>
                        <w14:solidFill>
                          <w14:schemeClr w14:val="tx1"/>
                        </w14:solidFill>
                      </w14:textFill>
                    </w:rPr>
                  </w:pPr>
                  <w:r>
                    <w:rPr>
                      <w:rFonts w:hint="eastAsia"/>
                      <w:color w:val="000000" w:themeColor="text1"/>
                      <w14:textFill>
                        <w14:solidFill>
                          <w14:schemeClr w14:val="tx1"/>
                        </w14:solidFill>
                      </w14:textFill>
                    </w:rPr>
                    <w:t>10</w:t>
                  </w:r>
                </w:p>
              </w:tc>
              <w:tc>
                <w:tcPr>
                  <w:tcW w:w="676" w:type="pct"/>
                  <w:vMerge w:val="continue"/>
                  <w:tcBorders>
                    <w:tl2br w:val="nil"/>
                    <w:tr2bl w:val="nil"/>
                  </w:tcBorders>
                  <w:noWrap w:val="0"/>
                  <w:vAlign w:val="center"/>
                </w:tcPr>
                <w:p w14:paraId="69263465">
                  <w:pPr>
                    <w:pStyle w:val="35"/>
                    <w:rPr>
                      <w:color w:val="000000" w:themeColor="text1"/>
                      <w14:textFill>
                        <w14:solidFill>
                          <w14:schemeClr w14:val="tx1"/>
                        </w14:solidFill>
                      </w14:textFill>
                    </w:rPr>
                  </w:pPr>
                </w:p>
              </w:tc>
            </w:tr>
          </w:tbl>
          <w:p w14:paraId="1836F5CF">
            <w:pPr>
              <w:pStyle w:val="3"/>
              <w:numPr>
                <w:ilvl w:val="0"/>
                <w:numId w:val="0"/>
              </w:numPr>
              <w:bidi w:val="0"/>
              <w:jc w:val="both"/>
              <w:rPr>
                <w:b/>
                <w:bCs/>
                <w:color w:val="000000" w:themeColor="text1"/>
                <w14:textFill>
                  <w14:solidFill>
                    <w14:schemeClr w14:val="tx1"/>
                  </w14:solidFill>
                </w14:textFill>
              </w:rPr>
            </w:pPr>
            <w:r>
              <w:rPr>
                <w:rStyle w:val="74"/>
                <w:rFonts w:hint="eastAsia"/>
                <w:b/>
                <w:bCs/>
                <w:color w:val="000000" w:themeColor="text1"/>
                <w:lang w:val="en-US" w:eastAsia="zh-CN"/>
                <w14:textFill>
                  <w14:solidFill>
                    <w14:schemeClr w14:val="tx1"/>
                  </w14:solidFill>
                </w14:textFill>
              </w:rPr>
              <w:t>1.4</w:t>
            </w:r>
            <w:r>
              <w:rPr>
                <w:rStyle w:val="74"/>
                <w:b/>
                <w:bCs/>
                <w:color w:val="000000" w:themeColor="text1"/>
                <w14:textFill>
                  <w14:solidFill>
                    <w14:schemeClr w14:val="tx1"/>
                  </w14:solidFill>
                </w14:textFill>
              </w:rPr>
              <w:t>评价方法</w:t>
            </w:r>
          </w:p>
          <w:p w14:paraId="43823E17">
            <w:pPr>
              <w:pStyle w:val="3"/>
              <w:bidi w:val="0"/>
              <w:jc w:val="both"/>
              <w:rPr>
                <w:color w:val="000000" w:themeColor="text1"/>
                <w14:textFill>
                  <w14:solidFill>
                    <w14:schemeClr w14:val="tx1"/>
                  </w14:solidFill>
                </w14:textFill>
              </w:rPr>
            </w:pPr>
            <w:r>
              <w:rPr>
                <w:color w:val="000000" w:themeColor="text1"/>
                <w14:textFill>
                  <w14:solidFill>
                    <w14:schemeClr w14:val="tx1"/>
                  </w14:solidFill>
                </w14:textFill>
              </w:rPr>
              <w:t>基本污染物按照《环境空气质量评价技术规范（试行）》（HJ663-2013） 中各评价项目的年评价指标进行判定。年评价指标中的年均浓度和相应百分 位数24h平均或8h平均质量浓度满足GB3095中浓度限值要求的即为达标。 对于超标的污染物，计算其超标倍数和超标率。</w:t>
            </w:r>
          </w:p>
          <w:p w14:paraId="52AF0287">
            <w:pPr>
              <w:pStyle w:val="3"/>
              <w:bidi w:val="0"/>
              <w:jc w:val="both"/>
              <w:rPr>
                <w:color w:val="000000" w:themeColor="text1"/>
                <w14:textFill>
                  <w14:solidFill>
                    <w14:schemeClr w14:val="tx1"/>
                  </w14:solidFill>
                </w14:textFill>
              </w:rPr>
            </w:pPr>
            <w:r>
              <w:rPr>
                <w:color w:val="000000" w:themeColor="text1"/>
                <w14:textFill>
                  <w14:solidFill>
                    <w14:schemeClr w14:val="tx1"/>
                  </w14:solidFill>
                </w14:textFill>
              </w:rPr>
              <w:t>空气环境质量现状采用单项污染指数法、计算公式为：</w:t>
            </w:r>
          </w:p>
          <w:p w14:paraId="106F51AD">
            <w:pPr>
              <w:pStyle w:val="3"/>
              <w:bidi w:val="0"/>
              <w:jc w:val="both"/>
              <w:rPr>
                <w:color w:val="000000" w:themeColor="text1"/>
                <w14:textFill>
                  <w14:solidFill>
                    <w14:schemeClr w14:val="tx1"/>
                  </w14:solidFill>
                </w14:textFill>
              </w:rPr>
            </w:pPr>
            <w:r>
              <w:rPr>
                <w:color w:val="000000" w:themeColor="text1"/>
                <w14:textFill>
                  <w14:solidFill>
                    <w14:schemeClr w14:val="tx1"/>
                  </w14:solidFill>
                </w14:textFill>
              </w:rPr>
              <w:t>超标率=超标数据个数/总监测数据个数×100%</w:t>
            </w:r>
          </w:p>
          <w:p w14:paraId="0091AB8C">
            <w:pPr>
              <w:pStyle w:val="2"/>
              <w:ind w:firstLine="0" w:firstLineChars="0"/>
              <w:jc w:val="center"/>
              <w:rPr>
                <w:color w:val="000000" w:themeColor="text1"/>
                <w14:textFill>
                  <w14:solidFill>
                    <w14:schemeClr w14:val="tx1"/>
                  </w14:solidFill>
                </w14:textFill>
              </w:rPr>
            </w:pPr>
            <w:r>
              <w:rPr>
                <w:rFonts w:cs="宋体"/>
                <w:color w:val="000000" w:themeColor="text1"/>
                <w:szCs w:val="21"/>
                <w14:textFill>
                  <w14:solidFill>
                    <w14:schemeClr w14:val="tx1"/>
                  </w14:solidFill>
                </w14:textFill>
              </w:rPr>
              <w:object>
                <v:shape id="_x0000_i1025" o:spt="75" type="#_x0000_t75" style="height:33.25pt;width:89.1pt;" o:ole="t" filled="f" o:preferrelative="t" stroked="f" coordsize="21600,21600">
                  <v:path/>
                  <v:fill on="f" focussize="0,0"/>
                  <v:stroke on="f"/>
                  <v:imagedata r:id="rId19" o:title=""/>
                  <o:lock v:ext="edit" aspectratio="t"/>
                  <w10:wrap type="none"/>
                  <w10:anchorlock/>
                </v:shape>
                <o:OLEObject Type="Embed" ProgID="Equation.AxMath" ShapeID="_x0000_i1025" DrawAspect="Content" ObjectID="_1468075725" r:id="rId18">
                  <o:LockedField>false</o:LockedField>
                </o:OLEObject>
              </w:object>
            </w:r>
          </w:p>
          <w:p w14:paraId="1A7DDE06">
            <w:pPr>
              <w:pStyle w:val="3"/>
              <w:bidi w:val="0"/>
              <w:jc w:val="both"/>
              <w:rPr>
                <w:color w:val="000000" w:themeColor="text1"/>
                <w14:textFill>
                  <w14:solidFill>
                    <w14:schemeClr w14:val="tx1"/>
                  </w14:solidFill>
                </w14:textFill>
              </w:rPr>
            </w:pPr>
            <w:r>
              <w:rPr>
                <w:color w:val="000000" w:themeColor="text1"/>
                <w14:textFill>
                  <w14:solidFill>
                    <w14:schemeClr w14:val="tx1"/>
                  </w14:solidFill>
                </w14:textFill>
              </w:rPr>
              <w:t>式中：P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—第i个污染物的最大浓度占标率（无量纲）；</w:t>
            </w:r>
          </w:p>
          <w:p w14:paraId="3D271D31">
            <w:pPr>
              <w:pStyle w:val="3"/>
              <w:bidi w:val="0"/>
              <w:jc w:val="both"/>
              <w:rPr>
                <w:color w:val="000000" w:themeColor="text1"/>
                <w14:textFill>
                  <w14:solidFill>
                    <w14:schemeClr w14:val="tx1"/>
                  </w14:solidFill>
                </w14:textFill>
              </w:rPr>
            </w:pP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—第i个污染物的最大浓度（</w:t>
            </w:r>
            <w:r>
              <w:rPr>
                <w:rFonts w:hint="eastAsia"/>
                <w:color w:val="000000" w:themeColor="text1"/>
                <w:lang w:val="en-US" w:eastAsia="zh-CN"/>
                <w14:textFill>
                  <w14:solidFill>
                    <w14:schemeClr w14:val="tx1"/>
                  </w14:solidFill>
                </w14:textFill>
              </w:rPr>
              <w:t>微克/立方米</w:t>
            </w:r>
            <w:r>
              <w:rPr>
                <w:color w:val="000000" w:themeColor="text1"/>
                <w14:textFill>
                  <w14:solidFill>
                    <w14:schemeClr w14:val="tx1"/>
                  </w14:solidFill>
                </w14:textFill>
              </w:rPr>
              <w:t>）；</w:t>
            </w:r>
          </w:p>
          <w:p w14:paraId="136EF3E9">
            <w:pPr>
              <w:pStyle w:val="3"/>
              <w:bidi w:val="0"/>
              <w:ind w:firstLine="1200" w:firstLineChars="500"/>
              <w:jc w:val="both"/>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oi</w:t>
            </w:r>
            <w:r>
              <w:rPr>
                <w:color w:val="000000" w:themeColor="text1"/>
                <w14:textFill>
                  <w14:solidFill>
                    <w14:schemeClr w14:val="tx1"/>
                  </w14:solidFill>
                </w14:textFill>
              </w:rPr>
              <w:t>—第i个污染物的环境空气质量浓度标准（</w:t>
            </w:r>
            <w:r>
              <w:rPr>
                <w:rFonts w:hint="eastAsia"/>
                <w:color w:val="000000" w:themeColor="text1"/>
                <w:lang w:val="en-US" w:eastAsia="zh-CN"/>
                <w14:textFill>
                  <w14:solidFill>
                    <w14:schemeClr w14:val="tx1"/>
                  </w14:solidFill>
                </w14:textFill>
              </w:rPr>
              <w:t>微克/立方米</w:t>
            </w:r>
            <w:r>
              <w:rPr>
                <w:color w:val="000000" w:themeColor="text1"/>
                <w14:textFill>
                  <w14:solidFill>
                    <w14:schemeClr w14:val="tx1"/>
                  </w14:solidFill>
                </w14:textFill>
              </w:rPr>
              <w:t>）。</w:t>
            </w:r>
          </w:p>
          <w:p w14:paraId="38F1FEDE">
            <w:pPr>
              <w:pStyle w:val="3"/>
              <w:bidi w:val="0"/>
              <w:jc w:val="both"/>
              <w:rPr>
                <w:color w:val="000000" w:themeColor="text1"/>
                <w14:textFill>
                  <w14:solidFill>
                    <w14:schemeClr w14:val="tx1"/>
                  </w14:solidFill>
                </w14:textFill>
              </w:rPr>
            </w:pPr>
            <w:r>
              <w:rPr>
                <w:color w:val="000000" w:themeColor="text1"/>
                <w14:textFill>
                  <w14:solidFill>
                    <w14:schemeClr w14:val="tx1"/>
                  </w14:solidFill>
                </w14:textFill>
              </w:rPr>
              <w:t>当P</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＞1时，说明环境中i污染物含量超过标准值，当Pi≤1时，则说明i污染物符合标准。某污染物的Pi值越大，则污染相对越严重。</w:t>
            </w:r>
          </w:p>
          <w:p w14:paraId="2C52C128">
            <w:pPr>
              <w:pStyle w:val="3"/>
              <w:numPr>
                <w:ilvl w:val="0"/>
                <w:numId w:val="0"/>
              </w:numPr>
              <w:bidi w:val="0"/>
              <w:jc w:val="both"/>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1.5</w:t>
            </w:r>
            <w:r>
              <w:rPr>
                <w:b/>
                <w:bCs/>
                <w:color w:val="000000" w:themeColor="text1"/>
                <w14:textFill>
                  <w14:solidFill>
                    <w14:schemeClr w14:val="tx1"/>
                  </w14:solidFill>
                </w14:textFill>
              </w:rPr>
              <w:t>基本污染物监测及评价</w:t>
            </w:r>
          </w:p>
          <w:p w14:paraId="35AC8330">
            <w:pPr>
              <w:pStyle w:val="3"/>
              <w:bidi w:val="0"/>
              <w:jc w:val="both"/>
              <w:rPr>
                <w:rFonts w:hint="eastAsia"/>
                <w:color w:val="000000" w:themeColor="text1"/>
                <w:lang w:val="en-US" w:eastAsia="zh-CN"/>
                <w14:textFill>
                  <w14:solidFill>
                    <w14:schemeClr w14:val="tx1"/>
                  </w14:solidFill>
                </w14:textFill>
              </w:rPr>
            </w:pPr>
            <w:r>
              <w:rPr>
                <w:color w:val="000000" w:themeColor="text1"/>
                <w:szCs w:val="24"/>
                <w14:textFill>
                  <w14:solidFill>
                    <w14:schemeClr w14:val="tx1"/>
                  </w14:solidFill>
                </w14:textFill>
              </w:rPr>
              <w:t>基本污染物环境空气质量现状评价见表3-</w:t>
            </w:r>
            <w:r>
              <w:rPr>
                <w:rFonts w:hint="eastAsia"/>
                <w:color w:val="000000" w:themeColor="text1"/>
                <w:szCs w:val="24"/>
                <w14:textFill>
                  <w14:solidFill>
                    <w14:schemeClr w14:val="tx1"/>
                  </w14:solidFill>
                </w14:textFill>
              </w:rPr>
              <w:t>2</w:t>
            </w:r>
            <w:r>
              <w:rPr>
                <w:color w:val="000000" w:themeColor="text1"/>
                <w:szCs w:val="24"/>
                <w14:textFill>
                  <w14:solidFill>
                    <w14:schemeClr w14:val="tx1"/>
                  </w14:solidFill>
                </w14:textFill>
              </w:rPr>
              <w:t>。</w:t>
            </w:r>
          </w:p>
          <w:p w14:paraId="086A6A4F">
            <w:pPr>
              <w:pStyle w:val="34"/>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表 3-2</w:t>
            </w:r>
            <w:r>
              <w:rPr>
                <w:rFonts w:hint="default"/>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 xml:space="preserve">  区域环境空气质量现状评价结果一览表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4"/>
              <w:gridCol w:w="2039"/>
              <w:gridCol w:w="1261"/>
              <w:gridCol w:w="1270"/>
              <w:gridCol w:w="1519"/>
              <w:gridCol w:w="938"/>
            </w:tblGrid>
            <w:tr w14:paraId="01D599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26" w:type="pct"/>
                  <w:tcBorders>
                    <w:bottom w:val="single" w:color="auto" w:sz="12" w:space="0"/>
                  </w:tcBorders>
                  <w:noWrap w:val="0"/>
                  <w:vAlign w:val="center"/>
                </w:tcPr>
                <w:p w14:paraId="2AAA69E4">
                  <w:pPr>
                    <w:pStyle w:val="49"/>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1327" w:type="pct"/>
                  <w:tcBorders>
                    <w:bottom w:val="single" w:color="auto" w:sz="12" w:space="0"/>
                  </w:tcBorders>
                  <w:noWrap w:val="0"/>
                  <w:vAlign w:val="center"/>
                </w:tcPr>
                <w:p w14:paraId="6A99D4F3">
                  <w:pPr>
                    <w:pStyle w:val="49"/>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eastAsia="宋体" w:cs="Times New Roman"/>
                      <w:b/>
                      <w:bCs/>
                      <w:color w:val="000000" w:themeColor="text1"/>
                      <w:sz w:val="21"/>
                      <w:szCs w:val="21"/>
                      <w:lang w:val="en-US" w:eastAsia="zh-CN"/>
                      <w14:textFill>
                        <w14:solidFill>
                          <w14:schemeClr w14:val="tx1"/>
                        </w14:solidFill>
                      </w14:textFill>
                    </w:rPr>
                    <w:t>年评价指标</w:t>
                  </w:r>
                </w:p>
              </w:tc>
              <w:tc>
                <w:tcPr>
                  <w:tcW w:w="820" w:type="pct"/>
                  <w:tcBorders>
                    <w:bottom w:val="single" w:color="auto" w:sz="12" w:space="0"/>
                  </w:tcBorders>
                  <w:noWrap w:val="0"/>
                  <w:vAlign w:val="center"/>
                </w:tcPr>
                <w:p w14:paraId="2E47BA35">
                  <w:pPr>
                    <w:pStyle w:val="49"/>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现状浓度</w:t>
                  </w:r>
                </w:p>
                <w:p w14:paraId="3D1B9167">
                  <w:pPr>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微克/立方米</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826" w:type="pct"/>
                  <w:tcBorders>
                    <w:bottom w:val="single" w:color="auto" w:sz="12" w:space="0"/>
                  </w:tcBorders>
                  <w:noWrap w:val="0"/>
                  <w:vAlign w:val="center"/>
                </w:tcPr>
                <w:p w14:paraId="3508F07F">
                  <w:pPr>
                    <w:pStyle w:val="49"/>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标准值</w:t>
                  </w:r>
                </w:p>
                <w:p w14:paraId="45F8FB0F">
                  <w:pPr>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cs="Times New Roman"/>
                      <w:b/>
                      <w:bCs/>
                      <w:color w:val="000000" w:themeColor="text1"/>
                      <w:sz w:val="21"/>
                      <w:szCs w:val="21"/>
                      <w:lang w:val="en-US"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微克/立方米</w:t>
                  </w:r>
                  <w:r>
                    <w:rPr>
                      <w:rFonts w:hint="default" w:cs="Times New Roman"/>
                      <w:b/>
                      <w:bCs/>
                      <w:color w:val="000000" w:themeColor="text1"/>
                      <w:sz w:val="21"/>
                      <w:szCs w:val="21"/>
                      <w:lang w:val="en-US" w:eastAsia="zh-CN"/>
                      <w14:textFill>
                        <w14:solidFill>
                          <w14:schemeClr w14:val="tx1"/>
                        </w14:solidFill>
                      </w14:textFill>
                    </w:rPr>
                    <w:t>）</w:t>
                  </w:r>
                </w:p>
              </w:tc>
              <w:tc>
                <w:tcPr>
                  <w:tcW w:w="988" w:type="pct"/>
                  <w:tcBorders>
                    <w:bottom w:val="single" w:color="auto" w:sz="12" w:space="0"/>
                  </w:tcBorders>
                  <w:noWrap w:val="0"/>
                  <w:vAlign w:val="center"/>
                </w:tcPr>
                <w:p w14:paraId="65E7E47C">
                  <w:pPr>
                    <w:pStyle w:val="49"/>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占标率（%）</w:t>
                  </w:r>
                </w:p>
              </w:tc>
              <w:tc>
                <w:tcPr>
                  <w:tcW w:w="610" w:type="pct"/>
                  <w:tcBorders>
                    <w:bottom w:val="single" w:color="auto" w:sz="12" w:space="0"/>
                  </w:tcBorders>
                  <w:noWrap w:val="0"/>
                  <w:vAlign w:val="center"/>
                </w:tcPr>
                <w:p w14:paraId="56FA7F35">
                  <w:pPr>
                    <w:pStyle w:val="49"/>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达标</w:t>
                  </w:r>
                </w:p>
                <w:p w14:paraId="4CF619C1">
                  <w:pPr>
                    <w:pStyle w:val="49"/>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情况</w:t>
                  </w:r>
                </w:p>
              </w:tc>
            </w:tr>
            <w:tr w14:paraId="7FC126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91" w:hRule="atLeast"/>
                <w:jc w:val="center"/>
              </w:trPr>
              <w:tc>
                <w:tcPr>
                  <w:tcW w:w="426" w:type="pct"/>
                  <w:tcBorders>
                    <w:top w:val="single" w:color="auto" w:sz="12" w:space="0"/>
                  </w:tcBorders>
                  <w:noWrap w:val="0"/>
                  <w:vAlign w:val="center"/>
                </w:tcPr>
                <w:p w14:paraId="31D04891">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2</w:t>
                  </w:r>
                </w:p>
              </w:tc>
              <w:tc>
                <w:tcPr>
                  <w:tcW w:w="1327" w:type="pct"/>
                  <w:tcBorders>
                    <w:top w:val="single" w:color="auto" w:sz="12" w:space="0"/>
                  </w:tcBorders>
                  <w:noWrap w:val="0"/>
                  <w:vAlign w:val="center"/>
                </w:tcPr>
                <w:p w14:paraId="17D93721">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年平均</w:t>
                  </w:r>
                </w:p>
              </w:tc>
              <w:tc>
                <w:tcPr>
                  <w:tcW w:w="820" w:type="pct"/>
                  <w:tcBorders>
                    <w:top w:val="single" w:color="auto" w:sz="12" w:space="0"/>
                  </w:tcBorders>
                  <w:noWrap w:val="0"/>
                  <w:vAlign w:val="center"/>
                </w:tcPr>
                <w:p w14:paraId="63F493FA">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7</w:t>
                  </w:r>
                </w:p>
              </w:tc>
              <w:tc>
                <w:tcPr>
                  <w:tcW w:w="826" w:type="pct"/>
                  <w:tcBorders>
                    <w:top w:val="single" w:color="auto" w:sz="12" w:space="0"/>
                  </w:tcBorders>
                  <w:noWrap w:val="0"/>
                  <w:vAlign w:val="center"/>
                </w:tcPr>
                <w:p w14:paraId="1C2705BA">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w:t>
                  </w:r>
                </w:p>
              </w:tc>
              <w:tc>
                <w:tcPr>
                  <w:tcW w:w="988" w:type="pct"/>
                  <w:tcBorders>
                    <w:top w:val="single" w:color="auto" w:sz="12" w:space="0"/>
                  </w:tcBorders>
                  <w:noWrap w:val="0"/>
                  <w:vAlign w:val="center"/>
                </w:tcPr>
                <w:p w14:paraId="30E75E0E">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11.7</w:t>
                  </w:r>
                </w:p>
              </w:tc>
              <w:tc>
                <w:tcPr>
                  <w:tcW w:w="610" w:type="pct"/>
                  <w:tcBorders>
                    <w:top w:val="single" w:color="auto" w:sz="12" w:space="0"/>
                  </w:tcBorders>
                  <w:noWrap w:val="0"/>
                  <w:vAlign w:val="center"/>
                </w:tcPr>
                <w:p w14:paraId="78C94C9B">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达标</w:t>
                  </w:r>
                </w:p>
              </w:tc>
            </w:tr>
            <w:tr w14:paraId="190AB8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1" w:hRule="atLeast"/>
                <w:jc w:val="center"/>
              </w:trPr>
              <w:tc>
                <w:tcPr>
                  <w:tcW w:w="426" w:type="pct"/>
                  <w:noWrap w:val="0"/>
                  <w:vAlign w:val="center"/>
                </w:tcPr>
                <w:p w14:paraId="09322C57">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NO</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2</w:t>
                  </w:r>
                </w:p>
              </w:tc>
              <w:tc>
                <w:tcPr>
                  <w:tcW w:w="1327" w:type="pct"/>
                  <w:noWrap w:val="0"/>
                  <w:vAlign w:val="center"/>
                </w:tcPr>
                <w:p w14:paraId="3987F613">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年平均</w:t>
                  </w:r>
                </w:p>
              </w:tc>
              <w:tc>
                <w:tcPr>
                  <w:tcW w:w="820" w:type="pct"/>
                  <w:noWrap w:val="0"/>
                  <w:vAlign w:val="center"/>
                </w:tcPr>
                <w:p w14:paraId="046F0E51">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10</w:t>
                  </w:r>
                </w:p>
              </w:tc>
              <w:tc>
                <w:tcPr>
                  <w:tcW w:w="826" w:type="pct"/>
                  <w:noWrap w:val="0"/>
                  <w:vAlign w:val="center"/>
                </w:tcPr>
                <w:p w14:paraId="002AA153">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40</w:t>
                  </w:r>
                </w:p>
              </w:tc>
              <w:tc>
                <w:tcPr>
                  <w:tcW w:w="988" w:type="pct"/>
                  <w:noWrap w:val="0"/>
                  <w:vAlign w:val="center"/>
                </w:tcPr>
                <w:p w14:paraId="122793D5">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25</w:t>
                  </w:r>
                </w:p>
              </w:tc>
              <w:tc>
                <w:tcPr>
                  <w:tcW w:w="610" w:type="pct"/>
                  <w:noWrap w:val="0"/>
                  <w:vAlign w:val="center"/>
                </w:tcPr>
                <w:p w14:paraId="7718DB67">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达标</w:t>
                  </w:r>
                </w:p>
              </w:tc>
            </w:tr>
            <w:tr w14:paraId="6FFA16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8" w:hRule="atLeast"/>
                <w:jc w:val="center"/>
              </w:trPr>
              <w:tc>
                <w:tcPr>
                  <w:tcW w:w="426" w:type="pct"/>
                  <w:noWrap w:val="0"/>
                  <w:vAlign w:val="center"/>
                </w:tcPr>
                <w:p w14:paraId="17A09263">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PM</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10</w:t>
                  </w:r>
                </w:p>
              </w:tc>
              <w:tc>
                <w:tcPr>
                  <w:tcW w:w="1327" w:type="pct"/>
                  <w:noWrap w:val="0"/>
                  <w:vAlign w:val="center"/>
                </w:tcPr>
                <w:p w14:paraId="17BA8598">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年平均</w:t>
                  </w:r>
                </w:p>
              </w:tc>
              <w:tc>
                <w:tcPr>
                  <w:tcW w:w="820" w:type="pct"/>
                  <w:noWrap w:val="0"/>
                  <w:vAlign w:val="center"/>
                </w:tcPr>
                <w:p w14:paraId="52806FF0">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29</w:t>
                  </w:r>
                </w:p>
              </w:tc>
              <w:tc>
                <w:tcPr>
                  <w:tcW w:w="826" w:type="pct"/>
                  <w:noWrap w:val="0"/>
                  <w:vAlign w:val="center"/>
                </w:tcPr>
                <w:p w14:paraId="1FE50EBA">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70</w:t>
                  </w:r>
                </w:p>
              </w:tc>
              <w:tc>
                <w:tcPr>
                  <w:tcW w:w="988" w:type="pct"/>
                  <w:noWrap w:val="0"/>
                  <w:vAlign w:val="center"/>
                </w:tcPr>
                <w:p w14:paraId="180E115F">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41.43</w:t>
                  </w:r>
                </w:p>
              </w:tc>
              <w:tc>
                <w:tcPr>
                  <w:tcW w:w="610" w:type="pct"/>
                  <w:noWrap w:val="0"/>
                  <w:vAlign w:val="center"/>
                </w:tcPr>
                <w:p w14:paraId="5B6251D5">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达标</w:t>
                  </w:r>
                </w:p>
              </w:tc>
            </w:tr>
            <w:tr w14:paraId="159505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4" w:hRule="atLeast"/>
                <w:jc w:val="center"/>
              </w:trPr>
              <w:tc>
                <w:tcPr>
                  <w:tcW w:w="426" w:type="pct"/>
                  <w:noWrap w:val="0"/>
                  <w:vAlign w:val="center"/>
                </w:tcPr>
                <w:p w14:paraId="21C9E72B">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PM</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2.5</w:t>
                  </w:r>
                </w:p>
              </w:tc>
              <w:tc>
                <w:tcPr>
                  <w:tcW w:w="1327" w:type="pct"/>
                  <w:noWrap w:val="0"/>
                  <w:vAlign w:val="center"/>
                </w:tcPr>
                <w:p w14:paraId="591A8360">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年平均</w:t>
                  </w:r>
                </w:p>
              </w:tc>
              <w:tc>
                <w:tcPr>
                  <w:tcW w:w="820" w:type="pct"/>
                  <w:noWrap w:val="0"/>
                  <w:vAlign w:val="center"/>
                </w:tcPr>
                <w:p w14:paraId="7D1AA408">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9</w:t>
                  </w:r>
                </w:p>
              </w:tc>
              <w:tc>
                <w:tcPr>
                  <w:tcW w:w="826" w:type="pct"/>
                  <w:noWrap w:val="0"/>
                  <w:vAlign w:val="center"/>
                </w:tcPr>
                <w:p w14:paraId="19437612">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35</w:t>
                  </w:r>
                </w:p>
              </w:tc>
              <w:tc>
                <w:tcPr>
                  <w:tcW w:w="988" w:type="pct"/>
                  <w:noWrap w:val="0"/>
                  <w:vAlign w:val="center"/>
                </w:tcPr>
                <w:p w14:paraId="58F27D68">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25.71</w:t>
                  </w:r>
                </w:p>
              </w:tc>
              <w:tc>
                <w:tcPr>
                  <w:tcW w:w="610" w:type="pct"/>
                  <w:noWrap w:val="0"/>
                  <w:vAlign w:val="center"/>
                </w:tcPr>
                <w:p w14:paraId="680CACD2">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达标</w:t>
                  </w:r>
                </w:p>
              </w:tc>
            </w:tr>
            <w:tr w14:paraId="3DC756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26" w:type="pct"/>
                  <w:noWrap w:val="0"/>
                  <w:vAlign w:val="center"/>
                </w:tcPr>
                <w:p w14:paraId="59912F2A">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CO</w:t>
                  </w:r>
                </w:p>
              </w:tc>
              <w:tc>
                <w:tcPr>
                  <w:tcW w:w="1327" w:type="pct"/>
                  <w:noWrap w:val="0"/>
                  <w:vAlign w:val="center"/>
                </w:tcPr>
                <w:p w14:paraId="6467CF64">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24小时平均第95百分位数</w:t>
                  </w:r>
                </w:p>
              </w:tc>
              <w:tc>
                <w:tcPr>
                  <w:tcW w:w="820" w:type="pct"/>
                  <w:noWrap w:val="0"/>
                  <w:vAlign w:val="center"/>
                </w:tcPr>
                <w:p w14:paraId="10E7DCF0">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600</w:t>
                  </w:r>
                </w:p>
              </w:tc>
              <w:tc>
                <w:tcPr>
                  <w:tcW w:w="826" w:type="pct"/>
                  <w:noWrap w:val="0"/>
                  <w:vAlign w:val="center"/>
                </w:tcPr>
                <w:p w14:paraId="39114532">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ascii="Times New Roman" w:eastAsia="宋体" w:cs="Times New Roman"/>
                      <w:b w:val="0"/>
                      <w:bCs w:val="0"/>
                      <w:color w:val="000000" w:themeColor="text1"/>
                      <w:kern w:val="2"/>
                      <w:sz w:val="21"/>
                      <w:szCs w:val="21"/>
                      <w:highlight w:val="none"/>
                      <w:vertAlign w:val="baseline"/>
                      <w:lang w:val="en-US" w:eastAsia="zh-CN"/>
                      <w14:textFill>
                        <w14:solidFill>
                          <w14:schemeClr w14:val="tx1"/>
                        </w14:solidFill>
                      </w14:textFill>
                    </w:rPr>
                    <w:t>4000</w:t>
                  </w:r>
                </w:p>
              </w:tc>
              <w:tc>
                <w:tcPr>
                  <w:tcW w:w="988" w:type="pct"/>
                  <w:noWrap w:val="0"/>
                  <w:vAlign w:val="center"/>
                </w:tcPr>
                <w:p w14:paraId="29D4A49A">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15</w:t>
                  </w:r>
                </w:p>
              </w:tc>
              <w:tc>
                <w:tcPr>
                  <w:tcW w:w="610" w:type="pct"/>
                  <w:noWrap w:val="0"/>
                  <w:vAlign w:val="center"/>
                </w:tcPr>
                <w:p w14:paraId="1E43EF9F">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达标</w:t>
                  </w:r>
                </w:p>
              </w:tc>
            </w:tr>
            <w:tr w14:paraId="2320C5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26" w:type="pct"/>
                  <w:noWrap w:val="0"/>
                  <w:vAlign w:val="center"/>
                </w:tcPr>
                <w:p w14:paraId="754B4A4F">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O</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3</w:t>
                  </w:r>
                </w:p>
              </w:tc>
              <w:tc>
                <w:tcPr>
                  <w:tcW w:w="1327" w:type="pct"/>
                  <w:noWrap w:val="0"/>
                  <w:vAlign w:val="center"/>
                </w:tcPr>
                <w:p w14:paraId="420DF4C7">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8小时平均第90百分位数</w:t>
                  </w:r>
                </w:p>
              </w:tc>
              <w:tc>
                <w:tcPr>
                  <w:tcW w:w="820" w:type="pct"/>
                  <w:noWrap w:val="0"/>
                  <w:vAlign w:val="center"/>
                </w:tcPr>
                <w:p w14:paraId="1775416E">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88</w:t>
                  </w:r>
                </w:p>
              </w:tc>
              <w:tc>
                <w:tcPr>
                  <w:tcW w:w="826" w:type="pct"/>
                  <w:noWrap w:val="0"/>
                  <w:vAlign w:val="center"/>
                </w:tcPr>
                <w:p w14:paraId="28FA01E3">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160</w:t>
                  </w:r>
                </w:p>
              </w:tc>
              <w:tc>
                <w:tcPr>
                  <w:tcW w:w="988" w:type="pct"/>
                  <w:noWrap w:val="0"/>
                  <w:vAlign w:val="center"/>
                </w:tcPr>
                <w:p w14:paraId="7202928A">
                  <w:pPr>
                    <w:pStyle w:val="49"/>
                    <w:ind w:left="0" w:leftChars="0"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55</w:t>
                  </w:r>
                </w:p>
              </w:tc>
              <w:tc>
                <w:tcPr>
                  <w:tcW w:w="610" w:type="pct"/>
                  <w:noWrap w:val="0"/>
                  <w:vAlign w:val="center"/>
                </w:tcPr>
                <w:p w14:paraId="5A83FBF9">
                  <w:pPr>
                    <w:pStyle w:val="49"/>
                    <w:ind w:left="0" w:leftChars="0" w:firstLine="0" w:firstLineChars="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达标</w:t>
                  </w:r>
                </w:p>
              </w:tc>
            </w:tr>
          </w:tbl>
          <w:p w14:paraId="1ECACCE7">
            <w:pPr>
              <w:pStyle w:val="3"/>
              <w:ind w:firstLine="480"/>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由上表可知，本项目所在区域SO</w:t>
            </w:r>
            <w:r>
              <w:rPr>
                <w:rFonts w:hint="eastAsia"/>
                <w:color w:val="000000" w:themeColor="text1"/>
                <w:vertAlign w:val="subscript"/>
                <w:lang w:eastAsia="zh-CN"/>
                <w14:textFill>
                  <w14:solidFill>
                    <w14:schemeClr w14:val="tx1"/>
                  </w14:solidFill>
                </w14:textFill>
              </w:rPr>
              <w:t>2</w:t>
            </w:r>
            <w:r>
              <w:rPr>
                <w:rFonts w:hint="eastAsia"/>
                <w:color w:val="000000" w:themeColor="text1"/>
                <w:lang w:eastAsia="zh-CN"/>
                <w14:textFill>
                  <w14:solidFill>
                    <w14:schemeClr w14:val="tx1"/>
                  </w14:solidFill>
                </w14:textFill>
              </w:rPr>
              <w:t>、NO</w:t>
            </w:r>
            <w:r>
              <w:rPr>
                <w:rFonts w:hint="eastAsia"/>
                <w:color w:val="000000" w:themeColor="text1"/>
                <w:vertAlign w:val="subscript"/>
                <w:lang w:eastAsia="zh-CN"/>
                <w14:textFill>
                  <w14:solidFill>
                    <w14:schemeClr w14:val="tx1"/>
                  </w14:solidFill>
                </w14:textFill>
              </w:rPr>
              <w:t>2</w:t>
            </w:r>
            <w:r>
              <w:rPr>
                <w:rFonts w:hint="eastAsia"/>
                <w:color w:val="000000" w:themeColor="text1"/>
                <w:lang w:eastAsia="zh-CN"/>
                <w14:textFill>
                  <w14:solidFill>
                    <w14:schemeClr w14:val="tx1"/>
                  </w14:solidFill>
                </w14:textFill>
              </w:rPr>
              <w:t>、PM</w:t>
            </w:r>
            <w:r>
              <w:rPr>
                <w:rFonts w:hint="eastAsia"/>
                <w:color w:val="000000" w:themeColor="text1"/>
                <w:vertAlign w:val="subscript"/>
                <w:lang w:eastAsia="zh-CN"/>
                <w14:textFill>
                  <w14:solidFill>
                    <w14:schemeClr w14:val="tx1"/>
                  </w14:solidFill>
                </w14:textFill>
              </w:rPr>
              <w:t>10</w:t>
            </w:r>
            <w:r>
              <w:rPr>
                <w:rFonts w:hint="eastAsia"/>
                <w:color w:val="000000" w:themeColor="text1"/>
                <w:lang w:eastAsia="zh-CN"/>
                <w14:textFill>
                  <w14:solidFill>
                    <w14:schemeClr w14:val="tx1"/>
                  </w14:solidFill>
                </w14:textFill>
              </w:rPr>
              <w:t>、PM</w:t>
            </w:r>
            <w:r>
              <w:rPr>
                <w:rFonts w:hint="eastAsia"/>
                <w:color w:val="000000" w:themeColor="text1"/>
                <w:vertAlign w:val="subscript"/>
                <w:lang w:eastAsia="zh-CN"/>
                <w14:textFill>
                  <w14:solidFill>
                    <w14:schemeClr w14:val="tx1"/>
                  </w14:solidFill>
                </w14:textFill>
              </w:rPr>
              <w:t>2.5</w:t>
            </w:r>
            <w:r>
              <w:rPr>
                <w:rFonts w:hint="eastAsia"/>
                <w:color w:val="000000" w:themeColor="text1"/>
                <w:lang w:eastAsia="zh-CN"/>
                <w14:textFill>
                  <w14:solidFill>
                    <w14:schemeClr w14:val="tx1"/>
                  </w14:solidFill>
                </w14:textFill>
              </w:rPr>
              <w:t>、CO和O</w:t>
            </w:r>
            <w:r>
              <w:rPr>
                <w:rFonts w:hint="eastAsia"/>
                <w:color w:val="000000" w:themeColor="text1"/>
                <w:vertAlign w:val="subscript"/>
                <w:lang w:eastAsia="zh-CN"/>
                <w14:textFill>
                  <w14:solidFill>
                    <w14:schemeClr w14:val="tx1"/>
                  </w14:solidFill>
                </w14:textFill>
              </w:rPr>
              <w:t>3</w:t>
            </w:r>
            <w:r>
              <w:rPr>
                <w:rFonts w:hint="eastAsia"/>
                <w:color w:val="000000" w:themeColor="text1"/>
                <w:lang w:eastAsia="zh-CN"/>
                <w14:textFill>
                  <w14:solidFill>
                    <w14:schemeClr w14:val="tx1"/>
                  </w14:solidFill>
                </w14:textFill>
              </w:rPr>
              <w:t>的平均浓度均达标，因此本项目所在区域为达标区域。</w:t>
            </w:r>
          </w:p>
          <w:p w14:paraId="7FB54E33">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 地表水环境质量现状调查与评价</w:t>
            </w:r>
          </w:p>
          <w:p w14:paraId="2ECA99FE">
            <w:pPr>
              <w:pStyle w:val="3"/>
              <w:ind w:firstLine="480"/>
              <w:jc w:val="both"/>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根据《建设项目环境影响报告表编制技术指南》（污染影响类）（试行），地表水环境质量现状引用与建设项目距离近的有效数据，包括近3年的规划环境影响评价的监测数据，所在流域控制单元内国家、地方控制断面监测数据，生态环境主管部门发布的水环境质量数据或地表水达标情况的结论。本项目</w:t>
            </w:r>
            <w:r>
              <w:rPr>
                <w:rFonts w:hint="eastAsia"/>
                <w:color w:val="000000" w:themeColor="text1"/>
                <w:lang w:val="en-US" w:eastAsia="zh-CN"/>
                <w14:textFill>
                  <w14:solidFill>
                    <w14:schemeClr w14:val="tx1"/>
                  </w14:solidFill>
                </w14:textFill>
              </w:rPr>
              <w:t>5公里</w:t>
            </w:r>
            <w:r>
              <w:rPr>
                <w:rFonts w:hint="eastAsia"/>
                <w:color w:val="000000" w:themeColor="text1"/>
                <w:lang w:eastAsia="zh-CN"/>
                <w14:textFill>
                  <w14:solidFill>
                    <w14:schemeClr w14:val="tx1"/>
                  </w14:solidFill>
                </w14:textFill>
              </w:rPr>
              <w:t>范围内无地表水</w:t>
            </w:r>
            <w:r>
              <w:rPr>
                <w:rFonts w:hint="eastAsia"/>
                <w:color w:val="000000" w:themeColor="text1"/>
                <w:lang w:val="en-US" w:eastAsia="zh-CN"/>
                <w14:textFill>
                  <w14:solidFill>
                    <w14:schemeClr w14:val="tx1"/>
                  </w14:solidFill>
                </w14:textFill>
              </w:rPr>
              <w:t>分布</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且本项目采用投加二氧化氯泡腾片的方式对医疗废水进行消毒预处理后与职工生活、美容清洗废水一同排入市政管网</w:t>
            </w:r>
            <w:r>
              <w:rPr>
                <w:rFonts w:hint="eastAsia"/>
                <w:color w:val="000000" w:themeColor="text1"/>
                <w:lang w:eastAsia="zh-CN"/>
                <w14:textFill>
                  <w14:solidFill>
                    <w14:schemeClr w14:val="tx1"/>
                  </w14:solidFill>
                </w14:textFill>
              </w:rPr>
              <w:t>，故不进行地表水环境现状调查</w:t>
            </w:r>
            <w:r>
              <w:rPr>
                <w:rFonts w:hint="eastAsia"/>
                <w:color w:val="000000" w:themeColor="text1"/>
                <w14:textFill>
                  <w14:solidFill>
                    <w14:schemeClr w14:val="tx1"/>
                  </w14:solidFill>
                </w14:textFill>
              </w:rPr>
              <w:t>。</w:t>
            </w:r>
          </w:p>
          <w:p w14:paraId="58573BBD">
            <w:pPr>
              <w:pStyle w:val="6"/>
              <w:jc w:val="both"/>
              <w:outlineLvl w:val="2"/>
              <w:rPr>
                <w:rFonts w:hint="eastAsia" w:ascii="Times New Roman" w:hAnsi="Times New Roman" w:eastAsia="宋体"/>
                <w:color w:val="0000FF"/>
                <w:lang w:val="en-US" w:eastAsia="zh-CN"/>
              </w:rPr>
            </w:pPr>
            <w:r>
              <w:rPr>
                <w:rFonts w:hint="eastAsia" w:ascii="Times New Roman" w:hAnsi="Times New Roman" w:eastAsia="宋体"/>
                <w:color w:val="0000FF"/>
                <w:lang w:val="en-US" w:eastAsia="zh-CN"/>
              </w:rPr>
              <w:t>3 声环境质量现状及分析</w:t>
            </w:r>
          </w:p>
          <w:p w14:paraId="788A03C2">
            <w:pPr>
              <w:pStyle w:val="3"/>
              <w:ind w:firstLine="480"/>
              <w:jc w:val="both"/>
              <w:rPr>
                <w:rFonts w:hint="default" w:eastAsia="宋体"/>
                <w:color w:val="0000FF"/>
                <w:lang w:val="en-US" w:eastAsia="zh-CN"/>
              </w:rPr>
            </w:pPr>
            <w:r>
              <w:rPr>
                <w:rFonts w:hint="eastAsia"/>
                <w:color w:val="0000FF"/>
                <w:lang w:eastAsia="zh-CN"/>
              </w:rPr>
              <w:t>本项目位于</w:t>
            </w:r>
            <w:r>
              <w:rPr>
                <w:rFonts w:hint="eastAsia"/>
                <w:color w:val="0000FF"/>
                <w:lang w:val="en-US" w:eastAsia="zh-CN"/>
              </w:rPr>
              <w:t>新</w:t>
            </w:r>
            <w:r>
              <w:rPr>
                <w:rFonts w:hint="default"/>
                <w:color w:val="0000FF"/>
                <w:lang w:val="en-US" w:eastAsia="zh-CN"/>
              </w:rPr>
              <w:t>疆维吾尔自治区昌吉</w:t>
            </w:r>
            <w:r>
              <w:rPr>
                <w:rFonts w:hint="eastAsia"/>
                <w:color w:val="0000FF"/>
                <w:lang w:val="en-US" w:eastAsia="zh-CN"/>
              </w:rPr>
              <w:t>回族自治</w:t>
            </w:r>
            <w:r>
              <w:rPr>
                <w:rFonts w:hint="default"/>
                <w:color w:val="0000FF"/>
                <w:lang w:val="en-US" w:eastAsia="zh-CN"/>
              </w:rPr>
              <w:t>州</w:t>
            </w:r>
            <w:r>
              <w:rPr>
                <w:rFonts w:hint="eastAsia"/>
                <w:color w:val="0000FF"/>
                <w:lang w:val="en-US" w:eastAsia="zh-CN"/>
              </w:rPr>
              <w:t>奇台</w:t>
            </w:r>
            <w:r>
              <w:rPr>
                <w:rFonts w:hint="default"/>
                <w:color w:val="0000FF"/>
                <w:lang w:val="en-US" w:eastAsia="zh-CN"/>
              </w:rPr>
              <w:t>县团结路与</w:t>
            </w:r>
            <w:r>
              <w:rPr>
                <w:rFonts w:hint="eastAsia"/>
                <w:color w:val="0000FF"/>
                <w:lang w:val="en-US" w:eastAsia="zh-CN"/>
              </w:rPr>
              <w:t>旱</w:t>
            </w:r>
            <w:r>
              <w:rPr>
                <w:rFonts w:hint="default"/>
                <w:color w:val="0000FF"/>
                <w:lang w:val="en-US" w:eastAsia="zh-CN"/>
              </w:rPr>
              <w:t>码头中街交汇处圣水华庭1幢1层</w:t>
            </w:r>
            <w:r>
              <w:rPr>
                <w:rFonts w:hint="eastAsia"/>
                <w:color w:val="0000FF"/>
                <w:lang w:val="en-US" w:eastAsia="zh-CN"/>
              </w:rPr>
              <w:t>4号、5号、</w:t>
            </w:r>
            <w:r>
              <w:rPr>
                <w:rFonts w:hint="default"/>
                <w:color w:val="0000FF"/>
                <w:lang w:val="en-US" w:eastAsia="zh-CN"/>
              </w:rPr>
              <w:t>6号</w:t>
            </w:r>
            <w:r>
              <w:rPr>
                <w:rFonts w:hint="eastAsia"/>
                <w:color w:val="0000FF"/>
                <w:lang w:eastAsia="zh-CN"/>
              </w:rPr>
              <w:t>，</w:t>
            </w:r>
            <w:r>
              <w:rPr>
                <w:rFonts w:hint="eastAsia"/>
                <w:color w:val="0000FF"/>
                <w:lang w:val="en-US" w:eastAsia="zh-CN"/>
              </w:rPr>
              <w:t>东西两侧均为商铺，</w:t>
            </w:r>
            <w:r>
              <w:rPr>
                <w:rFonts w:hint="eastAsia" w:ascii="Times New Roman" w:hAnsi="Times New Roman" w:eastAsia="宋体" w:cs="Times New Roman"/>
                <w:color w:val="0000FF"/>
                <w:kern w:val="0"/>
                <w:sz w:val="24"/>
                <w:lang w:val="en-US" w:eastAsia="zh-CN"/>
              </w:rPr>
              <w:t>项目区北侧为城市主干道，</w:t>
            </w:r>
            <w:r>
              <w:rPr>
                <w:rFonts w:hint="eastAsia"/>
                <w:color w:val="0000FF"/>
                <w:lang w:val="en-US" w:eastAsia="zh-CN"/>
              </w:rPr>
              <w:t>北侧70m为古城明珠小区居民楼，南侧5m为圣水华庭小区居民楼，依据《建设项目环境影响报告表编制技术指南（污染影响类）》（试行）中区域环境质量现状评价要求：厂界外周边50m范围内存在声环境保护目标的建设项目，应监测保护目标声环境质量现状并评价达标情况。项目区东、南、西、侧需满足</w:t>
            </w:r>
            <w:r>
              <w:rPr>
                <w:rFonts w:hint="eastAsia"/>
                <w:color w:val="0000FF"/>
                <w:lang w:eastAsia="zh-CN"/>
              </w:rPr>
              <w:t>《声环境质量标准》（GB3096-2008）</w:t>
            </w:r>
            <w:r>
              <w:rPr>
                <w:rFonts w:hint="eastAsia"/>
                <w:color w:val="0000FF"/>
                <w:lang w:val="en-US" w:eastAsia="zh-CN"/>
              </w:rPr>
              <w:t>中2</w:t>
            </w:r>
            <w:r>
              <w:rPr>
                <w:rFonts w:hint="eastAsia"/>
                <w:color w:val="0000FF"/>
                <w:lang w:eastAsia="zh-CN"/>
              </w:rPr>
              <w:t>类声环境</w:t>
            </w:r>
            <w:r>
              <w:rPr>
                <w:rFonts w:hint="eastAsia"/>
                <w:color w:val="0000FF"/>
                <w:lang w:val="en-US" w:eastAsia="zh-CN"/>
              </w:rPr>
              <w:t>标准；项目区北侧需满足</w:t>
            </w:r>
            <w:r>
              <w:rPr>
                <w:rFonts w:hint="eastAsia"/>
                <w:color w:val="0000FF"/>
                <w:lang w:eastAsia="zh-CN"/>
              </w:rPr>
              <w:t>《声环境质量标准》（GB3096-2008）</w:t>
            </w:r>
            <w:r>
              <w:rPr>
                <w:rFonts w:hint="eastAsia"/>
                <w:color w:val="0000FF"/>
                <w:lang w:val="en-US" w:eastAsia="zh-CN"/>
              </w:rPr>
              <w:t>中4a</w:t>
            </w:r>
            <w:r>
              <w:rPr>
                <w:rFonts w:hint="eastAsia"/>
                <w:color w:val="0000FF"/>
                <w:lang w:eastAsia="zh-CN"/>
              </w:rPr>
              <w:t>类声环境</w:t>
            </w:r>
            <w:r>
              <w:rPr>
                <w:rFonts w:hint="eastAsia"/>
                <w:color w:val="0000FF"/>
                <w:lang w:val="en-US" w:eastAsia="zh-CN"/>
              </w:rPr>
              <w:t>标准</w:t>
            </w:r>
            <w:r>
              <w:rPr>
                <w:rFonts w:hint="eastAsia"/>
                <w:color w:val="0000FF"/>
                <w:lang w:eastAsia="zh-CN"/>
              </w:rPr>
              <w:t>。</w:t>
            </w:r>
          </w:p>
          <w:p w14:paraId="0D3B5819">
            <w:pPr>
              <w:pStyle w:val="3"/>
              <w:ind w:left="0" w:leftChars="0" w:firstLine="0" w:firstLineChars="0"/>
              <w:jc w:val="both"/>
              <w:rPr>
                <w:rFonts w:hint="default"/>
                <w:b/>
                <w:bCs/>
                <w:color w:val="auto"/>
                <w:lang w:val="en-US" w:eastAsia="zh-CN"/>
              </w:rPr>
            </w:pPr>
            <w:r>
              <w:rPr>
                <w:rFonts w:hint="eastAsia"/>
                <w:b/>
                <w:bCs/>
                <w:color w:val="auto"/>
                <w:lang w:val="en-US" w:eastAsia="zh-CN"/>
              </w:rPr>
              <w:t>3.1 监测点位及监测时间</w:t>
            </w:r>
          </w:p>
          <w:p w14:paraId="57146804">
            <w:pPr>
              <w:pStyle w:val="3"/>
              <w:ind w:firstLine="480"/>
              <w:jc w:val="both"/>
              <w:rPr>
                <w:rFonts w:hint="default"/>
                <w:color w:val="auto"/>
                <w:lang w:val="en-US" w:eastAsia="zh-CN"/>
              </w:rPr>
            </w:pPr>
            <w:r>
              <w:rPr>
                <w:rFonts w:hint="default"/>
                <w:color w:val="auto"/>
                <w:lang w:val="en-US" w:eastAsia="zh-CN"/>
              </w:rPr>
              <w:t>本项目声环境质量数据委托新疆国泰民康职业环境检测评价有限责任公司于2024年</w:t>
            </w:r>
            <w:r>
              <w:rPr>
                <w:rFonts w:hint="eastAsia"/>
                <w:color w:val="auto"/>
                <w:lang w:val="en-US" w:eastAsia="zh-CN"/>
              </w:rPr>
              <w:t>12</w:t>
            </w:r>
            <w:r>
              <w:rPr>
                <w:rFonts w:hint="default"/>
                <w:color w:val="auto"/>
                <w:lang w:val="en-US" w:eastAsia="zh-CN"/>
              </w:rPr>
              <w:t>月</w:t>
            </w:r>
            <w:r>
              <w:rPr>
                <w:rFonts w:hint="eastAsia"/>
                <w:color w:val="auto"/>
                <w:lang w:val="en-US" w:eastAsia="zh-CN"/>
              </w:rPr>
              <w:t>17</w:t>
            </w:r>
            <w:r>
              <w:rPr>
                <w:rFonts w:hint="default"/>
                <w:color w:val="auto"/>
                <w:lang w:val="en-US" w:eastAsia="zh-CN"/>
              </w:rPr>
              <w:t>日</w:t>
            </w:r>
            <w:r>
              <w:rPr>
                <w:rFonts w:hint="eastAsia"/>
                <w:color w:val="auto"/>
                <w:lang w:val="en-US" w:eastAsia="zh-CN"/>
              </w:rPr>
              <w:t>-18日</w:t>
            </w:r>
            <w:r>
              <w:rPr>
                <w:rFonts w:hint="default"/>
                <w:color w:val="auto"/>
                <w:lang w:val="en-US" w:eastAsia="zh-CN"/>
              </w:rPr>
              <w:t>对</w:t>
            </w:r>
            <w:r>
              <w:rPr>
                <w:rFonts w:hint="eastAsia"/>
                <w:color w:val="auto"/>
                <w:lang w:val="en-US" w:eastAsia="zh-CN"/>
              </w:rPr>
              <w:t>动物</w:t>
            </w:r>
            <w:r>
              <w:rPr>
                <w:rFonts w:hint="default"/>
                <w:color w:val="auto"/>
                <w:lang w:val="en-US" w:eastAsia="zh-CN"/>
              </w:rPr>
              <w:t>医院进行噪声监测。</w:t>
            </w:r>
          </w:p>
          <w:p w14:paraId="0F78364C">
            <w:pPr>
              <w:pStyle w:val="3"/>
              <w:ind w:firstLine="480"/>
              <w:jc w:val="both"/>
              <w:rPr>
                <w:rFonts w:hint="default"/>
                <w:color w:val="auto"/>
                <w:lang w:val="en-US" w:eastAsia="zh-CN"/>
              </w:rPr>
            </w:pPr>
            <w:r>
              <w:rPr>
                <w:rFonts w:hint="eastAsia"/>
                <w:color w:val="auto"/>
                <w:lang w:val="en-US" w:eastAsia="zh-CN"/>
              </w:rPr>
              <w:t>本</w:t>
            </w:r>
            <w:r>
              <w:rPr>
                <w:rFonts w:hint="default"/>
                <w:color w:val="auto"/>
                <w:lang w:val="en-US" w:eastAsia="zh-CN"/>
              </w:rPr>
              <w:t>项目</w:t>
            </w:r>
            <w:r>
              <w:rPr>
                <w:rFonts w:hint="eastAsia"/>
                <w:color w:val="auto"/>
                <w:lang w:val="en-US" w:eastAsia="zh-CN"/>
              </w:rPr>
              <w:t>将南</w:t>
            </w:r>
            <w:r>
              <w:rPr>
                <w:rFonts w:hint="default"/>
                <w:color w:val="auto"/>
                <w:lang w:val="en-US" w:eastAsia="zh-CN"/>
              </w:rPr>
              <w:t>侧</w:t>
            </w:r>
            <w:r>
              <w:rPr>
                <w:rFonts w:hint="eastAsia"/>
                <w:color w:val="auto"/>
                <w:lang w:val="en-US" w:eastAsia="zh-CN"/>
              </w:rPr>
              <w:t>圣水华庭小区</w:t>
            </w:r>
            <w:r>
              <w:rPr>
                <w:rFonts w:hint="default"/>
                <w:color w:val="auto"/>
                <w:lang w:val="en-US" w:eastAsia="zh-CN"/>
              </w:rPr>
              <w:t>居民楼作为本项目敏感目标</w:t>
            </w:r>
            <w:r>
              <w:rPr>
                <w:rFonts w:hint="eastAsia"/>
                <w:color w:val="auto"/>
                <w:lang w:val="en-US" w:eastAsia="zh-CN"/>
              </w:rPr>
              <w:t>，</w:t>
            </w:r>
            <w:r>
              <w:rPr>
                <w:rFonts w:hint="default"/>
                <w:color w:val="auto"/>
                <w:lang w:val="en-US" w:eastAsia="zh-CN"/>
              </w:rPr>
              <w:t>故在项目区</w:t>
            </w:r>
            <w:r>
              <w:rPr>
                <w:rFonts w:hint="eastAsia"/>
                <w:color w:val="auto"/>
                <w:lang w:val="en-US" w:eastAsia="zh-CN"/>
              </w:rPr>
              <w:t>南</w:t>
            </w:r>
            <w:r>
              <w:rPr>
                <w:rFonts w:hint="default"/>
                <w:color w:val="auto"/>
                <w:lang w:val="en-US" w:eastAsia="zh-CN"/>
              </w:rPr>
              <w:t>侧</w:t>
            </w:r>
            <w:r>
              <w:rPr>
                <w:rFonts w:hint="eastAsia"/>
                <w:color w:val="auto"/>
                <w:lang w:val="en-US" w:eastAsia="zh-CN"/>
              </w:rPr>
              <w:t>圣水华庭</w:t>
            </w:r>
            <w:r>
              <w:rPr>
                <w:rFonts w:hint="default"/>
                <w:color w:val="auto"/>
                <w:lang w:val="en-US" w:eastAsia="zh-CN"/>
              </w:rPr>
              <w:t>小区居民楼</w:t>
            </w:r>
            <w:r>
              <w:rPr>
                <w:rFonts w:hint="eastAsia"/>
                <w:color w:val="auto"/>
                <w:lang w:val="en-US" w:eastAsia="zh-CN"/>
              </w:rPr>
              <w:t>、本项目边界各</w:t>
            </w:r>
            <w:r>
              <w:rPr>
                <w:rFonts w:hint="default"/>
                <w:color w:val="auto"/>
                <w:lang w:val="en-US" w:eastAsia="zh-CN"/>
              </w:rPr>
              <w:t>设置</w:t>
            </w:r>
            <w:r>
              <w:rPr>
                <w:rFonts w:hint="eastAsia"/>
                <w:color w:val="auto"/>
                <w:lang w:val="en-US" w:eastAsia="zh-CN"/>
              </w:rPr>
              <w:t>一</w:t>
            </w:r>
            <w:r>
              <w:rPr>
                <w:rFonts w:hint="default"/>
                <w:color w:val="auto"/>
                <w:lang w:val="en-US" w:eastAsia="zh-CN"/>
              </w:rPr>
              <w:t>个监测点，进行昼间、夜间噪声监测，符合《环境影响评价技术导则 声环境》（HJ2.4-2021）的要求</w:t>
            </w:r>
            <w:r>
              <w:rPr>
                <w:rFonts w:hint="eastAsia"/>
                <w:color w:val="auto"/>
                <w:lang w:val="en-US" w:eastAsia="zh-CN"/>
              </w:rPr>
              <w:t>，</w:t>
            </w:r>
            <w:r>
              <w:rPr>
                <w:rFonts w:hint="default"/>
                <w:color w:val="auto"/>
                <w:lang w:val="en-US" w:eastAsia="zh-CN"/>
              </w:rPr>
              <w:t>监测方法按照《环境监测技术规范》中有关规定进行。</w:t>
            </w:r>
          </w:p>
          <w:p w14:paraId="4F665304">
            <w:pPr>
              <w:pStyle w:val="3"/>
              <w:ind w:left="0" w:leftChars="0" w:firstLine="0" w:firstLineChars="0"/>
              <w:jc w:val="both"/>
              <w:rPr>
                <w:rFonts w:hint="default"/>
                <w:b/>
                <w:bCs/>
                <w:color w:val="auto"/>
                <w:lang w:val="en-US" w:eastAsia="zh-CN"/>
              </w:rPr>
            </w:pPr>
            <w:r>
              <w:rPr>
                <w:rFonts w:hint="default"/>
                <w:b/>
                <w:bCs/>
                <w:color w:val="auto"/>
                <w:lang w:val="en-US" w:eastAsia="zh-CN"/>
              </w:rPr>
              <w:t>3.2 监测方法</w:t>
            </w:r>
          </w:p>
          <w:p w14:paraId="689B2F1B">
            <w:pPr>
              <w:pStyle w:val="3"/>
              <w:ind w:firstLine="480"/>
              <w:jc w:val="both"/>
              <w:rPr>
                <w:rFonts w:hint="default"/>
                <w:color w:val="auto"/>
                <w:lang w:val="en-US" w:eastAsia="zh-CN"/>
              </w:rPr>
            </w:pPr>
            <w:r>
              <w:rPr>
                <w:rFonts w:hint="default"/>
                <w:color w:val="auto"/>
                <w:lang w:val="en-US" w:eastAsia="zh-CN"/>
              </w:rPr>
              <w:t>噪声监测依照《环境监测技术规范》进行噪声监测，监测仪器使用AWA5688型噪声级计，监测前用声级校准器进行校准，测量时传声器距地面1.2米，传声器戴风罩。</w:t>
            </w:r>
          </w:p>
          <w:p w14:paraId="17EACA45">
            <w:pPr>
              <w:pStyle w:val="3"/>
              <w:ind w:left="0" w:leftChars="0" w:firstLine="0" w:firstLineChars="0"/>
              <w:jc w:val="both"/>
              <w:rPr>
                <w:rFonts w:hint="default"/>
                <w:b/>
                <w:bCs/>
                <w:color w:val="auto"/>
                <w:lang w:val="en-US" w:eastAsia="zh-CN"/>
              </w:rPr>
            </w:pPr>
            <w:r>
              <w:rPr>
                <w:rFonts w:hint="default"/>
                <w:b/>
                <w:bCs/>
                <w:color w:val="auto"/>
                <w:lang w:val="en-US" w:eastAsia="zh-CN"/>
              </w:rPr>
              <w:t>3.</w:t>
            </w:r>
            <w:r>
              <w:rPr>
                <w:rFonts w:hint="eastAsia"/>
                <w:b/>
                <w:bCs/>
                <w:color w:val="auto"/>
                <w:lang w:val="en-US" w:eastAsia="zh-CN"/>
              </w:rPr>
              <w:t>3 评价标准</w:t>
            </w:r>
          </w:p>
          <w:p w14:paraId="29C8FDA1">
            <w:pPr>
              <w:pStyle w:val="3"/>
              <w:ind w:firstLine="480"/>
              <w:jc w:val="both"/>
              <w:rPr>
                <w:rFonts w:hint="default"/>
                <w:color w:val="auto"/>
                <w:lang w:val="en-US" w:eastAsia="zh-CN"/>
              </w:rPr>
            </w:pPr>
            <w:r>
              <w:rPr>
                <w:rFonts w:hint="eastAsia"/>
                <w:color w:val="auto"/>
                <w:lang w:val="en-US" w:eastAsia="zh-CN"/>
              </w:rPr>
              <w:t>本</w:t>
            </w:r>
            <w:r>
              <w:rPr>
                <w:rFonts w:hint="default"/>
                <w:color w:val="auto"/>
                <w:lang w:val="en-US" w:eastAsia="zh-CN"/>
              </w:rPr>
              <w:t>项目执行《声环境质量标准》</w:t>
            </w:r>
            <w:r>
              <w:rPr>
                <w:rFonts w:hint="eastAsia"/>
                <w:color w:val="auto"/>
                <w:lang w:val="en-US" w:eastAsia="zh-CN"/>
              </w:rPr>
              <w:t>（</w:t>
            </w:r>
            <w:r>
              <w:rPr>
                <w:rFonts w:hint="default"/>
                <w:color w:val="auto"/>
                <w:lang w:val="en-US" w:eastAsia="zh-CN"/>
              </w:rPr>
              <w:t>GB3096-2008</w:t>
            </w:r>
            <w:r>
              <w:rPr>
                <w:rFonts w:hint="eastAsia"/>
                <w:color w:val="auto"/>
                <w:lang w:val="en-US" w:eastAsia="zh-CN"/>
              </w:rPr>
              <w:t>）</w:t>
            </w:r>
            <w:r>
              <w:rPr>
                <w:rFonts w:hint="default"/>
                <w:color w:val="auto"/>
                <w:lang w:val="en-US" w:eastAsia="zh-CN"/>
              </w:rPr>
              <w:t>2类</w:t>
            </w:r>
            <w:r>
              <w:rPr>
                <w:rFonts w:hint="eastAsia"/>
                <w:color w:val="auto"/>
                <w:lang w:val="en-US" w:eastAsia="zh-CN"/>
              </w:rPr>
              <w:t>、4a类</w:t>
            </w:r>
            <w:r>
              <w:rPr>
                <w:rFonts w:hint="default"/>
                <w:color w:val="auto"/>
                <w:lang w:val="en-US" w:eastAsia="zh-CN"/>
              </w:rPr>
              <w:t>标准具体限值见表3-</w:t>
            </w:r>
            <w:r>
              <w:rPr>
                <w:rFonts w:hint="eastAsia"/>
                <w:color w:val="auto"/>
                <w:lang w:val="en-US" w:eastAsia="zh-CN"/>
              </w:rPr>
              <w:t>3</w:t>
            </w:r>
            <w:r>
              <w:rPr>
                <w:rFonts w:hint="default"/>
                <w:color w:val="auto"/>
                <w:lang w:val="en-US" w:eastAsia="zh-CN"/>
              </w:rPr>
              <w:t>。</w:t>
            </w:r>
          </w:p>
          <w:p w14:paraId="08E7AA97">
            <w:pPr>
              <w:pStyle w:val="34"/>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表3-</w:t>
            </w:r>
            <w:r>
              <w:rPr>
                <w:rFonts w:hint="eastAsia"/>
                <w:color w:val="auto"/>
                <w:sz w:val="21"/>
                <w:szCs w:val="21"/>
                <w:lang w:val="en-US" w:eastAsia="zh-CN"/>
              </w:rPr>
              <w:t>3</w:t>
            </w:r>
            <w:r>
              <w:rPr>
                <w:rFonts w:hint="eastAsia" w:ascii="Times New Roman" w:hAnsi="Times New Roman" w:eastAsia="宋体"/>
                <w:color w:val="auto"/>
                <w:sz w:val="21"/>
                <w:szCs w:val="21"/>
              </w:rPr>
              <w:t xml:space="preserve">   声环境质量标准限值</w:t>
            </w:r>
            <w:r>
              <w:rPr>
                <w:rFonts w:hint="eastAsia"/>
                <w:color w:val="auto"/>
                <w:sz w:val="21"/>
                <w:szCs w:val="21"/>
                <w:lang w:eastAsia="zh-CN"/>
              </w:rPr>
              <w:t>（</w:t>
            </w:r>
            <w:r>
              <w:rPr>
                <w:rFonts w:hint="eastAsia" w:ascii="Times New Roman" w:hAnsi="Times New Roman" w:eastAsia="宋体"/>
                <w:color w:val="auto"/>
                <w:sz w:val="21"/>
                <w:szCs w:val="21"/>
              </w:rPr>
              <w:t>摘录</w:t>
            </w:r>
            <w:r>
              <w:rPr>
                <w:rFonts w:hint="eastAsia"/>
                <w:color w:val="auto"/>
                <w:sz w:val="21"/>
                <w:szCs w:val="21"/>
                <w:lang w:eastAsia="zh-CN"/>
              </w:rPr>
              <w:t>）</w:t>
            </w:r>
            <w:r>
              <w:rPr>
                <w:rFonts w:hint="eastAsia"/>
                <w:color w:val="auto"/>
                <w:sz w:val="21"/>
                <w:szCs w:val="21"/>
                <w:lang w:val="en-US" w:eastAsia="zh-CN"/>
              </w:rPr>
              <w:t xml:space="preserve">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3085"/>
              <w:gridCol w:w="2981"/>
            </w:tblGrid>
            <w:tr w14:paraId="26405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1" w:type="pct"/>
                  <w:tcBorders>
                    <w:bottom w:val="single" w:color="auto" w:sz="12" w:space="0"/>
                  </w:tcBorders>
                  <w:vAlign w:val="center"/>
                </w:tcPr>
                <w:p w14:paraId="2AEFEE91">
                  <w:pPr>
                    <w:pStyle w:val="35"/>
                    <w:widowControl w:val="0"/>
                    <w:rPr>
                      <w:rFonts w:hint="default"/>
                      <w:b/>
                      <w:bCs/>
                      <w:color w:val="auto"/>
                      <w:lang w:val="en-US" w:eastAsia="zh-CN"/>
                    </w:rPr>
                  </w:pPr>
                  <w:r>
                    <w:rPr>
                      <w:rFonts w:hint="eastAsia"/>
                      <w:b/>
                      <w:bCs/>
                      <w:color w:val="auto"/>
                      <w:lang w:val="en-US" w:eastAsia="zh-CN"/>
                    </w:rPr>
                    <w:t>类别</w:t>
                  </w:r>
                </w:p>
              </w:tc>
              <w:tc>
                <w:tcPr>
                  <w:tcW w:w="2008" w:type="pct"/>
                  <w:tcBorders>
                    <w:bottom w:val="single" w:color="auto" w:sz="12" w:space="0"/>
                  </w:tcBorders>
                  <w:vAlign w:val="center"/>
                </w:tcPr>
                <w:p w14:paraId="1B5AC991">
                  <w:pPr>
                    <w:pStyle w:val="35"/>
                    <w:widowControl w:val="0"/>
                    <w:rPr>
                      <w:rFonts w:hint="default"/>
                      <w:b/>
                      <w:bCs/>
                      <w:color w:val="auto"/>
                      <w:lang w:val="en-US" w:eastAsia="zh-CN"/>
                    </w:rPr>
                  </w:pPr>
                  <w:r>
                    <w:rPr>
                      <w:rFonts w:hint="eastAsia"/>
                      <w:b/>
                      <w:bCs/>
                      <w:color w:val="auto"/>
                      <w:lang w:val="en-US" w:eastAsia="zh-CN"/>
                    </w:rPr>
                    <w:t>昼间</w:t>
                  </w:r>
                </w:p>
              </w:tc>
              <w:tc>
                <w:tcPr>
                  <w:tcW w:w="1940" w:type="pct"/>
                  <w:tcBorders>
                    <w:bottom w:val="single" w:color="auto" w:sz="12" w:space="0"/>
                  </w:tcBorders>
                  <w:vAlign w:val="center"/>
                </w:tcPr>
                <w:p w14:paraId="7BCD6507">
                  <w:pPr>
                    <w:pStyle w:val="35"/>
                    <w:widowControl w:val="0"/>
                    <w:rPr>
                      <w:rFonts w:hint="default"/>
                      <w:b/>
                      <w:bCs/>
                      <w:color w:val="auto"/>
                      <w:lang w:val="en-US" w:eastAsia="zh-CN"/>
                    </w:rPr>
                  </w:pPr>
                  <w:r>
                    <w:rPr>
                      <w:rFonts w:hint="eastAsia"/>
                      <w:b/>
                      <w:bCs/>
                      <w:color w:val="auto"/>
                      <w:lang w:val="en-US" w:eastAsia="zh-CN"/>
                    </w:rPr>
                    <w:t>夜间</w:t>
                  </w:r>
                </w:p>
              </w:tc>
            </w:tr>
            <w:tr w14:paraId="08FD7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1" w:type="pct"/>
                  <w:tcBorders>
                    <w:top w:val="single" w:color="auto" w:sz="4" w:space="0"/>
                    <w:bottom w:val="single" w:color="auto" w:sz="4" w:space="0"/>
                  </w:tcBorders>
                  <w:vAlign w:val="center"/>
                </w:tcPr>
                <w:p w14:paraId="553253B7">
                  <w:pPr>
                    <w:pStyle w:val="35"/>
                    <w:widowControl w:val="0"/>
                    <w:rPr>
                      <w:rFonts w:hint="default"/>
                      <w:color w:val="auto"/>
                      <w:lang w:val="en-US" w:eastAsia="zh-CN"/>
                    </w:rPr>
                  </w:pPr>
                  <w:r>
                    <w:rPr>
                      <w:rFonts w:hint="eastAsia"/>
                      <w:color w:val="auto"/>
                      <w:lang w:val="en-US" w:eastAsia="zh-CN"/>
                    </w:rPr>
                    <w:t>2类</w:t>
                  </w:r>
                </w:p>
              </w:tc>
              <w:tc>
                <w:tcPr>
                  <w:tcW w:w="2008" w:type="pct"/>
                  <w:tcBorders>
                    <w:top w:val="single" w:color="auto" w:sz="4" w:space="0"/>
                    <w:bottom w:val="single" w:color="auto" w:sz="4" w:space="0"/>
                  </w:tcBorders>
                  <w:vAlign w:val="center"/>
                </w:tcPr>
                <w:p w14:paraId="44C95108">
                  <w:pPr>
                    <w:pStyle w:val="35"/>
                    <w:widowControl w:val="0"/>
                    <w:rPr>
                      <w:color w:val="auto"/>
                      <w:lang w:val="en-US" w:eastAsia="zh-CN"/>
                    </w:rPr>
                  </w:pPr>
                  <w:r>
                    <w:rPr>
                      <w:rFonts w:hint="eastAsia"/>
                      <w:color w:val="auto"/>
                      <w:lang w:val="en-US" w:eastAsia="zh-CN"/>
                    </w:rPr>
                    <w:t>60</w:t>
                  </w:r>
                </w:p>
              </w:tc>
              <w:tc>
                <w:tcPr>
                  <w:tcW w:w="1940" w:type="pct"/>
                  <w:tcBorders>
                    <w:top w:val="single" w:color="auto" w:sz="4" w:space="0"/>
                    <w:bottom w:val="single" w:color="auto" w:sz="4" w:space="0"/>
                  </w:tcBorders>
                  <w:vAlign w:val="center"/>
                </w:tcPr>
                <w:p w14:paraId="626EBB5C">
                  <w:pPr>
                    <w:pStyle w:val="35"/>
                    <w:widowControl w:val="0"/>
                    <w:rPr>
                      <w:color w:val="auto"/>
                      <w:lang w:val="en-US" w:eastAsia="zh-CN"/>
                    </w:rPr>
                  </w:pPr>
                  <w:r>
                    <w:rPr>
                      <w:color w:val="auto"/>
                      <w:lang w:val="en-US" w:eastAsia="zh-CN"/>
                    </w:rPr>
                    <w:t>5</w:t>
                  </w:r>
                  <w:r>
                    <w:rPr>
                      <w:rFonts w:hint="eastAsia"/>
                      <w:color w:val="auto"/>
                      <w:lang w:val="en-US" w:eastAsia="zh-CN"/>
                    </w:rPr>
                    <w:t>0</w:t>
                  </w:r>
                </w:p>
              </w:tc>
            </w:tr>
            <w:tr w14:paraId="60BF7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1" w:type="pct"/>
                  <w:tcBorders>
                    <w:top w:val="single" w:color="auto" w:sz="4" w:space="0"/>
                    <w:bottom w:val="single" w:color="auto" w:sz="4" w:space="0"/>
                  </w:tcBorders>
                  <w:vAlign w:val="center"/>
                </w:tcPr>
                <w:p w14:paraId="283B1163">
                  <w:pPr>
                    <w:pStyle w:val="35"/>
                    <w:widowControl w:val="0"/>
                    <w:rPr>
                      <w:rFonts w:hint="default"/>
                      <w:color w:val="auto"/>
                      <w:lang w:val="en-US" w:eastAsia="zh-CN"/>
                    </w:rPr>
                  </w:pPr>
                  <w:r>
                    <w:rPr>
                      <w:rFonts w:hint="eastAsia"/>
                      <w:color w:val="auto"/>
                      <w:lang w:val="en-US" w:eastAsia="zh-CN"/>
                    </w:rPr>
                    <w:t>4a类</w:t>
                  </w:r>
                </w:p>
              </w:tc>
              <w:tc>
                <w:tcPr>
                  <w:tcW w:w="2008" w:type="pct"/>
                  <w:tcBorders>
                    <w:top w:val="single" w:color="auto" w:sz="4" w:space="0"/>
                    <w:bottom w:val="single" w:color="auto" w:sz="4" w:space="0"/>
                  </w:tcBorders>
                  <w:vAlign w:val="center"/>
                </w:tcPr>
                <w:p w14:paraId="51FDE320">
                  <w:pPr>
                    <w:pStyle w:val="35"/>
                    <w:widowControl w:val="0"/>
                    <w:rPr>
                      <w:rFonts w:hint="default"/>
                      <w:color w:val="auto"/>
                      <w:lang w:val="en-US" w:eastAsia="zh-CN"/>
                    </w:rPr>
                  </w:pPr>
                  <w:r>
                    <w:rPr>
                      <w:rFonts w:hint="eastAsia"/>
                      <w:color w:val="auto"/>
                      <w:lang w:val="en-US" w:eastAsia="zh-CN"/>
                    </w:rPr>
                    <w:t>70</w:t>
                  </w:r>
                </w:p>
              </w:tc>
              <w:tc>
                <w:tcPr>
                  <w:tcW w:w="1940" w:type="pct"/>
                  <w:tcBorders>
                    <w:top w:val="single" w:color="auto" w:sz="4" w:space="0"/>
                    <w:bottom w:val="single" w:color="auto" w:sz="4" w:space="0"/>
                  </w:tcBorders>
                  <w:vAlign w:val="center"/>
                </w:tcPr>
                <w:p w14:paraId="41141C98">
                  <w:pPr>
                    <w:pStyle w:val="35"/>
                    <w:widowControl w:val="0"/>
                    <w:rPr>
                      <w:rFonts w:hint="default"/>
                      <w:color w:val="auto"/>
                      <w:lang w:val="en-US" w:eastAsia="zh-CN"/>
                    </w:rPr>
                  </w:pPr>
                  <w:r>
                    <w:rPr>
                      <w:rFonts w:hint="eastAsia"/>
                      <w:color w:val="auto"/>
                      <w:lang w:val="en-US" w:eastAsia="zh-CN"/>
                    </w:rPr>
                    <w:t>55</w:t>
                  </w:r>
                </w:p>
              </w:tc>
            </w:tr>
          </w:tbl>
          <w:p w14:paraId="6BFE5398">
            <w:pPr>
              <w:pStyle w:val="3"/>
              <w:ind w:left="0" w:leftChars="0" w:firstLine="0" w:firstLineChars="0"/>
              <w:jc w:val="both"/>
              <w:rPr>
                <w:rFonts w:hint="default"/>
                <w:b/>
                <w:bCs/>
                <w:color w:val="auto"/>
                <w:lang w:val="en-US" w:eastAsia="zh-CN"/>
              </w:rPr>
            </w:pPr>
            <w:r>
              <w:rPr>
                <w:rFonts w:hint="default"/>
                <w:b/>
                <w:bCs/>
                <w:color w:val="auto"/>
                <w:lang w:val="en-US" w:eastAsia="zh-CN"/>
              </w:rPr>
              <w:t>3.</w:t>
            </w:r>
            <w:r>
              <w:rPr>
                <w:rFonts w:hint="eastAsia"/>
                <w:b/>
                <w:bCs/>
                <w:color w:val="auto"/>
                <w:lang w:val="en-US" w:eastAsia="zh-CN"/>
              </w:rPr>
              <w:t>4 监测结果</w:t>
            </w:r>
          </w:p>
          <w:p w14:paraId="6D640FF5">
            <w:pPr>
              <w:pStyle w:val="6"/>
              <w:ind w:firstLine="480" w:firstLineChars="200"/>
              <w:jc w:val="both"/>
              <w:outlineLvl w:val="2"/>
              <w:rPr>
                <w:rFonts w:hint="eastAsia"/>
                <w:b w:val="0"/>
                <w:bCs/>
                <w:color w:val="auto"/>
                <w:lang w:val="en-US" w:eastAsia="zh-CN"/>
              </w:rPr>
            </w:pPr>
            <w:r>
              <w:rPr>
                <w:rFonts w:hint="eastAsia"/>
                <w:b w:val="0"/>
                <w:bCs/>
                <w:color w:val="auto"/>
                <w:lang w:val="en-US" w:eastAsia="zh-CN"/>
              </w:rPr>
              <w:t>本项目区噪声监测结果见表3-4。</w:t>
            </w:r>
          </w:p>
          <w:p w14:paraId="30A8614E">
            <w:pPr>
              <w:pStyle w:val="34"/>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表3-</w:t>
            </w:r>
            <w:r>
              <w:rPr>
                <w:rFonts w:hint="eastAsia"/>
                <w:color w:val="auto"/>
                <w:sz w:val="21"/>
                <w:szCs w:val="21"/>
                <w:lang w:val="en-US" w:eastAsia="zh-CN"/>
              </w:rPr>
              <w:t>4</w:t>
            </w:r>
            <w:r>
              <w:rPr>
                <w:rFonts w:hint="eastAsia" w:ascii="Times New Roman" w:hAnsi="Times New Roman" w:eastAsia="宋体"/>
                <w:color w:val="auto"/>
                <w:sz w:val="21"/>
                <w:szCs w:val="21"/>
              </w:rPr>
              <w:t xml:space="preserve">   声环境质量标准限值</w:t>
            </w:r>
            <w:r>
              <w:rPr>
                <w:rFonts w:hint="eastAsia"/>
                <w:color w:val="auto"/>
                <w:sz w:val="21"/>
                <w:szCs w:val="21"/>
                <w:lang w:eastAsia="zh-CN"/>
              </w:rPr>
              <w:t>（</w:t>
            </w:r>
            <w:r>
              <w:rPr>
                <w:rFonts w:hint="eastAsia" w:ascii="Times New Roman" w:hAnsi="Times New Roman" w:eastAsia="宋体"/>
                <w:color w:val="auto"/>
                <w:sz w:val="21"/>
                <w:szCs w:val="21"/>
              </w:rPr>
              <w:t>摘录</w:t>
            </w:r>
            <w:r>
              <w:rPr>
                <w:rFonts w:hint="eastAsia"/>
                <w:color w:val="auto"/>
                <w:sz w:val="21"/>
                <w:szCs w:val="21"/>
                <w:lang w:eastAsia="zh-CN"/>
              </w:rPr>
              <w:t>）</w:t>
            </w:r>
            <w:r>
              <w:rPr>
                <w:rFonts w:hint="eastAsia"/>
                <w:color w:val="auto"/>
                <w:sz w:val="21"/>
                <w:szCs w:val="21"/>
                <w:lang w:val="en-US" w:eastAsia="zh-CN"/>
              </w:rPr>
              <w:t xml:space="preserve">   单位：dB（A）</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7"/>
              <w:gridCol w:w="1250"/>
              <w:gridCol w:w="1083"/>
              <w:gridCol w:w="1289"/>
              <w:gridCol w:w="1289"/>
            </w:tblGrid>
            <w:tr w14:paraId="2C272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1" w:type="pct"/>
                  <w:tcBorders>
                    <w:bottom w:val="single" w:color="auto" w:sz="12" w:space="0"/>
                  </w:tcBorders>
                  <w:vAlign w:val="center"/>
                </w:tcPr>
                <w:p w14:paraId="3A28C196">
                  <w:pPr>
                    <w:pStyle w:val="35"/>
                    <w:widowControl w:val="0"/>
                    <w:rPr>
                      <w:rFonts w:hint="default"/>
                      <w:b/>
                      <w:bCs/>
                      <w:color w:val="auto"/>
                      <w:lang w:val="en-US" w:eastAsia="zh-CN"/>
                    </w:rPr>
                  </w:pPr>
                  <w:r>
                    <w:rPr>
                      <w:rFonts w:hint="eastAsia"/>
                      <w:b/>
                      <w:bCs/>
                      <w:color w:val="auto"/>
                      <w:lang w:val="en-US" w:eastAsia="zh-CN"/>
                    </w:rPr>
                    <w:t>监测点位</w:t>
                  </w:r>
                </w:p>
              </w:tc>
              <w:tc>
                <w:tcPr>
                  <w:tcW w:w="814" w:type="pct"/>
                  <w:tcBorders>
                    <w:bottom w:val="single" w:color="auto" w:sz="12" w:space="0"/>
                  </w:tcBorders>
                  <w:vAlign w:val="center"/>
                </w:tcPr>
                <w:p w14:paraId="6909BDC8">
                  <w:pPr>
                    <w:pStyle w:val="35"/>
                    <w:widowControl w:val="0"/>
                    <w:rPr>
                      <w:rFonts w:hint="default"/>
                      <w:b/>
                      <w:bCs/>
                      <w:color w:val="auto"/>
                      <w:lang w:val="en-US" w:eastAsia="zh-CN"/>
                    </w:rPr>
                  </w:pPr>
                  <w:r>
                    <w:rPr>
                      <w:rFonts w:hint="eastAsia"/>
                      <w:b/>
                      <w:bCs/>
                      <w:color w:val="auto"/>
                      <w:lang w:val="en-US" w:eastAsia="zh-CN"/>
                    </w:rPr>
                    <w:t>昼间</w:t>
                  </w:r>
                </w:p>
              </w:tc>
              <w:tc>
                <w:tcPr>
                  <w:tcW w:w="705" w:type="pct"/>
                  <w:tcBorders>
                    <w:bottom w:val="single" w:color="auto" w:sz="12" w:space="0"/>
                  </w:tcBorders>
                  <w:vAlign w:val="center"/>
                </w:tcPr>
                <w:p w14:paraId="0257F9F5">
                  <w:pPr>
                    <w:pStyle w:val="35"/>
                    <w:widowControl w:val="0"/>
                    <w:rPr>
                      <w:rFonts w:hint="default"/>
                      <w:b/>
                      <w:bCs/>
                      <w:color w:val="auto"/>
                      <w:lang w:val="en-US" w:eastAsia="zh-CN"/>
                    </w:rPr>
                  </w:pPr>
                  <w:r>
                    <w:rPr>
                      <w:rFonts w:hint="eastAsia"/>
                      <w:b/>
                      <w:bCs/>
                      <w:color w:val="auto"/>
                      <w:lang w:val="en-US" w:eastAsia="zh-CN"/>
                    </w:rPr>
                    <w:t>标准值</w:t>
                  </w:r>
                </w:p>
              </w:tc>
              <w:tc>
                <w:tcPr>
                  <w:tcW w:w="839" w:type="pct"/>
                  <w:tcBorders>
                    <w:bottom w:val="single" w:color="auto" w:sz="12" w:space="0"/>
                  </w:tcBorders>
                  <w:vAlign w:val="center"/>
                </w:tcPr>
                <w:p w14:paraId="6FEBDA11">
                  <w:pPr>
                    <w:pStyle w:val="35"/>
                    <w:widowControl w:val="0"/>
                    <w:rPr>
                      <w:rFonts w:hint="default"/>
                      <w:b/>
                      <w:bCs/>
                      <w:color w:val="auto"/>
                      <w:lang w:val="en-US" w:eastAsia="zh-CN"/>
                    </w:rPr>
                  </w:pPr>
                  <w:r>
                    <w:rPr>
                      <w:rFonts w:hint="eastAsia"/>
                      <w:b/>
                      <w:bCs/>
                      <w:color w:val="auto"/>
                      <w:lang w:val="en-US" w:eastAsia="zh-CN"/>
                    </w:rPr>
                    <w:t>夜间</w:t>
                  </w:r>
                </w:p>
              </w:tc>
              <w:tc>
                <w:tcPr>
                  <w:tcW w:w="839" w:type="pct"/>
                  <w:tcBorders>
                    <w:bottom w:val="single" w:color="auto" w:sz="12" w:space="0"/>
                  </w:tcBorders>
                  <w:vAlign w:val="center"/>
                </w:tcPr>
                <w:p w14:paraId="0B450E1F">
                  <w:pPr>
                    <w:pStyle w:val="35"/>
                    <w:widowControl w:val="0"/>
                    <w:rPr>
                      <w:rFonts w:hint="eastAsia"/>
                      <w:b/>
                      <w:bCs/>
                      <w:color w:val="auto"/>
                      <w:lang w:val="en-US" w:eastAsia="zh-CN"/>
                    </w:rPr>
                  </w:pPr>
                  <w:r>
                    <w:rPr>
                      <w:rFonts w:hint="eastAsia"/>
                      <w:b/>
                      <w:bCs/>
                      <w:color w:val="auto"/>
                      <w:lang w:val="en-US" w:eastAsia="zh-CN"/>
                    </w:rPr>
                    <w:t>标准值</w:t>
                  </w:r>
                </w:p>
              </w:tc>
            </w:tr>
            <w:tr w14:paraId="6E2C6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1" w:type="pct"/>
                  <w:tcBorders>
                    <w:top w:val="single" w:color="auto" w:sz="4" w:space="0"/>
                    <w:bottom w:val="single" w:color="auto" w:sz="4" w:space="0"/>
                  </w:tcBorders>
                  <w:vAlign w:val="center"/>
                </w:tcPr>
                <w:p w14:paraId="74C441A6">
                  <w:pPr>
                    <w:pStyle w:val="35"/>
                    <w:widowControl w:val="0"/>
                    <w:rPr>
                      <w:rFonts w:hint="default" w:ascii="Times New Roman" w:hAnsi="Times New Roman" w:eastAsia="宋体" w:cs="Times New Roman"/>
                      <w:color w:val="auto"/>
                      <w:lang w:val="en-US" w:eastAsia="zh-CN"/>
                    </w:rPr>
                  </w:pPr>
                  <w:r>
                    <w:rPr>
                      <w:rFonts w:hint="eastAsia" w:cs="Times New Roman"/>
                      <w:color w:val="auto"/>
                      <w:lang w:val="en-US" w:eastAsia="zh-CN"/>
                    </w:rPr>
                    <w:t>项目区南</w:t>
                  </w:r>
                  <w:r>
                    <w:rPr>
                      <w:rFonts w:hint="default" w:ascii="Times New Roman" w:hAnsi="Times New Roman" w:eastAsia="宋体" w:cs="Times New Roman"/>
                      <w:color w:val="auto"/>
                      <w:lang w:val="en-US" w:eastAsia="zh-CN"/>
                    </w:rPr>
                    <w:t>侧</w:t>
                  </w:r>
                  <w:r>
                    <w:rPr>
                      <w:rFonts w:hint="eastAsia" w:cs="Times New Roman"/>
                      <w:color w:val="auto"/>
                      <w:lang w:val="en-US" w:eastAsia="zh-CN"/>
                    </w:rPr>
                    <w:t>圣水华庭居民楼门口</w:t>
                  </w:r>
                </w:p>
              </w:tc>
              <w:tc>
                <w:tcPr>
                  <w:tcW w:w="814" w:type="pct"/>
                  <w:tcBorders>
                    <w:top w:val="single" w:color="auto" w:sz="4" w:space="0"/>
                    <w:bottom w:val="single" w:color="auto" w:sz="4" w:space="0"/>
                  </w:tcBorders>
                  <w:vAlign w:val="center"/>
                </w:tcPr>
                <w:p w14:paraId="7A455FB1">
                  <w:pPr>
                    <w:pStyle w:val="35"/>
                    <w:widowControl w:val="0"/>
                    <w:rPr>
                      <w:rFonts w:hint="default"/>
                      <w:color w:val="auto"/>
                      <w:lang w:val="en-US" w:eastAsia="zh-CN"/>
                    </w:rPr>
                  </w:pPr>
                  <w:r>
                    <w:rPr>
                      <w:rFonts w:hint="eastAsia"/>
                      <w:color w:val="auto"/>
                      <w:lang w:val="en-US" w:eastAsia="zh-CN"/>
                    </w:rPr>
                    <w:t>50</w:t>
                  </w:r>
                </w:p>
              </w:tc>
              <w:tc>
                <w:tcPr>
                  <w:tcW w:w="705" w:type="pct"/>
                  <w:vMerge w:val="restart"/>
                  <w:tcBorders>
                    <w:top w:val="single" w:color="auto" w:sz="4" w:space="0"/>
                  </w:tcBorders>
                  <w:vAlign w:val="center"/>
                </w:tcPr>
                <w:p w14:paraId="57AE5761">
                  <w:pPr>
                    <w:pStyle w:val="35"/>
                    <w:widowControl w:val="0"/>
                    <w:rPr>
                      <w:rFonts w:hint="default"/>
                      <w:color w:val="auto"/>
                      <w:lang w:val="en-US" w:eastAsia="zh-CN"/>
                    </w:rPr>
                  </w:pPr>
                  <w:r>
                    <w:rPr>
                      <w:rFonts w:hint="eastAsia"/>
                      <w:color w:val="auto"/>
                      <w:lang w:val="en-US" w:eastAsia="zh-CN"/>
                    </w:rPr>
                    <w:t>60</w:t>
                  </w:r>
                </w:p>
              </w:tc>
              <w:tc>
                <w:tcPr>
                  <w:tcW w:w="839" w:type="pct"/>
                  <w:tcBorders>
                    <w:top w:val="single" w:color="auto" w:sz="4" w:space="0"/>
                    <w:bottom w:val="single" w:color="auto" w:sz="4" w:space="0"/>
                  </w:tcBorders>
                  <w:vAlign w:val="center"/>
                </w:tcPr>
                <w:p w14:paraId="459BD65B">
                  <w:pPr>
                    <w:pStyle w:val="35"/>
                    <w:widowControl w:val="0"/>
                    <w:rPr>
                      <w:rFonts w:hint="default"/>
                      <w:color w:val="auto"/>
                      <w:lang w:val="en-US" w:eastAsia="zh-CN"/>
                    </w:rPr>
                  </w:pPr>
                  <w:r>
                    <w:rPr>
                      <w:rFonts w:hint="eastAsia"/>
                      <w:color w:val="auto"/>
                      <w:lang w:val="en-US" w:eastAsia="zh-CN"/>
                    </w:rPr>
                    <w:t>40</w:t>
                  </w:r>
                </w:p>
              </w:tc>
              <w:tc>
                <w:tcPr>
                  <w:tcW w:w="839" w:type="pct"/>
                  <w:vMerge w:val="restart"/>
                  <w:tcBorders>
                    <w:top w:val="single" w:color="auto" w:sz="4" w:space="0"/>
                  </w:tcBorders>
                  <w:vAlign w:val="center"/>
                </w:tcPr>
                <w:p w14:paraId="0A3FB9A1">
                  <w:pPr>
                    <w:pStyle w:val="35"/>
                    <w:widowControl w:val="0"/>
                    <w:rPr>
                      <w:rFonts w:hint="default"/>
                      <w:color w:val="auto"/>
                      <w:lang w:val="en-US" w:eastAsia="zh-CN"/>
                    </w:rPr>
                  </w:pPr>
                  <w:r>
                    <w:rPr>
                      <w:rFonts w:hint="eastAsia"/>
                      <w:color w:val="auto"/>
                      <w:lang w:val="en-US" w:eastAsia="zh-CN"/>
                    </w:rPr>
                    <w:t>50</w:t>
                  </w:r>
                </w:p>
              </w:tc>
            </w:tr>
            <w:tr w14:paraId="7FB09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1" w:type="pct"/>
                  <w:tcBorders>
                    <w:top w:val="single" w:color="auto" w:sz="4" w:space="0"/>
                    <w:bottom w:val="single" w:color="auto" w:sz="12" w:space="0"/>
                  </w:tcBorders>
                  <w:vAlign w:val="center"/>
                </w:tcPr>
                <w:p w14:paraId="0622B8DA">
                  <w:pPr>
                    <w:pStyle w:val="35"/>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w:t>
                  </w:r>
                  <w:r>
                    <w:rPr>
                      <w:rFonts w:hint="eastAsia" w:cs="Times New Roman"/>
                      <w:color w:val="auto"/>
                      <w:lang w:val="en-US" w:eastAsia="zh-CN"/>
                    </w:rPr>
                    <w:t>区南侧边界外</w:t>
                  </w:r>
                  <w:r>
                    <w:rPr>
                      <w:rFonts w:hint="default" w:ascii="Times New Roman" w:hAnsi="Times New Roman" w:eastAsia="宋体" w:cs="Times New Roman"/>
                      <w:color w:val="auto"/>
                      <w:lang w:val="en-US" w:eastAsia="zh-CN"/>
                    </w:rPr>
                    <w:t>1</w:t>
                  </w:r>
                  <w:r>
                    <w:rPr>
                      <w:rFonts w:hint="eastAsia" w:cs="Times New Roman"/>
                      <w:color w:val="auto"/>
                      <w:lang w:val="en-US" w:eastAsia="zh-CN"/>
                    </w:rPr>
                    <w:t>米</w:t>
                  </w:r>
                </w:p>
              </w:tc>
              <w:tc>
                <w:tcPr>
                  <w:tcW w:w="814" w:type="pct"/>
                  <w:tcBorders>
                    <w:top w:val="single" w:color="auto" w:sz="4" w:space="0"/>
                    <w:bottom w:val="single" w:color="auto" w:sz="12" w:space="0"/>
                  </w:tcBorders>
                  <w:shd w:val="clear" w:color="auto" w:fill="auto"/>
                  <w:vAlign w:val="center"/>
                </w:tcPr>
                <w:p w14:paraId="48B598E9">
                  <w:pPr>
                    <w:pStyle w:val="35"/>
                    <w:widowControl w:val="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50</w:t>
                  </w:r>
                </w:p>
              </w:tc>
              <w:tc>
                <w:tcPr>
                  <w:tcW w:w="705" w:type="pct"/>
                  <w:vMerge w:val="continue"/>
                  <w:tcBorders>
                    <w:bottom w:val="single" w:color="auto" w:sz="12" w:space="0"/>
                  </w:tcBorders>
                  <w:shd w:val="clear" w:color="auto" w:fill="auto"/>
                  <w:vAlign w:val="center"/>
                </w:tcPr>
                <w:p w14:paraId="38533D39">
                  <w:pPr>
                    <w:pStyle w:val="35"/>
                    <w:widowControl w:val="0"/>
                    <w:rPr>
                      <w:rFonts w:hint="eastAsia"/>
                      <w:color w:val="auto"/>
                      <w:lang w:val="en-US" w:eastAsia="zh-CN"/>
                    </w:rPr>
                  </w:pPr>
                </w:p>
              </w:tc>
              <w:tc>
                <w:tcPr>
                  <w:tcW w:w="839" w:type="pct"/>
                  <w:tcBorders>
                    <w:top w:val="single" w:color="auto" w:sz="4" w:space="0"/>
                    <w:bottom w:val="single" w:color="auto" w:sz="12" w:space="0"/>
                  </w:tcBorders>
                  <w:shd w:val="clear" w:color="auto" w:fill="auto"/>
                  <w:vAlign w:val="center"/>
                </w:tcPr>
                <w:p w14:paraId="1CF151E7">
                  <w:pPr>
                    <w:pStyle w:val="35"/>
                    <w:widowControl w:val="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43</w:t>
                  </w:r>
                </w:p>
              </w:tc>
              <w:tc>
                <w:tcPr>
                  <w:tcW w:w="839" w:type="pct"/>
                  <w:vMerge w:val="continue"/>
                  <w:tcBorders>
                    <w:bottom w:val="single" w:color="auto" w:sz="12" w:space="0"/>
                  </w:tcBorders>
                  <w:shd w:val="clear" w:color="auto" w:fill="auto"/>
                  <w:vAlign w:val="center"/>
                </w:tcPr>
                <w:p w14:paraId="65189A34">
                  <w:pPr>
                    <w:pStyle w:val="35"/>
                    <w:widowControl w:val="0"/>
                    <w:rPr>
                      <w:rFonts w:hint="eastAsia"/>
                      <w:color w:val="auto"/>
                      <w:lang w:val="en-US" w:eastAsia="zh-CN"/>
                    </w:rPr>
                  </w:pPr>
                </w:p>
              </w:tc>
            </w:tr>
          </w:tbl>
          <w:p w14:paraId="5D4416B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heme="minorBidi"/>
                <w:b w:val="0"/>
                <w:color w:val="auto"/>
                <w:kern w:val="2"/>
                <w:sz w:val="24"/>
                <w:szCs w:val="24"/>
                <w:lang w:val="en-US" w:eastAsia="zh-CN" w:bidi="ar-SA"/>
              </w:rPr>
            </w:pPr>
            <w:r>
              <w:rPr>
                <w:rFonts w:hint="default" w:ascii="Times New Roman" w:hAnsi="Times New Roman" w:eastAsia="宋体" w:cstheme="minorBidi"/>
                <w:b w:val="0"/>
                <w:color w:val="auto"/>
                <w:kern w:val="2"/>
                <w:sz w:val="24"/>
                <w:szCs w:val="24"/>
                <w:lang w:val="en-US" w:eastAsia="zh-CN" w:bidi="ar-SA"/>
              </w:rPr>
              <w:t>根据噪声监测结果对照标准可知，监测结果均</w:t>
            </w:r>
            <w:r>
              <w:rPr>
                <w:rFonts w:hint="eastAsia" w:cstheme="minorBidi"/>
                <w:b w:val="0"/>
                <w:color w:val="auto"/>
                <w:kern w:val="2"/>
                <w:sz w:val="24"/>
                <w:szCs w:val="24"/>
                <w:lang w:val="en-US" w:eastAsia="zh-CN" w:bidi="ar-SA"/>
              </w:rPr>
              <w:t>符合</w:t>
            </w:r>
            <w:r>
              <w:rPr>
                <w:rFonts w:hint="default" w:ascii="Times New Roman" w:hAnsi="Times New Roman" w:eastAsia="宋体" w:cstheme="minorBidi"/>
                <w:b w:val="0"/>
                <w:color w:val="auto"/>
                <w:kern w:val="2"/>
                <w:sz w:val="24"/>
                <w:szCs w:val="24"/>
                <w:lang w:val="en-US" w:eastAsia="zh-CN" w:bidi="ar-SA"/>
              </w:rPr>
              <w:t>《声环境质量标准》</w:t>
            </w:r>
            <w:r>
              <w:rPr>
                <w:rFonts w:hint="eastAsia" w:cstheme="minorBidi"/>
                <w:b w:val="0"/>
                <w:color w:val="auto"/>
                <w:kern w:val="2"/>
                <w:sz w:val="24"/>
                <w:szCs w:val="24"/>
                <w:lang w:val="en-US" w:eastAsia="zh-CN" w:bidi="ar-SA"/>
              </w:rPr>
              <w:t>（</w:t>
            </w:r>
            <w:r>
              <w:rPr>
                <w:rFonts w:hint="default" w:ascii="Times New Roman" w:hAnsi="Times New Roman" w:eastAsia="宋体" w:cstheme="minorBidi"/>
                <w:b w:val="0"/>
                <w:color w:val="auto"/>
                <w:kern w:val="2"/>
                <w:sz w:val="24"/>
                <w:szCs w:val="24"/>
                <w:lang w:val="en-US" w:eastAsia="zh-CN" w:bidi="ar-SA"/>
              </w:rPr>
              <w:t>GB3096-2008</w:t>
            </w:r>
            <w:r>
              <w:rPr>
                <w:rFonts w:hint="eastAsia" w:cstheme="minorBidi"/>
                <w:b w:val="0"/>
                <w:color w:val="auto"/>
                <w:kern w:val="2"/>
                <w:sz w:val="24"/>
                <w:szCs w:val="24"/>
                <w:lang w:val="en-US" w:eastAsia="zh-CN" w:bidi="ar-SA"/>
              </w:rPr>
              <w:t>）</w:t>
            </w:r>
            <w:r>
              <w:rPr>
                <w:rFonts w:hint="default" w:ascii="Times New Roman" w:hAnsi="Times New Roman" w:eastAsia="宋体" w:cstheme="minorBidi"/>
                <w:b w:val="0"/>
                <w:color w:val="auto"/>
                <w:kern w:val="2"/>
                <w:sz w:val="24"/>
                <w:szCs w:val="24"/>
                <w:lang w:val="en-US" w:eastAsia="zh-CN" w:bidi="ar-SA"/>
              </w:rPr>
              <w:t>中2类区标准。</w:t>
            </w:r>
          </w:p>
          <w:p w14:paraId="2DE45FA6">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 生态环境</w:t>
            </w:r>
          </w:p>
          <w:p w14:paraId="7474A3B9">
            <w:pPr>
              <w:pStyle w:val="3"/>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建设项目环境影响报告表编制技术指南（污染影响类）》，本项目租赁现有商铺，位于城市建成区内，用地周边主要为商铺、居民区和道路，无珍稀濒危物种、自然保护区、风景名胜区等生态环境保护目标，不属于生态敏感区，本次评价不开展生态环境现状调查</w:t>
            </w:r>
            <w:r>
              <w:rPr>
                <w:rFonts w:hint="eastAsia"/>
                <w:color w:val="000000" w:themeColor="text1"/>
                <w:lang w:eastAsia="zh-CN"/>
                <w14:textFill>
                  <w14:solidFill>
                    <w14:schemeClr w14:val="tx1"/>
                  </w14:solidFill>
                </w14:textFill>
              </w:rPr>
              <w:t>。</w:t>
            </w:r>
          </w:p>
          <w:p w14:paraId="1851EE06">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 xml:space="preserve"> </w:t>
            </w:r>
            <w:r>
              <w:rPr>
                <w:rFonts w:hint="eastAsia" w:ascii="Times New Roman" w:hAnsi="Times New Roman" w:eastAsia="宋体"/>
                <w:color w:val="000000" w:themeColor="text1"/>
                <w:lang w:val="en-US" w:eastAsia="zh-CN"/>
                <w14:textFill>
                  <w14:solidFill>
                    <w14:schemeClr w14:val="tx1"/>
                  </w14:solidFill>
                </w14:textFill>
              </w:rPr>
              <w:t>地下水、土壤环境</w:t>
            </w:r>
          </w:p>
          <w:p w14:paraId="57A54E74">
            <w:pPr>
              <w:pStyle w:val="3"/>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污染影响类</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》，地下水、土壤环境原则上不开展环境质量现状调查，建设项目存在地下水环境、土壤环境污染途径的</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应结合污染源、保护目标分布情况开展现状调查以留作背景值。本项目租赁商铺地面进行硬化，医疗废水经</w:t>
            </w:r>
            <w:r>
              <w:rPr>
                <w:rFonts w:hint="eastAsia"/>
                <w:color w:val="000000" w:themeColor="text1"/>
                <w:lang w:val="en-US" w:eastAsia="zh-CN"/>
                <w14:textFill>
                  <w14:solidFill>
                    <w14:schemeClr w14:val="tx1"/>
                  </w14:solidFill>
                </w14:textFill>
              </w:rPr>
              <w:t>过消毒设施消毒后排入市政管网</w:t>
            </w:r>
            <w:r>
              <w:rPr>
                <w:rFonts w:hint="eastAsia"/>
                <w:color w:val="000000" w:themeColor="text1"/>
                <w14:textFill>
                  <w14:solidFill>
                    <w14:schemeClr w14:val="tx1"/>
                  </w14:solidFill>
                </w14:textFill>
              </w:rPr>
              <w:t>，不存在入渗或地面漫流污染土壤的途径，项目排放的大气污染物仅有少量异味，不涉及重金属或</w:t>
            </w:r>
            <w:r>
              <w:rPr>
                <w:rFonts w:hint="eastAsia"/>
                <w:color w:val="000000" w:themeColor="text1"/>
                <w:lang w:val="en-US" w:eastAsia="zh-CN"/>
                <w14:textFill>
                  <w14:solidFill>
                    <w14:schemeClr w14:val="tx1"/>
                  </w14:solidFill>
                </w14:textFill>
              </w:rPr>
              <w:t>二噁英</w:t>
            </w:r>
            <w:r>
              <w:rPr>
                <w:rFonts w:hint="eastAsia"/>
                <w:color w:val="000000" w:themeColor="text1"/>
                <w14:textFill>
                  <w14:solidFill>
                    <w14:schemeClr w14:val="tx1"/>
                  </w14:solidFill>
                </w14:textFill>
              </w:rPr>
              <w:t>持久性有机大气污染物排放，不存在大气沉降污染地下水的途径，因此本次评价不开展地下水环境和土壤环境现状调查工作。</w:t>
            </w:r>
          </w:p>
          <w:p w14:paraId="2B7355F7">
            <w:pPr>
              <w:pStyle w:val="3"/>
              <w:ind w:left="0" w:leftChars="0" w:firstLine="0" w:firstLineChars="0"/>
              <w:jc w:val="both"/>
              <w:rPr>
                <w:rFonts w:hint="eastAsia" w:ascii="Times New Roman" w:hAnsi="Times New Roman" w:eastAsia="宋体" w:cstheme="minorBidi"/>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heme="minorBidi"/>
                <w:b/>
                <w:color w:val="000000" w:themeColor="text1"/>
                <w:kern w:val="2"/>
                <w:sz w:val="24"/>
                <w:szCs w:val="24"/>
                <w:lang w:val="en-US" w:eastAsia="zh-CN" w:bidi="ar-SA"/>
                <w14:textFill>
                  <w14:solidFill>
                    <w14:schemeClr w14:val="tx1"/>
                  </w14:solidFill>
                </w14:textFill>
              </w:rPr>
              <w:t>6 电磁辐射</w:t>
            </w:r>
          </w:p>
          <w:p w14:paraId="099B423C">
            <w:pPr>
              <w:pStyle w:val="3"/>
              <w:ind w:firstLine="480"/>
              <w:jc w:val="both"/>
              <w:rPr>
                <w:rFonts w:hint="default" w:ascii="Times New Roman" w:hAnsi="Times New Roman" w:eastAsia="宋体" w:cstheme="minorBidi"/>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本项目辐射源为一台DR装置（动物用X射线诊断装置），由建设单位另行委托专业单位</w:t>
            </w:r>
            <w:r>
              <w:rPr>
                <w:rFonts w:hint="eastAsia"/>
                <w:color w:val="000000" w:themeColor="text1"/>
                <w:lang w:val="en-US" w:eastAsia="zh-CN"/>
                <w14:textFill>
                  <w14:solidFill>
                    <w14:schemeClr w14:val="tx1"/>
                  </w14:solidFill>
                </w14:textFill>
              </w:rPr>
              <w:t>办理</w:t>
            </w:r>
            <w:r>
              <w:rPr>
                <w:rFonts w:hint="default" w:ascii="Times New Roman" w:hAnsi="Times New Roman" w:eastAsia="宋体"/>
                <w:color w:val="000000" w:themeColor="text1"/>
                <w:lang w:val="en-US" w:eastAsia="zh-CN"/>
                <w14:textFill>
                  <w14:solidFill>
                    <w14:schemeClr w14:val="tx1"/>
                  </w14:solidFill>
                </w14:textFill>
              </w:rPr>
              <w:t>辐射环评</w:t>
            </w:r>
            <w:r>
              <w:rPr>
                <w:rFonts w:hint="eastAsia"/>
                <w:color w:val="000000" w:themeColor="text1"/>
                <w:lang w:val="en-US" w:eastAsia="zh-CN"/>
                <w14:textFill>
                  <w14:solidFill>
                    <w14:schemeClr w14:val="tx1"/>
                  </w14:solidFill>
                </w14:textFill>
              </w:rPr>
              <w:t>手续</w:t>
            </w:r>
            <w:r>
              <w:rPr>
                <w:rFonts w:hint="default" w:ascii="Times New Roman" w:hAnsi="Times New Roman" w:eastAsia="宋体"/>
                <w:color w:val="000000" w:themeColor="text1"/>
                <w:lang w:val="en-US" w:eastAsia="zh-CN"/>
                <w14:textFill>
                  <w14:solidFill>
                    <w14:schemeClr w14:val="tx1"/>
                  </w14:solidFill>
                </w14:textFill>
              </w:rPr>
              <w:t>，不在本次评价范围内</w:t>
            </w:r>
            <w:r>
              <w:rPr>
                <w:rFonts w:hint="eastAsia" w:ascii="Times New Roman" w:hAnsi="Times New Roman" w:eastAsia="宋体"/>
                <w:color w:val="000000" w:themeColor="text1"/>
                <w:lang w:val="en-US" w:eastAsia="zh-CN"/>
                <w14:textFill>
                  <w14:solidFill>
                    <w14:schemeClr w14:val="tx1"/>
                  </w14:solidFill>
                </w14:textFill>
              </w:rPr>
              <w:t>。</w:t>
            </w:r>
          </w:p>
        </w:tc>
      </w:tr>
      <w:tr w14:paraId="698105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6" w:hRule="atLeast"/>
          <w:jc w:val="center"/>
        </w:trPr>
        <w:tc>
          <w:tcPr>
            <w:tcW w:w="622" w:type="dxa"/>
            <w:tcBorders>
              <w:tl2br w:val="nil"/>
              <w:tr2bl w:val="nil"/>
            </w:tcBorders>
            <w:vAlign w:val="center"/>
          </w:tcPr>
          <w:p w14:paraId="67F4971E">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环境</w:t>
            </w:r>
          </w:p>
          <w:p w14:paraId="0E60D3F5">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保护</w:t>
            </w:r>
          </w:p>
          <w:p w14:paraId="1F11E1C7">
            <w:pPr>
              <w:jc w:val="center"/>
              <w:rPr>
                <w:color w:val="000000" w:themeColor="text1"/>
                <w14:textFill>
                  <w14:solidFill>
                    <w14:schemeClr w14:val="tx1"/>
                  </w14:solidFill>
                </w14:textFill>
              </w:rPr>
            </w:pPr>
            <w:r>
              <w:rPr>
                <w:rFonts w:hint="eastAsia"/>
                <w:b w:val="0"/>
                <w:bCs/>
                <w:color w:val="000000" w:themeColor="text1"/>
                <w14:textFill>
                  <w14:solidFill>
                    <w14:schemeClr w14:val="tx1"/>
                  </w14:solidFill>
                </w14:textFill>
              </w:rPr>
              <w:t>目标</w:t>
            </w:r>
          </w:p>
        </w:tc>
        <w:tc>
          <w:tcPr>
            <w:tcW w:w="7900" w:type="dxa"/>
            <w:tcBorders>
              <w:tl2br w:val="nil"/>
              <w:tr2bl w:val="nil"/>
            </w:tcBorders>
          </w:tcPr>
          <w:p w14:paraId="2DE23727">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ascii="Times New Roman" w:hAnsi="Times New Roman" w:eastAsia="宋体"/>
                <w:color w:val="000000" w:themeColor="text1"/>
                <w:lang w:val="en-US" w:eastAsia="zh-CN"/>
                <w14:textFill>
                  <w14:solidFill>
                    <w14:schemeClr w14:val="tx1"/>
                  </w14:solidFill>
                </w14:textFill>
              </w:rPr>
              <w:t>大气环境</w:t>
            </w:r>
          </w:p>
          <w:p w14:paraId="0702135F">
            <w:pPr>
              <w:pStyle w:val="3"/>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根据对项目所在区域环境的现场调查，项目周边500米范围内主要为商业店铺和居住区。本项目主要环境空气环境保护目标与级别详见下表。</w:t>
            </w:r>
          </w:p>
          <w:p w14:paraId="0D1093A7">
            <w:pPr>
              <w:pStyle w:val="34"/>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表3-</w:t>
            </w:r>
            <w:r>
              <w:rPr>
                <w:rFonts w:hint="eastAsia"/>
                <w:color w:val="000000" w:themeColor="text1"/>
                <w:sz w:val="21"/>
                <w:szCs w:val="21"/>
                <w:lang w:val="en-US" w:eastAsia="zh-CN"/>
                <w14:textFill>
                  <w14:solidFill>
                    <w14:schemeClr w14:val="tx1"/>
                  </w14:solidFill>
                </w14:textFill>
              </w:rPr>
              <w:t>5</w:t>
            </w:r>
            <w:r>
              <w:rPr>
                <w:rFonts w:hint="eastAsia" w:ascii="Times New Roman" w:hAnsi="Times New Roman" w:eastAsia="宋体"/>
                <w:color w:val="000000" w:themeColor="text1"/>
                <w:sz w:val="21"/>
                <w:szCs w:val="21"/>
                <w14:textFill>
                  <w14:solidFill>
                    <w14:schemeClr w14:val="tx1"/>
                  </w14:solidFill>
                </w14:textFill>
              </w:rPr>
              <w:t xml:space="preserve">   </w:t>
            </w:r>
            <w:r>
              <w:rPr>
                <w:rFonts w:hint="eastAsia" w:ascii="Times New Roman" w:hAnsi="Times New Roman" w:eastAsia="宋体"/>
                <w:color w:val="000000" w:themeColor="text1"/>
                <w:sz w:val="21"/>
                <w:szCs w:val="21"/>
                <w:lang w:val="en-US" w:eastAsia="zh-CN"/>
                <w14:textFill>
                  <w14:solidFill>
                    <w14:schemeClr w14:val="tx1"/>
                  </w14:solidFill>
                </w14:textFill>
              </w:rPr>
              <w:t>本项目大气环境保护目标及保护级别一览表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054"/>
              <w:gridCol w:w="1850"/>
              <w:gridCol w:w="990"/>
              <w:gridCol w:w="1060"/>
              <w:gridCol w:w="1031"/>
            </w:tblGrid>
            <w:tr w14:paraId="19D02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53" w:type="pct"/>
                  <w:tcBorders>
                    <w:bottom w:val="single" w:color="auto" w:sz="12" w:space="0"/>
                  </w:tcBorders>
                  <w:vAlign w:val="center"/>
                </w:tcPr>
                <w:p w14:paraId="7EAB5066">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环境要素</w:t>
                  </w:r>
                </w:p>
              </w:tc>
              <w:tc>
                <w:tcPr>
                  <w:tcW w:w="1337" w:type="pct"/>
                  <w:tcBorders>
                    <w:bottom w:val="single" w:color="auto" w:sz="12" w:space="0"/>
                  </w:tcBorders>
                  <w:vAlign w:val="center"/>
                </w:tcPr>
                <w:p w14:paraId="48EE6378">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保护目标</w:t>
                  </w:r>
                </w:p>
              </w:tc>
              <w:tc>
                <w:tcPr>
                  <w:tcW w:w="1204" w:type="pct"/>
                  <w:tcBorders>
                    <w:bottom w:val="single" w:color="auto" w:sz="12" w:space="0"/>
                  </w:tcBorders>
                  <w:vAlign w:val="center"/>
                </w:tcPr>
                <w:p w14:paraId="03C5036B">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保护对象/人数</w:t>
                  </w:r>
                </w:p>
              </w:tc>
              <w:tc>
                <w:tcPr>
                  <w:tcW w:w="644" w:type="pct"/>
                  <w:tcBorders>
                    <w:bottom w:val="single" w:color="auto" w:sz="12" w:space="0"/>
                  </w:tcBorders>
                  <w:vAlign w:val="center"/>
                </w:tcPr>
                <w:p w14:paraId="606BA29D">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相对厂址位置</w:t>
                  </w:r>
                </w:p>
              </w:tc>
              <w:tc>
                <w:tcPr>
                  <w:tcW w:w="690" w:type="pct"/>
                  <w:tcBorders>
                    <w:bottom w:val="single" w:color="auto" w:sz="12" w:space="0"/>
                  </w:tcBorders>
                  <w:vAlign w:val="center"/>
                </w:tcPr>
                <w:p w14:paraId="04E5AB35">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相对厂址距离/米</w:t>
                  </w:r>
                </w:p>
              </w:tc>
              <w:tc>
                <w:tcPr>
                  <w:tcW w:w="671" w:type="pct"/>
                  <w:tcBorders>
                    <w:bottom w:val="single" w:color="auto" w:sz="12" w:space="0"/>
                  </w:tcBorders>
                  <w:vAlign w:val="center"/>
                </w:tcPr>
                <w:p w14:paraId="2DD26AFF">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保护级别</w:t>
                  </w:r>
                </w:p>
              </w:tc>
            </w:tr>
            <w:tr w14:paraId="197A9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restart"/>
                  <w:vAlign w:val="center"/>
                </w:tcPr>
                <w:p w14:paraId="046AC8FE">
                  <w:pPr>
                    <w:pStyle w:val="3"/>
                    <w:bidi w:val="0"/>
                    <w:ind w:left="0" w:leftChars="0" w:firstLine="0" w:firstLineChars="0"/>
                    <w:jc w:val="both"/>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大气环境</w:t>
                  </w:r>
                </w:p>
              </w:tc>
              <w:tc>
                <w:tcPr>
                  <w:tcW w:w="1337" w:type="pct"/>
                  <w:tcBorders>
                    <w:top w:val="single" w:color="auto" w:sz="12" w:space="0"/>
                    <w:bottom w:val="single" w:color="auto" w:sz="4" w:space="0"/>
                  </w:tcBorders>
                  <w:vAlign w:val="center"/>
                </w:tcPr>
                <w:p w14:paraId="5B95B597">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圣水华庭住宅小区</w:t>
                  </w:r>
                </w:p>
              </w:tc>
              <w:tc>
                <w:tcPr>
                  <w:tcW w:w="1204" w:type="pct"/>
                  <w:tcBorders>
                    <w:top w:val="single" w:color="auto" w:sz="12" w:space="0"/>
                    <w:bottom w:val="single" w:color="auto" w:sz="4" w:space="0"/>
                  </w:tcBorders>
                  <w:vAlign w:val="center"/>
                </w:tcPr>
                <w:p w14:paraId="57A0A724">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居民/600人</w:t>
                  </w:r>
                </w:p>
              </w:tc>
              <w:tc>
                <w:tcPr>
                  <w:tcW w:w="644" w:type="pct"/>
                  <w:tcBorders>
                    <w:top w:val="single" w:color="auto" w:sz="12" w:space="0"/>
                    <w:bottom w:val="single" w:color="auto" w:sz="4" w:space="0"/>
                  </w:tcBorders>
                  <w:vAlign w:val="center"/>
                </w:tcPr>
                <w:p w14:paraId="00289AE4">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南侧</w:t>
                  </w:r>
                </w:p>
              </w:tc>
              <w:tc>
                <w:tcPr>
                  <w:tcW w:w="690" w:type="pct"/>
                  <w:tcBorders>
                    <w:top w:val="single" w:color="auto" w:sz="12" w:space="0"/>
                    <w:bottom w:val="single" w:color="auto" w:sz="4" w:space="0"/>
                  </w:tcBorders>
                  <w:vAlign w:val="center"/>
                </w:tcPr>
                <w:p w14:paraId="00BF4210">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w:t>
                  </w:r>
                </w:p>
              </w:tc>
              <w:tc>
                <w:tcPr>
                  <w:tcW w:w="671" w:type="pct"/>
                  <w:vMerge w:val="restart"/>
                  <w:vAlign w:val="center"/>
                </w:tcPr>
                <w:p w14:paraId="6B69784F">
                  <w:pPr>
                    <w:pStyle w:val="3"/>
                    <w:bidi w:val="0"/>
                    <w:ind w:left="0" w:leftChars="0" w:firstLine="0" w:firstLineChars="0"/>
                    <w:jc w:val="center"/>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《环境空气质量标准》（GB3095-2012的二级标准及修改单</w:t>
                  </w:r>
                </w:p>
              </w:tc>
            </w:tr>
            <w:tr w14:paraId="58D39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vAlign w:val="center"/>
                </w:tcPr>
                <w:p w14:paraId="254B0CC7">
                  <w:pPr>
                    <w:pStyle w:val="3"/>
                    <w:bidi w:val="0"/>
                    <w:ind w:left="0" w:leftChars="0" w:firstLine="0" w:firstLineChars="0"/>
                    <w:jc w:val="both"/>
                    <w:rPr>
                      <w:rFonts w:hint="eastAsia"/>
                      <w:color w:val="000000" w:themeColor="text1"/>
                      <w:sz w:val="21"/>
                      <w:szCs w:val="21"/>
                      <w:vertAlign w:val="baseline"/>
                      <w:lang w:val="en-US" w:eastAsia="zh-CN"/>
                      <w14:textFill>
                        <w14:solidFill>
                          <w14:schemeClr w14:val="tx1"/>
                        </w14:solidFill>
                      </w14:textFill>
                    </w:rPr>
                  </w:pPr>
                </w:p>
              </w:tc>
              <w:tc>
                <w:tcPr>
                  <w:tcW w:w="1337" w:type="pct"/>
                  <w:tcBorders>
                    <w:top w:val="single" w:color="auto" w:sz="12" w:space="0"/>
                    <w:bottom w:val="single" w:color="auto" w:sz="4" w:space="0"/>
                  </w:tcBorders>
                  <w:vAlign w:val="center"/>
                </w:tcPr>
                <w:p w14:paraId="54B537D5">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古城明珠小区</w:t>
                  </w:r>
                </w:p>
              </w:tc>
              <w:tc>
                <w:tcPr>
                  <w:tcW w:w="1204" w:type="pct"/>
                  <w:tcBorders>
                    <w:top w:val="single" w:color="auto" w:sz="12" w:space="0"/>
                    <w:bottom w:val="single" w:color="auto" w:sz="4" w:space="0"/>
                  </w:tcBorders>
                  <w:vAlign w:val="center"/>
                </w:tcPr>
                <w:p w14:paraId="4D8B5F8E">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居民/500人</w:t>
                  </w:r>
                </w:p>
              </w:tc>
              <w:tc>
                <w:tcPr>
                  <w:tcW w:w="644" w:type="pct"/>
                  <w:tcBorders>
                    <w:top w:val="single" w:color="auto" w:sz="12" w:space="0"/>
                    <w:bottom w:val="single" w:color="auto" w:sz="4" w:space="0"/>
                  </w:tcBorders>
                  <w:vAlign w:val="center"/>
                </w:tcPr>
                <w:p w14:paraId="77614AA5">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北侧</w:t>
                  </w:r>
                </w:p>
              </w:tc>
              <w:tc>
                <w:tcPr>
                  <w:tcW w:w="690" w:type="pct"/>
                  <w:tcBorders>
                    <w:top w:val="single" w:color="auto" w:sz="12" w:space="0"/>
                    <w:bottom w:val="single" w:color="auto" w:sz="4" w:space="0"/>
                  </w:tcBorders>
                  <w:vAlign w:val="center"/>
                </w:tcPr>
                <w:p w14:paraId="543A78D5">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70</w:t>
                  </w:r>
                </w:p>
              </w:tc>
              <w:tc>
                <w:tcPr>
                  <w:tcW w:w="671" w:type="pct"/>
                  <w:vMerge w:val="continue"/>
                  <w:vAlign w:val="center"/>
                </w:tcPr>
                <w:p w14:paraId="7551A7A3">
                  <w:pPr>
                    <w:pStyle w:val="3"/>
                    <w:bidi w:val="0"/>
                    <w:ind w:left="0" w:leftChars="0" w:firstLine="0" w:firstLineChars="0"/>
                    <w:jc w:val="center"/>
                    <w:rPr>
                      <w:rFonts w:hint="eastAsia"/>
                      <w:color w:val="000000" w:themeColor="text1"/>
                      <w:sz w:val="21"/>
                      <w:szCs w:val="21"/>
                      <w:vertAlign w:val="baseline"/>
                      <w:lang w:val="en-US" w:eastAsia="zh-CN"/>
                      <w14:textFill>
                        <w14:solidFill>
                          <w14:schemeClr w14:val="tx1"/>
                        </w14:solidFill>
                      </w14:textFill>
                    </w:rPr>
                  </w:pPr>
                </w:p>
              </w:tc>
            </w:tr>
            <w:tr w14:paraId="5FA9D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53" w:type="pct"/>
                  <w:vMerge w:val="continue"/>
                  <w:tcBorders>
                    <w:tl2br w:val="nil"/>
                    <w:tr2bl w:val="nil"/>
                  </w:tcBorders>
                  <w:vAlign w:val="center"/>
                </w:tcPr>
                <w:p w14:paraId="727D0CC7">
                  <w:pPr>
                    <w:pStyle w:val="3"/>
                    <w:bidi w:val="0"/>
                    <w:ind w:left="0" w:leftChars="0" w:firstLine="0" w:firstLineChars="0"/>
                    <w:jc w:val="both"/>
                    <w:rPr>
                      <w:rFonts w:hint="default"/>
                      <w:color w:val="000000" w:themeColor="text1"/>
                      <w:sz w:val="21"/>
                      <w:szCs w:val="21"/>
                      <w:vertAlign w:val="baseline"/>
                      <w:lang w:val="en-US" w:eastAsia="zh-CN"/>
                      <w14:textFill>
                        <w14:solidFill>
                          <w14:schemeClr w14:val="tx1"/>
                        </w14:solidFill>
                      </w14:textFill>
                    </w:rPr>
                  </w:pPr>
                </w:p>
              </w:tc>
              <w:tc>
                <w:tcPr>
                  <w:tcW w:w="1337" w:type="pct"/>
                  <w:tcBorders>
                    <w:top w:val="single" w:color="auto" w:sz="4" w:space="0"/>
                    <w:tl2br w:val="nil"/>
                    <w:tr2bl w:val="nil"/>
                  </w:tcBorders>
                  <w:vAlign w:val="center"/>
                </w:tcPr>
                <w:p w14:paraId="7D346EBB">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金天地·锦绣华城</w:t>
                  </w:r>
                </w:p>
              </w:tc>
              <w:tc>
                <w:tcPr>
                  <w:tcW w:w="1204" w:type="pct"/>
                  <w:tcBorders>
                    <w:top w:val="single" w:color="auto" w:sz="4" w:space="0"/>
                    <w:tl2br w:val="nil"/>
                    <w:tr2bl w:val="nil"/>
                  </w:tcBorders>
                  <w:vAlign w:val="center"/>
                </w:tcPr>
                <w:p w14:paraId="1BA3244A">
                  <w:pPr>
                    <w:pStyle w:val="3"/>
                    <w:bidi w:val="0"/>
                    <w:ind w:left="0" w:leftChars="0" w:firstLine="0" w:firstLineChars="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居民/600人</w:t>
                  </w:r>
                </w:p>
              </w:tc>
              <w:tc>
                <w:tcPr>
                  <w:tcW w:w="644" w:type="pct"/>
                  <w:tcBorders>
                    <w:top w:val="single" w:color="auto" w:sz="4" w:space="0"/>
                    <w:tl2br w:val="nil"/>
                    <w:tr2bl w:val="nil"/>
                  </w:tcBorders>
                  <w:vAlign w:val="center"/>
                </w:tcPr>
                <w:p w14:paraId="732613FA">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北侧</w:t>
                  </w:r>
                </w:p>
              </w:tc>
              <w:tc>
                <w:tcPr>
                  <w:tcW w:w="690" w:type="pct"/>
                  <w:tcBorders>
                    <w:top w:val="single" w:color="auto" w:sz="4" w:space="0"/>
                    <w:tl2br w:val="nil"/>
                    <w:tr2bl w:val="nil"/>
                  </w:tcBorders>
                  <w:vAlign w:val="center"/>
                </w:tcPr>
                <w:p w14:paraId="78577B26">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365</w:t>
                  </w:r>
                </w:p>
              </w:tc>
              <w:tc>
                <w:tcPr>
                  <w:tcW w:w="671" w:type="pct"/>
                  <w:vMerge w:val="continue"/>
                  <w:tcBorders>
                    <w:tl2br w:val="nil"/>
                    <w:tr2bl w:val="nil"/>
                  </w:tcBorders>
                  <w:vAlign w:val="center"/>
                </w:tcPr>
                <w:p w14:paraId="73AA4AFA">
                  <w:pPr>
                    <w:pStyle w:val="3"/>
                    <w:bidi w:val="0"/>
                    <w:ind w:left="0" w:leftChars="0" w:firstLine="0" w:firstLineChars="0"/>
                    <w:jc w:val="both"/>
                    <w:rPr>
                      <w:rFonts w:hint="eastAsia"/>
                      <w:color w:val="000000" w:themeColor="text1"/>
                      <w:sz w:val="21"/>
                      <w:szCs w:val="21"/>
                      <w:vertAlign w:val="baseline"/>
                      <w:lang w:val="en-US" w:eastAsia="zh-CN"/>
                      <w14:textFill>
                        <w14:solidFill>
                          <w14:schemeClr w14:val="tx1"/>
                        </w14:solidFill>
                      </w14:textFill>
                    </w:rPr>
                  </w:pPr>
                </w:p>
              </w:tc>
            </w:tr>
            <w:tr w14:paraId="287A1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tcBorders>
                    <w:tl2br w:val="nil"/>
                    <w:tr2bl w:val="nil"/>
                  </w:tcBorders>
                  <w:vAlign w:val="center"/>
                </w:tcPr>
                <w:p w14:paraId="3F0E7088">
                  <w:pPr>
                    <w:pStyle w:val="3"/>
                    <w:bidi w:val="0"/>
                    <w:jc w:val="both"/>
                    <w:rPr>
                      <w:rFonts w:hint="eastAsia"/>
                      <w:color w:val="000000" w:themeColor="text1"/>
                      <w:sz w:val="21"/>
                      <w:szCs w:val="21"/>
                      <w:vertAlign w:val="baseline"/>
                      <w:lang w:val="en-US" w:eastAsia="zh-CN"/>
                      <w14:textFill>
                        <w14:solidFill>
                          <w14:schemeClr w14:val="tx1"/>
                        </w14:solidFill>
                      </w14:textFill>
                    </w:rPr>
                  </w:pPr>
                </w:p>
              </w:tc>
              <w:tc>
                <w:tcPr>
                  <w:tcW w:w="1337" w:type="pct"/>
                  <w:tcBorders>
                    <w:tl2br w:val="nil"/>
                    <w:tr2bl w:val="nil"/>
                  </w:tcBorders>
                  <w:vAlign w:val="center"/>
                </w:tcPr>
                <w:p w14:paraId="3432A80A">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现代花苑</w:t>
                  </w:r>
                </w:p>
              </w:tc>
              <w:tc>
                <w:tcPr>
                  <w:tcW w:w="1204" w:type="pct"/>
                  <w:tcBorders>
                    <w:tl2br w:val="nil"/>
                    <w:tr2bl w:val="nil"/>
                  </w:tcBorders>
                  <w:vAlign w:val="center"/>
                </w:tcPr>
                <w:p w14:paraId="1023E115">
                  <w:pPr>
                    <w:pStyle w:val="3"/>
                    <w:bidi w:val="0"/>
                    <w:ind w:left="0" w:leftChars="0" w:firstLine="0" w:firstLineChars="0"/>
                    <w:jc w:val="center"/>
                    <w:rPr>
                      <w:rFonts w:hint="default"/>
                      <w:b w:val="0"/>
                      <w:bCs w:val="0"/>
                      <w:color w:val="000000" w:themeColor="text1"/>
                      <w:sz w:val="21"/>
                      <w:szCs w:val="21"/>
                      <w:vertAlign w:val="baseline"/>
                      <w:lang w:val="en-US" w:eastAsia="zh-CN"/>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居民/180人</w:t>
                  </w:r>
                </w:p>
              </w:tc>
              <w:tc>
                <w:tcPr>
                  <w:tcW w:w="644" w:type="pct"/>
                  <w:tcBorders>
                    <w:tl2br w:val="nil"/>
                    <w:tr2bl w:val="nil"/>
                  </w:tcBorders>
                  <w:vAlign w:val="center"/>
                </w:tcPr>
                <w:p w14:paraId="566905C4">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东北侧</w:t>
                  </w:r>
                </w:p>
              </w:tc>
              <w:tc>
                <w:tcPr>
                  <w:tcW w:w="690" w:type="pct"/>
                  <w:tcBorders>
                    <w:tl2br w:val="nil"/>
                    <w:tr2bl w:val="nil"/>
                  </w:tcBorders>
                  <w:vAlign w:val="center"/>
                </w:tcPr>
                <w:p w14:paraId="3832EE3E">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285</w:t>
                  </w:r>
                </w:p>
              </w:tc>
              <w:tc>
                <w:tcPr>
                  <w:tcW w:w="671" w:type="pct"/>
                  <w:vMerge w:val="continue"/>
                  <w:tcBorders>
                    <w:tl2br w:val="nil"/>
                    <w:tr2bl w:val="nil"/>
                  </w:tcBorders>
                  <w:vAlign w:val="center"/>
                </w:tcPr>
                <w:p w14:paraId="10D921B0">
                  <w:pPr>
                    <w:pStyle w:val="3"/>
                    <w:bidi w:val="0"/>
                    <w:jc w:val="both"/>
                    <w:rPr>
                      <w:rFonts w:hint="eastAsia"/>
                      <w:color w:val="000000" w:themeColor="text1"/>
                      <w:sz w:val="21"/>
                      <w:szCs w:val="21"/>
                      <w:vertAlign w:val="baseline"/>
                      <w:lang w:val="en-US" w:eastAsia="zh-CN"/>
                      <w14:textFill>
                        <w14:solidFill>
                          <w14:schemeClr w14:val="tx1"/>
                        </w14:solidFill>
                      </w14:textFill>
                    </w:rPr>
                  </w:pPr>
                </w:p>
              </w:tc>
            </w:tr>
            <w:tr w14:paraId="2A99C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tcBorders>
                    <w:tl2br w:val="nil"/>
                    <w:tr2bl w:val="nil"/>
                  </w:tcBorders>
                  <w:vAlign w:val="center"/>
                </w:tcPr>
                <w:p w14:paraId="07D29A4B">
                  <w:pPr>
                    <w:pStyle w:val="3"/>
                    <w:bidi w:val="0"/>
                    <w:jc w:val="both"/>
                    <w:rPr>
                      <w:rFonts w:hint="eastAsia"/>
                      <w:color w:val="000000" w:themeColor="text1"/>
                      <w:sz w:val="21"/>
                      <w:szCs w:val="21"/>
                      <w:vertAlign w:val="baseline"/>
                      <w:lang w:val="en-US" w:eastAsia="zh-CN"/>
                      <w14:textFill>
                        <w14:solidFill>
                          <w14:schemeClr w14:val="tx1"/>
                        </w14:solidFill>
                      </w14:textFill>
                    </w:rPr>
                  </w:pPr>
                </w:p>
              </w:tc>
              <w:tc>
                <w:tcPr>
                  <w:tcW w:w="1337" w:type="pct"/>
                  <w:tcBorders>
                    <w:tl2br w:val="nil"/>
                    <w:tr2bl w:val="nil"/>
                  </w:tcBorders>
                  <w:vAlign w:val="center"/>
                </w:tcPr>
                <w:p w14:paraId="5459A49A">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圣水名城</w:t>
                  </w:r>
                </w:p>
              </w:tc>
              <w:tc>
                <w:tcPr>
                  <w:tcW w:w="1204" w:type="pct"/>
                  <w:tcBorders>
                    <w:tl2br w:val="nil"/>
                    <w:tr2bl w:val="nil"/>
                  </w:tcBorders>
                  <w:shd w:val="clear" w:color="auto" w:fill="auto"/>
                  <w:vAlign w:val="center"/>
                </w:tcPr>
                <w:p w14:paraId="38E04B2D">
                  <w:pPr>
                    <w:pStyle w:val="3"/>
                    <w:bidi w:val="0"/>
                    <w:ind w:left="0" w:leftChars="0" w:firstLine="0" w:firstLineChars="0"/>
                    <w:jc w:val="center"/>
                    <w:rPr>
                      <w:rFonts w:hint="default" w:ascii="Times New Roman" w:hAnsi="Times New Roman" w:eastAsia="宋体" w:cstheme="minorBidi"/>
                      <w:b w:val="0"/>
                      <w:bCs w:val="0"/>
                      <w:color w:val="000000" w:themeColor="text1"/>
                      <w:kern w:val="2"/>
                      <w:sz w:val="21"/>
                      <w:szCs w:val="21"/>
                      <w:vertAlign w:val="baseline"/>
                      <w:lang w:val="en-US" w:eastAsia="zh-CN" w:bidi="ar-SA"/>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居民/700人</w:t>
                  </w:r>
                </w:p>
              </w:tc>
              <w:tc>
                <w:tcPr>
                  <w:tcW w:w="644" w:type="pct"/>
                  <w:tcBorders>
                    <w:tl2br w:val="nil"/>
                    <w:tr2bl w:val="nil"/>
                  </w:tcBorders>
                  <w:shd w:val="clear" w:color="auto" w:fill="auto"/>
                  <w:vAlign w:val="center"/>
                </w:tcPr>
                <w:p w14:paraId="3702AE3E">
                  <w:pPr>
                    <w:pStyle w:val="3"/>
                    <w:bidi w:val="0"/>
                    <w:ind w:left="0" w:leftChars="0" w:firstLine="0" w:firstLineChars="0"/>
                    <w:jc w:val="center"/>
                    <w:rPr>
                      <w:rFonts w:hint="eastAsia"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西北侧</w:t>
                  </w:r>
                </w:p>
              </w:tc>
              <w:tc>
                <w:tcPr>
                  <w:tcW w:w="690" w:type="pct"/>
                  <w:tcBorders>
                    <w:tl2br w:val="nil"/>
                    <w:tr2bl w:val="nil"/>
                  </w:tcBorders>
                  <w:shd w:val="clear" w:color="auto" w:fill="auto"/>
                  <w:vAlign w:val="center"/>
                </w:tcPr>
                <w:p w14:paraId="721C08F8">
                  <w:pPr>
                    <w:pStyle w:val="3"/>
                    <w:bidi w:val="0"/>
                    <w:ind w:left="0" w:leftChars="0" w:firstLine="0" w:firstLineChars="0"/>
                    <w:jc w:val="center"/>
                    <w:rPr>
                      <w:rFonts w:hint="default"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cstheme="minorBidi"/>
                      <w:b w:val="0"/>
                      <w:color w:val="000000" w:themeColor="text1"/>
                      <w:kern w:val="2"/>
                      <w:sz w:val="21"/>
                      <w:szCs w:val="21"/>
                      <w:vertAlign w:val="baseline"/>
                      <w:lang w:val="en-US" w:eastAsia="zh-CN" w:bidi="ar-SA"/>
                      <w14:textFill>
                        <w14:solidFill>
                          <w14:schemeClr w14:val="tx1"/>
                        </w14:solidFill>
                      </w14:textFill>
                    </w:rPr>
                    <w:t>378</w:t>
                  </w:r>
                </w:p>
              </w:tc>
              <w:tc>
                <w:tcPr>
                  <w:tcW w:w="671" w:type="pct"/>
                  <w:vMerge w:val="continue"/>
                  <w:tcBorders>
                    <w:tl2br w:val="nil"/>
                    <w:tr2bl w:val="nil"/>
                  </w:tcBorders>
                  <w:vAlign w:val="center"/>
                </w:tcPr>
                <w:p w14:paraId="60142680">
                  <w:pPr>
                    <w:pStyle w:val="3"/>
                    <w:bidi w:val="0"/>
                    <w:jc w:val="both"/>
                    <w:rPr>
                      <w:rFonts w:hint="eastAsia"/>
                      <w:color w:val="000000" w:themeColor="text1"/>
                      <w:sz w:val="21"/>
                      <w:szCs w:val="21"/>
                      <w:vertAlign w:val="baseline"/>
                      <w:lang w:val="en-US" w:eastAsia="zh-CN"/>
                      <w14:textFill>
                        <w14:solidFill>
                          <w14:schemeClr w14:val="tx1"/>
                        </w14:solidFill>
                      </w14:textFill>
                    </w:rPr>
                  </w:pPr>
                </w:p>
              </w:tc>
            </w:tr>
            <w:tr w14:paraId="2AD20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tcBorders>
                    <w:tl2br w:val="nil"/>
                    <w:tr2bl w:val="nil"/>
                  </w:tcBorders>
                  <w:vAlign w:val="center"/>
                </w:tcPr>
                <w:p w14:paraId="621F2354">
                  <w:pPr>
                    <w:pStyle w:val="3"/>
                    <w:bidi w:val="0"/>
                    <w:jc w:val="both"/>
                    <w:rPr>
                      <w:rFonts w:hint="eastAsia"/>
                      <w:color w:val="000000" w:themeColor="text1"/>
                      <w:sz w:val="21"/>
                      <w:szCs w:val="21"/>
                      <w:vertAlign w:val="baseline"/>
                      <w:lang w:val="en-US" w:eastAsia="zh-CN"/>
                      <w14:textFill>
                        <w14:solidFill>
                          <w14:schemeClr w14:val="tx1"/>
                        </w14:solidFill>
                      </w14:textFill>
                    </w:rPr>
                  </w:pPr>
                </w:p>
              </w:tc>
              <w:tc>
                <w:tcPr>
                  <w:tcW w:w="1337" w:type="pct"/>
                  <w:tcBorders>
                    <w:tl2br w:val="nil"/>
                    <w:tr2bl w:val="nil"/>
                  </w:tcBorders>
                  <w:vAlign w:val="center"/>
                </w:tcPr>
                <w:p w14:paraId="6E0A9B95">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锦绣家园</w:t>
                  </w:r>
                </w:p>
              </w:tc>
              <w:tc>
                <w:tcPr>
                  <w:tcW w:w="1204" w:type="pct"/>
                  <w:tcBorders>
                    <w:tl2br w:val="nil"/>
                    <w:tr2bl w:val="nil"/>
                  </w:tcBorders>
                  <w:shd w:val="clear" w:color="auto" w:fill="auto"/>
                  <w:vAlign w:val="center"/>
                </w:tcPr>
                <w:p w14:paraId="3E615EBB">
                  <w:pPr>
                    <w:pStyle w:val="3"/>
                    <w:bidi w:val="0"/>
                    <w:ind w:left="0" w:leftChars="0" w:firstLine="0" w:firstLineChars="0"/>
                    <w:jc w:val="center"/>
                    <w:rPr>
                      <w:rFonts w:hint="eastAsia" w:ascii="Times New Roman" w:hAnsi="Times New Roman" w:eastAsia="宋体" w:cstheme="minorBidi"/>
                      <w:b w:val="0"/>
                      <w:bCs w:val="0"/>
                      <w:color w:val="000000" w:themeColor="text1"/>
                      <w:kern w:val="2"/>
                      <w:sz w:val="21"/>
                      <w:szCs w:val="21"/>
                      <w:vertAlign w:val="baseline"/>
                      <w:lang w:val="en-US" w:eastAsia="zh-CN" w:bidi="ar-SA"/>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居民/300人</w:t>
                  </w:r>
                </w:p>
              </w:tc>
              <w:tc>
                <w:tcPr>
                  <w:tcW w:w="644" w:type="pct"/>
                  <w:tcBorders>
                    <w:tl2br w:val="nil"/>
                    <w:tr2bl w:val="nil"/>
                  </w:tcBorders>
                  <w:shd w:val="clear" w:color="auto" w:fill="auto"/>
                  <w:vAlign w:val="center"/>
                </w:tcPr>
                <w:p w14:paraId="6762933E">
                  <w:pPr>
                    <w:pStyle w:val="3"/>
                    <w:bidi w:val="0"/>
                    <w:ind w:left="0" w:leftChars="0" w:firstLine="0" w:firstLineChars="0"/>
                    <w:jc w:val="center"/>
                    <w:rPr>
                      <w:rFonts w:hint="eastAsia"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西侧</w:t>
                  </w:r>
                </w:p>
              </w:tc>
              <w:tc>
                <w:tcPr>
                  <w:tcW w:w="690" w:type="pct"/>
                  <w:tcBorders>
                    <w:tl2br w:val="nil"/>
                    <w:tr2bl w:val="nil"/>
                  </w:tcBorders>
                  <w:shd w:val="clear" w:color="auto" w:fill="auto"/>
                  <w:vAlign w:val="center"/>
                </w:tcPr>
                <w:p w14:paraId="12964022">
                  <w:pPr>
                    <w:pStyle w:val="3"/>
                    <w:bidi w:val="0"/>
                    <w:ind w:left="0" w:leftChars="0" w:firstLine="0" w:firstLineChars="0"/>
                    <w:jc w:val="center"/>
                    <w:rPr>
                      <w:rFonts w:hint="default"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342</w:t>
                  </w:r>
                </w:p>
              </w:tc>
              <w:tc>
                <w:tcPr>
                  <w:tcW w:w="671" w:type="pct"/>
                  <w:vMerge w:val="continue"/>
                  <w:tcBorders>
                    <w:tl2br w:val="nil"/>
                    <w:tr2bl w:val="nil"/>
                  </w:tcBorders>
                  <w:vAlign w:val="center"/>
                </w:tcPr>
                <w:p w14:paraId="75913CED">
                  <w:pPr>
                    <w:pStyle w:val="3"/>
                    <w:bidi w:val="0"/>
                    <w:jc w:val="both"/>
                    <w:rPr>
                      <w:rFonts w:hint="eastAsia"/>
                      <w:color w:val="000000" w:themeColor="text1"/>
                      <w:sz w:val="21"/>
                      <w:szCs w:val="21"/>
                      <w:vertAlign w:val="baseline"/>
                      <w:lang w:val="en-US" w:eastAsia="zh-CN"/>
                      <w14:textFill>
                        <w14:solidFill>
                          <w14:schemeClr w14:val="tx1"/>
                        </w14:solidFill>
                      </w14:textFill>
                    </w:rPr>
                  </w:pPr>
                </w:p>
              </w:tc>
            </w:tr>
            <w:tr w14:paraId="4C778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tcBorders>
                    <w:tl2br w:val="nil"/>
                    <w:tr2bl w:val="nil"/>
                  </w:tcBorders>
                  <w:vAlign w:val="center"/>
                </w:tcPr>
                <w:p w14:paraId="5DBD0330">
                  <w:pPr>
                    <w:pStyle w:val="3"/>
                    <w:bidi w:val="0"/>
                    <w:jc w:val="both"/>
                    <w:rPr>
                      <w:rFonts w:hint="eastAsia"/>
                      <w:color w:val="000000" w:themeColor="text1"/>
                      <w:sz w:val="21"/>
                      <w:szCs w:val="21"/>
                      <w:vertAlign w:val="baseline"/>
                      <w:lang w:val="en-US" w:eastAsia="zh-CN"/>
                      <w14:textFill>
                        <w14:solidFill>
                          <w14:schemeClr w14:val="tx1"/>
                        </w14:solidFill>
                      </w14:textFill>
                    </w:rPr>
                  </w:pPr>
                </w:p>
              </w:tc>
              <w:tc>
                <w:tcPr>
                  <w:tcW w:w="1337" w:type="pct"/>
                  <w:tcBorders>
                    <w:tl2br w:val="nil"/>
                    <w:tr2bl w:val="nil"/>
                  </w:tcBorders>
                  <w:vAlign w:val="center"/>
                </w:tcPr>
                <w:p w14:paraId="63AAAAB2">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金利宾馆</w:t>
                  </w:r>
                </w:p>
              </w:tc>
              <w:tc>
                <w:tcPr>
                  <w:tcW w:w="1204" w:type="pct"/>
                  <w:tcBorders>
                    <w:tl2br w:val="nil"/>
                    <w:tr2bl w:val="nil"/>
                  </w:tcBorders>
                  <w:shd w:val="clear" w:color="auto" w:fill="auto"/>
                  <w:vAlign w:val="center"/>
                </w:tcPr>
                <w:p w14:paraId="6464AC51">
                  <w:pPr>
                    <w:pStyle w:val="3"/>
                    <w:bidi w:val="0"/>
                    <w:ind w:left="0" w:leftChars="0" w:firstLine="0" w:firstLineChars="0"/>
                    <w:jc w:val="center"/>
                    <w:rPr>
                      <w:rFonts w:hint="default" w:ascii="Times New Roman" w:hAnsi="Times New Roman" w:eastAsia="宋体" w:cstheme="minorBidi"/>
                      <w:b w:val="0"/>
                      <w:bCs w:val="0"/>
                      <w:color w:val="000000" w:themeColor="text1"/>
                      <w:kern w:val="2"/>
                      <w:sz w:val="21"/>
                      <w:szCs w:val="21"/>
                      <w:vertAlign w:val="baseline"/>
                      <w:lang w:val="en-US" w:eastAsia="zh-CN" w:bidi="ar-SA"/>
                      <w14:textFill>
                        <w14:solidFill>
                          <w14:schemeClr w14:val="tx1"/>
                        </w14:solidFill>
                      </w14:textFill>
                    </w:rPr>
                  </w:pPr>
                  <w:r>
                    <w:rPr>
                      <w:rFonts w:hint="default"/>
                      <w:b w:val="0"/>
                      <w:bCs w:val="0"/>
                      <w:color w:val="000000" w:themeColor="text1"/>
                      <w:sz w:val="21"/>
                      <w:szCs w:val="21"/>
                      <w:vertAlign w:val="baseline"/>
                      <w:lang w:val="en-US" w:eastAsia="zh-CN"/>
                      <w14:textFill>
                        <w14:solidFill>
                          <w14:schemeClr w14:val="tx1"/>
                        </w14:solidFill>
                      </w14:textFill>
                    </w:rPr>
                    <w:t>营业人员</w:t>
                  </w:r>
                  <w:r>
                    <w:rPr>
                      <w:rFonts w:hint="eastAsia"/>
                      <w:b w:val="0"/>
                      <w:bCs w:val="0"/>
                      <w:color w:val="000000" w:themeColor="text1"/>
                      <w:sz w:val="21"/>
                      <w:szCs w:val="21"/>
                      <w:vertAlign w:val="baseline"/>
                      <w:lang w:val="en-US" w:eastAsia="zh-CN"/>
                      <w14:textFill>
                        <w14:solidFill>
                          <w14:schemeClr w14:val="tx1"/>
                        </w14:solidFill>
                      </w14:textFill>
                    </w:rPr>
                    <w:t>/20人</w:t>
                  </w:r>
                </w:p>
              </w:tc>
              <w:tc>
                <w:tcPr>
                  <w:tcW w:w="644" w:type="pct"/>
                  <w:tcBorders>
                    <w:tl2br w:val="nil"/>
                    <w:tr2bl w:val="nil"/>
                  </w:tcBorders>
                  <w:shd w:val="clear" w:color="auto" w:fill="auto"/>
                  <w:vAlign w:val="center"/>
                </w:tcPr>
                <w:p w14:paraId="141768EC">
                  <w:pPr>
                    <w:pStyle w:val="3"/>
                    <w:bidi w:val="0"/>
                    <w:ind w:left="0" w:leftChars="0" w:firstLine="0" w:firstLineChars="0"/>
                    <w:jc w:val="center"/>
                    <w:rPr>
                      <w:rFonts w:hint="eastAsia"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东侧</w:t>
                  </w:r>
                </w:p>
              </w:tc>
              <w:tc>
                <w:tcPr>
                  <w:tcW w:w="690" w:type="pct"/>
                  <w:tcBorders>
                    <w:tl2br w:val="nil"/>
                    <w:tr2bl w:val="nil"/>
                  </w:tcBorders>
                  <w:shd w:val="clear" w:color="auto" w:fill="auto"/>
                  <w:vAlign w:val="center"/>
                </w:tcPr>
                <w:p w14:paraId="30C32600">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363</w:t>
                  </w:r>
                </w:p>
              </w:tc>
              <w:tc>
                <w:tcPr>
                  <w:tcW w:w="671" w:type="pct"/>
                  <w:vMerge w:val="continue"/>
                  <w:tcBorders>
                    <w:tl2br w:val="nil"/>
                    <w:tr2bl w:val="nil"/>
                  </w:tcBorders>
                  <w:vAlign w:val="center"/>
                </w:tcPr>
                <w:p w14:paraId="0A492A1A">
                  <w:pPr>
                    <w:pStyle w:val="3"/>
                    <w:bidi w:val="0"/>
                    <w:jc w:val="both"/>
                    <w:rPr>
                      <w:rFonts w:hint="eastAsia"/>
                      <w:color w:val="000000" w:themeColor="text1"/>
                      <w:sz w:val="21"/>
                      <w:szCs w:val="21"/>
                      <w:vertAlign w:val="baseline"/>
                      <w:lang w:val="en-US" w:eastAsia="zh-CN"/>
                      <w14:textFill>
                        <w14:solidFill>
                          <w14:schemeClr w14:val="tx1"/>
                        </w14:solidFill>
                      </w14:textFill>
                    </w:rPr>
                  </w:pPr>
                </w:p>
              </w:tc>
            </w:tr>
            <w:tr w14:paraId="37B52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tcBorders>
                    <w:tl2br w:val="nil"/>
                    <w:tr2bl w:val="nil"/>
                  </w:tcBorders>
                  <w:vAlign w:val="center"/>
                </w:tcPr>
                <w:p w14:paraId="590C1EB6">
                  <w:pPr>
                    <w:pStyle w:val="3"/>
                    <w:bidi w:val="0"/>
                    <w:jc w:val="both"/>
                    <w:rPr>
                      <w:rFonts w:hint="eastAsia"/>
                      <w:color w:val="000000" w:themeColor="text1"/>
                      <w:sz w:val="21"/>
                      <w:szCs w:val="21"/>
                      <w:vertAlign w:val="baseline"/>
                      <w:lang w:val="en-US" w:eastAsia="zh-CN"/>
                      <w14:textFill>
                        <w14:solidFill>
                          <w14:schemeClr w14:val="tx1"/>
                        </w14:solidFill>
                      </w14:textFill>
                    </w:rPr>
                  </w:pPr>
                </w:p>
              </w:tc>
              <w:tc>
                <w:tcPr>
                  <w:tcW w:w="1337" w:type="pct"/>
                  <w:tcBorders>
                    <w:tl2br w:val="nil"/>
                    <w:tr2bl w:val="nil"/>
                  </w:tcBorders>
                  <w:vAlign w:val="center"/>
                </w:tcPr>
                <w:p w14:paraId="3DC65686">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天和奇石玉器城</w:t>
                  </w:r>
                </w:p>
              </w:tc>
              <w:tc>
                <w:tcPr>
                  <w:tcW w:w="1204" w:type="pct"/>
                  <w:tcBorders>
                    <w:tl2br w:val="nil"/>
                    <w:tr2bl w:val="nil"/>
                  </w:tcBorders>
                  <w:shd w:val="clear" w:color="auto" w:fill="auto"/>
                  <w:vAlign w:val="center"/>
                </w:tcPr>
                <w:p w14:paraId="2CEC91E9">
                  <w:pPr>
                    <w:pStyle w:val="3"/>
                    <w:bidi w:val="0"/>
                    <w:ind w:left="0" w:leftChars="0" w:firstLine="0" w:firstLineChars="0"/>
                    <w:jc w:val="center"/>
                    <w:rPr>
                      <w:rFonts w:hint="default"/>
                      <w:b w:val="0"/>
                      <w:bCs w:val="0"/>
                      <w:color w:val="000000" w:themeColor="text1"/>
                      <w:sz w:val="21"/>
                      <w:szCs w:val="21"/>
                      <w:vertAlign w:val="baseline"/>
                      <w:lang w:val="en-US" w:eastAsia="zh-CN"/>
                      <w14:textFill>
                        <w14:solidFill>
                          <w14:schemeClr w14:val="tx1"/>
                        </w14:solidFill>
                      </w14:textFill>
                    </w:rPr>
                  </w:pPr>
                  <w:r>
                    <w:rPr>
                      <w:rFonts w:hint="default"/>
                      <w:b w:val="0"/>
                      <w:bCs w:val="0"/>
                      <w:color w:val="000000" w:themeColor="text1"/>
                      <w:sz w:val="21"/>
                      <w:szCs w:val="21"/>
                      <w:vertAlign w:val="baseline"/>
                      <w:lang w:val="en-US" w:eastAsia="zh-CN"/>
                      <w14:textFill>
                        <w14:solidFill>
                          <w14:schemeClr w14:val="tx1"/>
                        </w14:solidFill>
                      </w14:textFill>
                    </w:rPr>
                    <w:t>营业人员</w:t>
                  </w:r>
                  <w:r>
                    <w:rPr>
                      <w:rFonts w:hint="eastAsia"/>
                      <w:b w:val="0"/>
                      <w:bCs w:val="0"/>
                      <w:color w:val="000000" w:themeColor="text1"/>
                      <w:sz w:val="21"/>
                      <w:szCs w:val="21"/>
                      <w:vertAlign w:val="baseline"/>
                      <w:lang w:val="en-US" w:eastAsia="zh-CN"/>
                      <w14:textFill>
                        <w14:solidFill>
                          <w14:schemeClr w14:val="tx1"/>
                        </w14:solidFill>
                      </w14:textFill>
                    </w:rPr>
                    <w:t>/1200人</w:t>
                  </w:r>
                </w:p>
              </w:tc>
              <w:tc>
                <w:tcPr>
                  <w:tcW w:w="644" w:type="pct"/>
                  <w:tcBorders>
                    <w:tl2br w:val="nil"/>
                    <w:tr2bl w:val="nil"/>
                  </w:tcBorders>
                  <w:shd w:val="clear" w:color="auto" w:fill="auto"/>
                  <w:vAlign w:val="center"/>
                </w:tcPr>
                <w:p w14:paraId="54A6E18F">
                  <w:pPr>
                    <w:pStyle w:val="3"/>
                    <w:bidi w:val="0"/>
                    <w:ind w:left="0" w:leftChars="0" w:firstLine="0" w:firstLineChars="0"/>
                    <w:jc w:val="center"/>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东侧</w:t>
                  </w:r>
                </w:p>
              </w:tc>
              <w:tc>
                <w:tcPr>
                  <w:tcW w:w="690" w:type="pct"/>
                  <w:tcBorders>
                    <w:tl2br w:val="nil"/>
                    <w:tr2bl w:val="nil"/>
                  </w:tcBorders>
                  <w:shd w:val="clear" w:color="auto" w:fill="auto"/>
                  <w:vAlign w:val="center"/>
                </w:tcPr>
                <w:p w14:paraId="4529C26F">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152</w:t>
                  </w:r>
                </w:p>
              </w:tc>
              <w:tc>
                <w:tcPr>
                  <w:tcW w:w="671" w:type="pct"/>
                  <w:vMerge w:val="continue"/>
                  <w:tcBorders>
                    <w:tl2br w:val="nil"/>
                    <w:tr2bl w:val="nil"/>
                  </w:tcBorders>
                  <w:vAlign w:val="center"/>
                </w:tcPr>
                <w:p w14:paraId="17F5FA17">
                  <w:pPr>
                    <w:pStyle w:val="3"/>
                    <w:bidi w:val="0"/>
                    <w:jc w:val="both"/>
                    <w:rPr>
                      <w:rFonts w:hint="eastAsia"/>
                      <w:color w:val="000000" w:themeColor="text1"/>
                      <w:sz w:val="21"/>
                      <w:szCs w:val="21"/>
                      <w:vertAlign w:val="baseline"/>
                      <w:lang w:val="en-US" w:eastAsia="zh-CN"/>
                      <w14:textFill>
                        <w14:solidFill>
                          <w14:schemeClr w14:val="tx1"/>
                        </w14:solidFill>
                      </w14:textFill>
                    </w:rPr>
                  </w:pPr>
                </w:p>
              </w:tc>
            </w:tr>
            <w:tr w14:paraId="569E6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tcBorders>
                    <w:tl2br w:val="nil"/>
                    <w:tr2bl w:val="nil"/>
                  </w:tcBorders>
                  <w:vAlign w:val="center"/>
                </w:tcPr>
                <w:p w14:paraId="319217CE">
                  <w:pPr>
                    <w:pStyle w:val="3"/>
                    <w:bidi w:val="0"/>
                    <w:jc w:val="both"/>
                    <w:rPr>
                      <w:rFonts w:hint="eastAsia"/>
                      <w:color w:val="000000" w:themeColor="text1"/>
                      <w:sz w:val="21"/>
                      <w:szCs w:val="21"/>
                      <w:vertAlign w:val="baseline"/>
                      <w:lang w:val="en-US" w:eastAsia="zh-CN"/>
                      <w14:textFill>
                        <w14:solidFill>
                          <w14:schemeClr w14:val="tx1"/>
                        </w14:solidFill>
                      </w14:textFill>
                    </w:rPr>
                  </w:pPr>
                </w:p>
              </w:tc>
              <w:tc>
                <w:tcPr>
                  <w:tcW w:w="1337" w:type="pct"/>
                  <w:tcBorders>
                    <w:tl2br w:val="nil"/>
                    <w:tr2bl w:val="nil"/>
                  </w:tcBorders>
                  <w:vAlign w:val="center"/>
                </w:tcPr>
                <w:p w14:paraId="6BCA5930">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天和电动车市场</w:t>
                  </w:r>
                </w:p>
              </w:tc>
              <w:tc>
                <w:tcPr>
                  <w:tcW w:w="1204" w:type="pct"/>
                  <w:tcBorders>
                    <w:tl2br w:val="nil"/>
                    <w:tr2bl w:val="nil"/>
                  </w:tcBorders>
                  <w:shd w:val="clear" w:color="auto" w:fill="auto"/>
                  <w:vAlign w:val="center"/>
                </w:tcPr>
                <w:p w14:paraId="763E1D77">
                  <w:pPr>
                    <w:pStyle w:val="3"/>
                    <w:bidi w:val="0"/>
                    <w:ind w:left="0" w:leftChars="0" w:firstLine="0" w:firstLineChars="0"/>
                    <w:jc w:val="center"/>
                    <w:rPr>
                      <w:rFonts w:hint="default"/>
                      <w:b w:val="0"/>
                      <w:bCs w:val="0"/>
                      <w:color w:val="000000" w:themeColor="text1"/>
                      <w:sz w:val="21"/>
                      <w:szCs w:val="21"/>
                      <w:vertAlign w:val="baseline"/>
                      <w:lang w:val="en-US" w:eastAsia="zh-CN"/>
                      <w14:textFill>
                        <w14:solidFill>
                          <w14:schemeClr w14:val="tx1"/>
                        </w14:solidFill>
                      </w14:textFill>
                    </w:rPr>
                  </w:pPr>
                  <w:r>
                    <w:rPr>
                      <w:rFonts w:hint="default"/>
                      <w:b w:val="0"/>
                      <w:bCs w:val="0"/>
                      <w:color w:val="000000" w:themeColor="text1"/>
                      <w:sz w:val="21"/>
                      <w:szCs w:val="21"/>
                      <w:vertAlign w:val="baseline"/>
                      <w:lang w:val="en-US" w:eastAsia="zh-CN"/>
                      <w14:textFill>
                        <w14:solidFill>
                          <w14:schemeClr w14:val="tx1"/>
                        </w14:solidFill>
                      </w14:textFill>
                    </w:rPr>
                    <w:t>营业人员</w:t>
                  </w:r>
                  <w:r>
                    <w:rPr>
                      <w:rFonts w:hint="eastAsia"/>
                      <w:b w:val="0"/>
                      <w:bCs w:val="0"/>
                      <w:color w:val="000000" w:themeColor="text1"/>
                      <w:sz w:val="21"/>
                      <w:szCs w:val="21"/>
                      <w:vertAlign w:val="baseline"/>
                      <w:lang w:val="en-US" w:eastAsia="zh-CN"/>
                      <w14:textFill>
                        <w14:solidFill>
                          <w14:schemeClr w14:val="tx1"/>
                        </w14:solidFill>
                      </w14:textFill>
                    </w:rPr>
                    <w:t>/1200人</w:t>
                  </w:r>
                </w:p>
              </w:tc>
              <w:tc>
                <w:tcPr>
                  <w:tcW w:w="644" w:type="pct"/>
                  <w:tcBorders>
                    <w:tl2br w:val="nil"/>
                    <w:tr2bl w:val="nil"/>
                  </w:tcBorders>
                  <w:shd w:val="clear" w:color="auto" w:fill="auto"/>
                  <w:vAlign w:val="center"/>
                </w:tcPr>
                <w:p w14:paraId="04B80AF6">
                  <w:pPr>
                    <w:pStyle w:val="3"/>
                    <w:bidi w:val="0"/>
                    <w:ind w:left="0" w:leftChars="0" w:firstLine="0" w:firstLineChars="0"/>
                    <w:jc w:val="center"/>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东侧</w:t>
                  </w:r>
                </w:p>
              </w:tc>
              <w:tc>
                <w:tcPr>
                  <w:tcW w:w="690" w:type="pct"/>
                  <w:tcBorders>
                    <w:tl2br w:val="nil"/>
                    <w:tr2bl w:val="nil"/>
                  </w:tcBorders>
                  <w:shd w:val="clear" w:color="auto" w:fill="auto"/>
                  <w:vAlign w:val="center"/>
                </w:tcPr>
                <w:p w14:paraId="7D672D66">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393</w:t>
                  </w:r>
                </w:p>
              </w:tc>
              <w:tc>
                <w:tcPr>
                  <w:tcW w:w="671" w:type="pct"/>
                  <w:vMerge w:val="continue"/>
                  <w:tcBorders>
                    <w:tl2br w:val="nil"/>
                    <w:tr2bl w:val="nil"/>
                  </w:tcBorders>
                  <w:vAlign w:val="center"/>
                </w:tcPr>
                <w:p w14:paraId="0332A649">
                  <w:pPr>
                    <w:pStyle w:val="3"/>
                    <w:bidi w:val="0"/>
                    <w:jc w:val="both"/>
                    <w:rPr>
                      <w:rFonts w:hint="eastAsia"/>
                      <w:color w:val="000000" w:themeColor="text1"/>
                      <w:sz w:val="21"/>
                      <w:szCs w:val="21"/>
                      <w:vertAlign w:val="baseline"/>
                      <w:lang w:val="en-US" w:eastAsia="zh-CN"/>
                      <w14:textFill>
                        <w14:solidFill>
                          <w14:schemeClr w14:val="tx1"/>
                        </w14:solidFill>
                      </w14:textFill>
                    </w:rPr>
                  </w:pPr>
                </w:p>
              </w:tc>
            </w:tr>
            <w:tr w14:paraId="41119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Merge w:val="continue"/>
                  <w:tcBorders>
                    <w:tl2br w:val="nil"/>
                    <w:tr2bl w:val="nil"/>
                  </w:tcBorders>
                  <w:vAlign w:val="center"/>
                </w:tcPr>
                <w:p w14:paraId="16240F15">
                  <w:pPr>
                    <w:pStyle w:val="3"/>
                    <w:bidi w:val="0"/>
                    <w:jc w:val="both"/>
                    <w:rPr>
                      <w:rFonts w:hint="eastAsia"/>
                      <w:color w:val="000000" w:themeColor="text1"/>
                      <w:sz w:val="21"/>
                      <w:szCs w:val="21"/>
                      <w:vertAlign w:val="baseline"/>
                      <w:lang w:val="en-US" w:eastAsia="zh-CN"/>
                      <w14:textFill>
                        <w14:solidFill>
                          <w14:schemeClr w14:val="tx1"/>
                        </w14:solidFill>
                      </w14:textFill>
                    </w:rPr>
                  </w:pPr>
                </w:p>
              </w:tc>
              <w:tc>
                <w:tcPr>
                  <w:tcW w:w="1337" w:type="pct"/>
                  <w:tcBorders>
                    <w:tl2br w:val="nil"/>
                    <w:tr2bl w:val="nil"/>
                  </w:tcBorders>
                  <w:vAlign w:val="center"/>
                </w:tcPr>
                <w:p w14:paraId="20836DE6">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昊泰酒店</w:t>
                  </w:r>
                </w:p>
              </w:tc>
              <w:tc>
                <w:tcPr>
                  <w:tcW w:w="1204" w:type="pct"/>
                  <w:tcBorders>
                    <w:tl2br w:val="nil"/>
                    <w:tr2bl w:val="nil"/>
                  </w:tcBorders>
                  <w:shd w:val="clear" w:color="auto" w:fill="auto"/>
                  <w:vAlign w:val="center"/>
                </w:tcPr>
                <w:p w14:paraId="407F89E1">
                  <w:pPr>
                    <w:pStyle w:val="3"/>
                    <w:bidi w:val="0"/>
                    <w:ind w:left="0" w:leftChars="0" w:firstLine="0" w:firstLineChars="0"/>
                    <w:jc w:val="center"/>
                    <w:rPr>
                      <w:rFonts w:hint="default" w:ascii="Times New Roman" w:hAnsi="Times New Roman" w:eastAsia="宋体" w:cstheme="minorBidi"/>
                      <w:b w:val="0"/>
                      <w:bCs w:val="0"/>
                      <w:color w:val="000000" w:themeColor="text1"/>
                      <w:kern w:val="2"/>
                      <w:sz w:val="21"/>
                      <w:szCs w:val="21"/>
                      <w:vertAlign w:val="baseline"/>
                      <w:lang w:val="en-US" w:eastAsia="zh-CN" w:bidi="ar-SA"/>
                      <w14:textFill>
                        <w14:solidFill>
                          <w14:schemeClr w14:val="tx1"/>
                        </w14:solidFill>
                      </w14:textFill>
                    </w:rPr>
                  </w:pPr>
                  <w:r>
                    <w:rPr>
                      <w:rFonts w:hint="default"/>
                      <w:b w:val="0"/>
                      <w:bCs w:val="0"/>
                      <w:color w:val="000000" w:themeColor="text1"/>
                      <w:sz w:val="21"/>
                      <w:szCs w:val="21"/>
                      <w:vertAlign w:val="baseline"/>
                      <w:lang w:val="en-US" w:eastAsia="zh-CN"/>
                      <w14:textFill>
                        <w14:solidFill>
                          <w14:schemeClr w14:val="tx1"/>
                        </w14:solidFill>
                      </w14:textFill>
                    </w:rPr>
                    <w:t>营业人员</w:t>
                  </w:r>
                  <w:r>
                    <w:rPr>
                      <w:rFonts w:hint="eastAsia"/>
                      <w:b w:val="0"/>
                      <w:bCs w:val="0"/>
                      <w:color w:val="000000" w:themeColor="text1"/>
                      <w:sz w:val="21"/>
                      <w:szCs w:val="21"/>
                      <w:vertAlign w:val="baseline"/>
                      <w:lang w:val="en-US" w:eastAsia="zh-CN"/>
                      <w14:textFill>
                        <w14:solidFill>
                          <w14:schemeClr w14:val="tx1"/>
                        </w14:solidFill>
                      </w14:textFill>
                    </w:rPr>
                    <w:t>/20人</w:t>
                  </w:r>
                </w:p>
              </w:tc>
              <w:tc>
                <w:tcPr>
                  <w:tcW w:w="644" w:type="pct"/>
                  <w:tcBorders>
                    <w:tl2br w:val="nil"/>
                    <w:tr2bl w:val="nil"/>
                  </w:tcBorders>
                  <w:shd w:val="clear" w:color="auto" w:fill="auto"/>
                  <w:vAlign w:val="center"/>
                </w:tcPr>
                <w:p w14:paraId="5557E95F">
                  <w:pPr>
                    <w:pStyle w:val="3"/>
                    <w:bidi w:val="0"/>
                    <w:ind w:left="0" w:leftChars="0" w:firstLine="0" w:firstLineChars="0"/>
                    <w:jc w:val="center"/>
                    <w:rPr>
                      <w:rFonts w:hint="eastAsia"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西南侧</w:t>
                  </w:r>
                </w:p>
              </w:tc>
              <w:tc>
                <w:tcPr>
                  <w:tcW w:w="690" w:type="pct"/>
                  <w:tcBorders>
                    <w:tl2br w:val="nil"/>
                    <w:tr2bl w:val="nil"/>
                  </w:tcBorders>
                  <w:shd w:val="clear" w:color="auto" w:fill="auto"/>
                  <w:vAlign w:val="center"/>
                </w:tcPr>
                <w:p w14:paraId="3D7A8D7A">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353</w:t>
                  </w:r>
                </w:p>
              </w:tc>
              <w:tc>
                <w:tcPr>
                  <w:tcW w:w="671" w:type="pct"/>
                  <w:vMerge w:val="continue"/>
                  <w:tcBorders>
                    <w:tl2br w:val="nil"/>
                    <w:tr2bl w:val="nil"/>
                  </w:tcBorders>
                  <w:vAlign w:val="center"/>
                </w:tcPr>
                <w:p w14:paraId="1F46E0C9">
                  <w:pPr>
                    <w:pStyle w:val="3"/>
                    <w:bidi w:val="0"/>
                    <w:jc w:val="both"/>
                    <w:rPr>
                      <w:rFonts w:hint="eastAsia"/>
                      <w:color w:val="000000" w:themeColor="text1"/>
                      <w:sz w:val="21"/>
                      <w:szCs w:val="21"/>
                      <w:vertAlign w:val="baseline"/>
                      <w:lang w:val="en-US" w:eastAsia="zh-CN"/>
                      <w14:textFill>
                        <w14:solidFill>
                          <w14:schemeClr w14:val="tx1"/>
                        </w14:solidFill>
                      </w14:textFill>
                    </w:rPr>
                  </w:pPr>
                </w:p>
              </w:tc>
            </w:tr>
          </w:tbl>
          <w:p w14:paraId="08F45497">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ascii="Times New Roman" w:hAnsi="Times New Roman" w:eastAsia="宋体"/>
                <w:color w:val="000000" w:themeColor="text1"/>
                <w:lang w:val="en-US" w:eastAsia="zh-CN"/>
                <w14:textFill>
                  <w14:solidFill>
                    <w14:schemeClr w14:val="tx1"/>
                  </w14:solidFill>
                </w14:textFill>
              </w:rPr>
              <w:t>声环境</w:t>
            </w:r>
          </w:p>
          <w:p w14:paraId="26C9F46A">
            <w:pPr>
              <w:pStyle w:val="3"/>
              <w:ind w:firstLine="480"/>
              <w:jc w:val="both"/>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本项目厂界外50米范围内声环境保护目标主要为</w:t>
            </w:r>
            <w:r>
              <w:rPr>
                <w:rFonts w:hint="eastAsia"/>
                <w:color w:val="000000" w:themeColor="text1"/>
                <w:lang w:val="en-US" w:eastAsia="zh-CN"/>
                <w14:textFill>
                  <w14:solidFill>
                    <w14:schemeClr w14:val="tx1"/>
                  </w14:solidFill>
                </w14:textFill>
              </w:rPr>
              <w:t>圣水华庭住宅小区、</w:t>
            </w:r>
            <w:r>
              <w:rPr>
                <w:rFonts w:hint="eastAsia"/>
                <w:color w:val="000000" w:themeColor="text1"/>
                <w:lang w:eastAsia="zh-CN"/>
                <w14:textFill>
                  <w14:solidFill>
                    <w14:schemeClr w14:val="tx1"/>
                  </w14:solidFill>
                </w14:textFill>
              </w:rPr>
              <w:t>。</w:t>
            </w:r>
          </w:p>
          <w:p w14:paraId="0D2CC686">
            <w:pPr>
              <w:pStyle w:val="34"/>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表3-</w:t>
            </w:r>
            <w:r>
              <w:rPr>
                <w:rFonts w:hint="eastAsia"/>
                <w:color w:val="000000" w:themeColor="text1"/>
                <w:sz w:val="21"/>
                <w:szCs w:val="21"/>
                <w:lang w:val="en-US" w:eastAsia="zh-CN"/>
                <w14:textFill>
                  <w14:solidFill>
                    <w14:schemeClr w14:val="tx1"/>
                  </w14:solidFill>
                </w14:textFill>
              </w:rPr>
              <w:t>6</w:t>
            </w:r>
            <w:r>
              <w:rPr>
                <w:rFonts w:hint="eastAsia" w:ascii="Times New Roman" w:hAnsi="Times New Roman" w:eastAsia="宋体"/>
                <w:color w:val="000000" w:themeColor="text1"/>
                <w:sz w:val="21"/>
                <w:szCs w:val="21"/>
                <w14:textFill>
                  <w14:solidFill>
                    <w14:schemeClr w14:val="tx1"/>
                  </w14:solidFill>
                </w14:textFill>
              </w:rPr>
              <w:t xml:space="preserve">   </w:t>
            </w:r>
            <w:r>
              <w:rPr>
                <w:rFonts w:hint="eastAsia" w:ascii="Times New Roman" w:hAnsi="Times New Roman" w:eastAsia="宋体"/>
                <w:color w:val="000000" w:themeColor="text1"/>
                <w:sz w:val="21"/>
                <w:szCs w:val="21"/>
                <w:lang w:val="en-US" w:eastAsia="zh-CN"/>
                <w14:textFill>
                  <w14:solidFill>
                    <w14:schemeClr w14:val="tx1"/>
                  </w14:solidFill>
                </w14:textFill>
              </w:rPr>
              <w:t>本项目声环境保护目标一览表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168"/>
              <w:gridCol w:w="1168"/>
              <w:gridCol w:w="1168"/>
              <w:gridCol w:w="889"/>
              <w:gridCol w:w="2123"/>
            </w:tblGrid>
            <w:tr w14:paraId="0D33E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tcBorders>
                    <w:bottom w:val="single" w:color="auto" w:sz="12" w:space="0"/>
                  </w:tcBorders>
                  <w:vAlign w:val="center"/>
                </w:tcPr>
                <w:p w14:paraId="582C3120">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环境要素</w:t>
                  </w:r>
                </w:p>
              </w:tc>
              <w:tc>
                <w:tcPr>
                  <w:tcW w:w="760" w:type="pct"/>
                  <w:tcBorders>
                    <w:bottom w:val="single" w:color="auto" w:sz="12" w:space="0"/>
                  </w:tcBorders>
                  <w:vAlign w:val="center"/>
                </w:tcPr>
                <w:p w14:paraId="1D7133CC">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保护目标</w:t>
                  </w:r>
                </w:p>
              </w:tc>
              <w:tc>
                <w:tcPr>
                  <w:tcW w:w="760" w:type="pct"/>
                  <w:tcBorders>
                    <w:bottom w:val="single" w:color="auto" w:sz="12" w:space="0"/>
                  </w:tcBorders>
                  <w:vAlign w:val="center"/>
                </w:tcPr>
                <w:p w14:paraId="022A5B57">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保护对象</w:t>
                  </w:r>
                </w:p>
              </w:tc>
              <w:tc>
                <w:tcPr>
                  <w:tcW w:w="760" w:type="pct"/>
                  <w:tcBorders>
                    <w:bottom w:val="single" w:color="auto" w:sz="12" w:space="0"/>
                  </w:tcBorders>
                  <w:vAlign w:val="center"/>
                </w:tcPr>
                <w:p w14:paraId="5FE97AA6">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相对厂址位置</w:t>
                  </w:r>
                </w:p>
              </w:tc>
              <w:tc>
                <w:tcPr>
                  <w:tcW w:w="578" w:type="pct"/>
                  <w:tcBorders>
                    <w:bottom w:val="single" w:color="auto" w:sz="12" w:space="0"/>
                  </w:tcBorders>
                  <w:vAlign w:val="center"/>
                </w:tcPr>
                <w:p w14:paraId="78B8F492">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相对厂址距离/米</w:t>
                  </w:r>
                </w:p>
              </w:tc>
              <w:tc>
                <w:tcPr>
                  <w:tcW w:w="1381" w:type="pct"/>
                  <w:tcBorders>
                    <w:bottom w:val="single" w:color="auto" w:sz="12" w:space="0"/>
                  </w:tcBorders>
                  <w:vAlign w:val="center"/>
                </w:tcPr>
                <w:p w14:paraId="7AA758BC">
                  <w:pPr>
                    <w:pStyle w:val="3"/>
                    <w:bidi w:val="0"/>
                    <w:ind w:left="0" w:leftChars="0" w:firstLine="0" w:firstLineChars="0"/>
                    <w:jc w:val="center"/>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保护级别</w:t>
                  </w:r>
                </w:p>
              </w:tc>
            </w:tr>
            <w:tr w14:paraId="52F10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tcBorders>
                    <w:top w:val="single" w:color="auto" w:sz="12" w:space="0"/>
                    <w:tl2br w:val="nil"/>
                    <w:tr2bl w:val="nil"/>
                  </w:tcBorders>
                  <w:vAlign w:val="center"/>
                </w:tcPr>
                <w:p w14:paraId="3C996966">
                  <w:pPr>
                    <w:pStyle w:val="3"/>
                    <w:bidi w:val="0"/>
                    <w:ind w:left="0" w:leftChars="0" w:firstLine="0" w:firstLineChars="0"/>
                    <w:jc w:val="center"/>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声环境</w:t>
                  </w:r>
                </w:p>
              </w:tc>
              <w:tc>
                <w:tcPr>
                  <w:tcW w:w="760" w:type="pct"/>
                  <w:tcBorders>
                    <w:top w:val="single" w:color="auto" w:sz="12" w:space="0"/>
                    <w:tl2br w:val="nil"/>
                    <w:tr2bl w:val="nil"/>
                  </w:tcBorders>
                  <w:vAlign w:val="center"/>
                </w:tcPr>
                <w:p w14:paraId="6FF04A1A">
                  <w:pPr>
                    <w:pStyle w:val="3"/>
                    <w:bidi w:val="0"/>
                    <w:ind w:left="0" w:leftChars="0" w:firstLine="0" w:firstLineChars="0"/>
                    <w:jc w:val="center"/>
                    <w:rPr>
                      <w:rFonts w:hint="default"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cstheme="minorBidi"/>
                      <w:b w:val="0"/>
                      <w:color w:val="000000" w:themeColor="text1"/>
                      <w:kern w:val="2"/>
                      <w:sz w:val="21"/>
                      <w:szCs w:val="21"/>
                      <w:vertAlign w:val="baseline"/>
                      <w:lang w:val="en-US" w:eastAsia="zh-CN" w:bidi="ar-SA"/>
                      <w14:textFill>
                        <w14:solidFill>
                          <w14:schemeClr w14:val="tx1"/>
                        </w14:solidFill>
                      </w14:textFill>
                    </w:rPr>
                    <w:t>圣水华庭小区</w:t>
                  </w:r>
                </w:p>
              </w:tc>
              <w:tc>
                <w:tcPr>
                  <w:tcW w:w="760" w:type="pct"/>
                  <w:tcBorders>
                    <w:top w:val="single" w:color="auto" w:sz="12" w:space="0"/>
                    <w:tl2br w:val="nil"/>
                    <w:tr2bl w:val="nil"/>
                  </w:tcBorders>
                  <w:vAlign w:val="center"/>
                </w:tcPr>
                <w:p w14:paraId="2F5244EA">
                  <w:pPr>
                    <w:pStyle w:val="3"/>
                    <w:bidi w:val="0"/>
                    <w:ind w:left="0" w:leftChars="0" w:firstLine="0" w:firstLineChars="0"/>
                    <w:jc w:val="center"/>
                    <w:rPr>
                      <w:rFonts w:hint="default"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b w:val="0"/>
                      <w:bCs w:val="0"/>
                      <w:color w:val="000000" w:themeColor="text1"/>
                      <w:sz w:val="21"/>
                      <w:szCs w:val="21"/>
                      <w:vertAlign w:val="baseline"/>
                      <w:lang w:val="en-US" w:eastAsia="zh-CN"/>
                      <w14:textFill>
                        <w14:solidFill>
                          <w14:schemeClr w14:val="tx1"/>
                        </w14:solidFill>
                      </w14:textFill>
                    </w:rPr>
                    <w:t>居民</w:t>
                  </w:r>
                </w:p>
              </w:tc>
              <w:tc>
                <w:tcPr>
                  <w:tcW w:w="760" w:type="pct"/>
                  <w:tcBorders>
                    <w:top w:val="single" w:color="auto" w:sz="12" w:space="0"/>
                    <w:tl2br w:val="nil"/>
                    <w:tr2bl w:val="nil"/>
                  </w:tcBorders>
                  <w:vAlign w:val="center"/>
                </w:tcPr>
                <w:p w14:paraId="4055A3BC">
                  <w:pPr>
                    <w:pStyle w:val="3"/>
                    <w:bidi w:val="0"/>
                    <w:ind w:left="0" w:leftChars="0" w:firstLine="0" w:firstLineChars="0"/>
                    <w:jc w:val="center"/>
                    <w:rPr>
                      <w:rFonts w:hint="default"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cstheme="minorBidi"/>
                      <w:b w:val="0"/>
                      <w:color w:val="000000" w:themeColor="text1"/>
                      <w:kern w:val="2"/>
                      <w:sz w:val="21"/>
                      <w:szCs w:val="21"/>
                      <w:vertAlign w:val="baseline"/>
                      <w:lang w:val="en-US" w:eastAsia="zh-CN" w:bidi="ar-SA"/>
                      <w14:textFill>
                        <w14:solidFill>
                          <w14:schemeClr w14:val="tx1"/>
                        </w14:solidFill>
                      </w14:textFill>
                    </w:rPr>
                    <w:t>南侧</w:t>
                  </w:r>
                </w:p>
              </w:tc>
              <w:tc>
                <w:tcPr>
                  <w:tcW w:w="578" w:type="pct"/>
                  <w:tcBorders>
                    <w:top w:val="single" w:color="auto" w:sz="12" w:space="0"/>
                    <w:tl2br w:val="nil"/>
                    <w:tr2bl w:val="nil"/>
                  </w:tcBorders>
                  <w:vAlign w:val="center"/>
                </w:tcPr>
                <w:p w14:paraId="404B78C1">
                  <w:pPr>
                    <w:pStyle w:val="3"/>
                    <w:bidi w:val="0"/>
                    <w:ind w:left="0" w:leftChars="0" w:firstLine="0" w:firstLineChars="0"/>
                    <w:jc w:val="center"/>
                    <w:rPr>
                      <w:rFonts w:hint="default" w:ascii="Times New Roman" w:hAnsi="Times New Roman" w:eastAsia="宋体" w:cstheme="minorBidi"/>
                      <w:b w:val="0"/>
                      <w:color w:val="000000" w:themeColor="text1"/>
                      <w:kern w:val="2"/>
                      <w:sz w:val="21"/>
                      <w:szCs w:val="21"/>
                      <w:vertAlign w:val="baseline"/>
                      <w:lang w:val="en-US" w:eastAsia="zh-CN" w:bidi="ar-SA"/>
                      <w14:textFill>
                        <w14:solidFill>
                          <w14:schemeClr w14:val="tx1"/>
                        </w14:solidFill>
                      </w14:textFill>
                    </w:rPr>
                  </w:pPr>
                  <w:r>
                    <w:rPr>
                      <w:rFonts w:hint="eastAsia" w:cstheme="minorBidi"/>
                      <w:b w:val="0"/>
                      <w:color w:val="000000" w:themeColor="text1"/>
                      <w:kern w:val="2"/>
                      <w:sz w:val="21"/>
                      <w:szCs w:val="21"/>
                      <w:vertAlign w:val="baseline"/>
                      <w:lang w:val="en-US" w:eastAsia="zh-CN" w:bidi="ar-SA"/>
                      <w14:textFill>
                        <w14:solidFill>
                          <w14:schemeClr w14:val="tx1"/>
                        </w14:solidFill>
                      </w14:textFill>
                    </w:rPr>
                    <w:t>5</w:t>
                  </w:r>
                </w:p>
              </w:tc>
              <w:tc>
                <w:tcPr>
                  <w:tcW w:w="1381" w:type="pct"/>
                  <w:tcBorders>
                    <w:top w:val="single" w:color="auto" w:sz="12" w:space="0"/>
                    <w:tl2br w:val="nil"/>
                    <w:tr2bl w:val="nil"/>
                  </w:tcBorders>
                  <w:vAlign w:val="center"/>
                </w:tcPr>
                <w:p w14:paraId="23F5B354">
                  <w:pPr>
                    <w:pStyle w:val="3"/>
                    <w:bidi w:val="0"/>
                    <w:ind w:left="0" w:leftChars="0" w:firstLine="0" w:firstLineChars="0"/>
                    <w:jc w:val="center"/>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《声环境质量标准》 （GB3096-2008）中 2类</w:t>
                  </w:r>
                </w:p>
              </w:tc>
            </w:tr>
          </w:tbl>
          <w:p w14:paraId="262C83C5">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 xml:space="preserve"> </w:t>
            </w:r>
            <w:r>
              <w:rPr>
                <w:rFonts w:hint="eastAsia" w:ascii="Times New Roman" w:hAnsi="Times New Roman" w:eastAsia="宋体"/>
                <w:color w:val="000000" w:themeColor="text1"/>
                <w:lang w:val="en-US" w:eastAsia="zh-CN"/>
                <w14:textFill>
                  <w14:solidFill>
                    <w14:schemeClr w14:val="tx1"/>
                  </w14:solidFill>
                </w14:textFill>
              </w:rPr>
              <w:t>地下水环境</w:t>
            </w:r>
          </w:p>
          <w:p w14:paraId="7A0686CC">
            <w:pPr>
              <w:pStyle w:val="3"/>
              <w:ind w:firstLine="480"/>
              <w:jc w:val="both"/>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本项目厂界外500米范围内无地下水集中式饮用水水源和热水、矿泉水、温泉等特殊地下水资源</w:t>
            </w:r>
            <w:r>
              <w:rPr>
                <w:rFonts w:hint="eastAsia"/>
                <w:color w:val="000000" w:themeColor="text1"/>
                <w:lang w:eastAsia="zh-CN"/>
                <w14:textFill>
                  <w14:solidFill>
                    <w14:schemeClr w14:val="tx1"/>
                  </w14:solidFill>
                </w14:textFill>
              </w:rPr>
              <w:t>。</w:t>
            </w:r>
          </w:p>
          <w:p w14:paraId="614A7339">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 xml:space="preserve"> </w:t>
            </w:r>
            <w:r>
              <w:rPr>
                <w:rFonts w:hint="eastAsia" w:ascii="Times New Roman" w:hAnsi="Times New Roman" w:eastAsia="宋体"/>
                <w:color w:val="000000" w:themeColor="text1"/>
                <w:lang w:val="en-US" w:eastAsia="zh-CN"/>
                <w14:textFill>
                  <w14:solidFill>
                    <w14:schemeClr w14:val="tx1"/>
                  </w14:solidFill>
                </w14:textFill>
              </w:rPr>
              <w:t>生态环境</w:t>
            </w:r>
          </w:p>
          <w:p w14:paraId="52CCE501">
            <w:pPr>
              <w:pStyle w:val="3"/>
              <w:ind w:firstLine="480"/>
              <w:jc w:val="both"/>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本项目租赁现有门面房，属于城市建成区，不涉及自然保护区、风景名胜区、饮用水源保护地和其他需要特别保护等法律法规禁止开发建设的区域。</w:t>
            </w:r>
          </w:p>
        </w:tc>
      </w:tr>
      <w:tr w14:paraId="0D75FA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27" w:hRule="atLeast"/>
          <w:jc w:val="center"/>
        </w:trPr>
        <w:tc>
          <w:tcPr>
            <w:tcW w:w="622" w:type="dxa"/>
            <w:tcBorders>
              <w:tl2br w:val="nil"/>
              <w:tr2bl w:val="nil"/>
            </w:tcBorders>
            <w:vAlign w:val="center"/>
          </w:tcPr>
          <w:p w14:paraId="34D5AD75">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污染</w:t>
            </w:r>
          </w:p>
          <w:p w14:paraId="62A0BB75">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物排</w:t>
            </w:r>
          </w:p>
          <w:p w14:paraId="39F885EF">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放控</w:t>
            </w:r>
          </w:p>
          <w:p w14:paraId="25D31A32">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制标</w:t>
            </w:r>
          </w:p>
          <w:p w14:paraId="7A8CF089">
            <w:pPr>
              <w:jc w:val="center"/>
              <w:rPr>
                <w:color w:val="000000" w:themeColor="text1"/>
                <w14:textFill>
                  <w14:solidFill>
                    <w14:schemeClr w14:val="tx1"/>
                  </w14:solidFill>
                </w14:textFill>
              </w:rPr>
            </w:pPr>
            <w:r>
              <w:rPr>
                <w:rFonts w:hint="eastAsia"/>
                <w:b w:val="0"/>
                <w:bCs/>
                <w:color w:val="000000" w:themeColor="text1"/>
                <w14:textFill>
                  <w14:solidFill>
                    <w14:schemeClr w14:val="tx1"/>
                  </w14:solidFill>
                </w14:textFill>
              </w:rPr>
              <w:t>准</w:t>
            </w:r>
          </w:p>
        </w:tc>
        <w:tc>
          <w:tcPr>
            <w:tcW w:w="7900" w:type="dxa"/>
            <w:tcBorders>
              <w:tl2br w:val="nil"/>
              <w:tr2bl w:val="nil"/>
            </w:tcBorders>
          </w:tcPr>
          <w:p w14:paraId="2D02519E">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ascii="Times New Roman" w:hAnsi="Times New Roman" w:eastAsia="宋体"/>
                <w:color w:val="000000" w:themeColor="text1"/>
                <w:lang w:val="en-US" w:eastAsia="zh-CN"/>
                <w14:textFill>
                  <w14:solidFill>
                    <w14:schemeClr w14:val="tx1"/>
                  </w14:solidFill>
                </w14:textFill>
              </w:rPr>
              <w:t>大气污染物排放标准</w:t>
            </w:r>
          </w:p>
          <w:p w14:paraId="175DBC7C">
            <w:pPr>
              <w:pStyle w:val="3"/>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运营过程中废气主要为宠物本身散发或手术过程产生的少量异味，以臭气浓度表征，废气排放</w:t>
            </w:r>
            <w:r>
              <w:rPr>
                <w:rFonts w:hint="eastAsia"/>
                <w:color w:val="000000" w:themeColor="text1"/>
                <w:lang w:val="en-US" w:eastAsia="zh-CN"/>
                <w14:textFill>
                  <w14:solidFill>
                    <w14:schemeClr w14:val="tx1"/>
                  </w14:solidFill>
                </w14:textFill>
              </w:rPr>
              <w:t>参照</w:t>
            </w:r>
            <w:r>
              <w:rPr>
                <w:rFonts w:hint="eastAsia"/>
                <w:color w:val="000000" w:themeColor="text1"/>
                <w14:textFill>
                  <w14:solidFill>
                    <w14:schemeClr w14:val="tx1"/>
                  </w14:solidFill>
                </w14:textFill>
              </w:rPr>
              <w:t>执行《恶臭污染物排放标准》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GB14554-93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中表1中相关标准限值，见表3-</w:t>
            </w:r>
            <w:r>
              <w:rPr>
                <w:rFonts w:hint="eastAsia"/>
                <w:color w:val="000000" w:themeColor="text1"/>
                <w:lang w:val="en-US" w:eastAsia="zh-CN"/>
                <w14:textFill>
                  <w14:solidFill>
                    <w14:schemeClr w14:val="tx1"/>
                  </w14:solidFill>
                </w14:textFill>
              </w:rPr>
              <w:t>7。</w:t>
            </w:r>
          </w:p>
          <w:p w14:paraId="25BF5856">
            <w:pPr>
              <w:pStyle w:val="34"/>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表3-</w:t>
            </w:r>
            <w:r>
              <w:rPr>
                <w:rFonts w:hint="eastAsia"/>
                <w:color w:val="000000" w:themeColor="text1"/>
                <w:sz w:val="21"/>
                <w:szCs w:val="21"/>
                <w:lang w:val="en-US" w:eastAsia="zh-CN"/>
                <w14:textFill>
                  <w14:solidFill>
                    <w14:schemeClr w14:val="tx1"/>
                  </w14:solidFill>
                </w14:textFill>
              </w:rPr>
              <w:t>7</w:t>
            </w:r>
            <w:r>
              <w:rPr>
                <w:rFonts w:hint="eastAsia" w:ascii="Times New Roman" w:hAnsi="Times New Roman" w:eastAsia="宋体"/>
                <w:color w:val="000000" w:themeColor="text1"/>
                <w:sz w:val="21"/>
                <w:szCs w:val="21"/>
                <w14:textFill>
                  <w14:solidFill>
                    <w14:schemeClr w14:val="tx1"/>
                  </w14:solidFill>
                </w14:textFill>
              </w:rPr>
              <w:t xml:space="preserve">   大气污染物排放标准</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669"/>
              <w:gridCol w:w="1343"/>
              <w:gridCol w:w="1100"/>
              <w:gridCol w:w="1903"/>
              <w:gridCol w:w="2666"/>
            </w:tblGrid>
            <w:tr w14:paraId="5CACE160">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14:paraId="41C4F36A">
                  <w:pPr>
                    <w:pStyle w:val="35"/>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序号</w:t>
                  </w:r>
                </w:p>
              </w:tc>
              <w:tc>
                <w:tcPr>
                  <w:tcW w:w="874" w:type="pct"/>
                  <w:tcBorders>
                    <w:tl2br w:val="nil"/>
                    <w:tr2bl w:val="nil"/>
                  </w:tcBorders>
                  <w:vAlign w:val="center"/>
                </w:tcPr>
                <w:p w14:paraId="23C0467F">
                  <w:pPr>
                    <w:pStyle w:val="35"/>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污染物</w:t>
                  </w:r>
                </w:p>
              </w:tc>
              <w:tc>
                <w:tcPr>
                  <w:tcW w:w="716" w:type="pct"/>
                  <w:tcBorders>
                    <w:tl2br w:val="nil"/>
                    <w:tr2bl w:val="nil"/>
                  </w:tcBorders>
                  <w:vAlign w:val="center"/>
                </w:tcPr>
                <w:p w14:paraId="679D6BE2">
                  <w:pPr>
                    <w:pStyle w:val="35"/>
                    <w:rPr>
                      <w:rFonts w:hint="default" w:eastAsia="宋体"/>
                      <w:b/>
                      <w:bCs/>
                      <w:snapToGrid w:val="0"/>
                      <w:color w:val="000000" w:themeColor="text1"/>
                      <w:kern w:val="0"/>
                      <w:szCs w:val="21"/>
                      <w:lang w:val="en-US" w:eastAsia="zh-CN"/>
                      <w14:textFill>
                        <w14:solidFill>
                          <w14:schemeClr w14:val="tx1"/>
                        </w14:solidFill>
                      </w14:textFill>
                    </w:rPr>
                  </w:pPr>
                  <w:r>
                    <w:rPr>
                      <w:rFonts w:hint="eastAsia"/>
                      <w:b/>
                      <w:bCs/>
                      <w:snapToGrid w:val="0"/>
                      <w:color w:val="000000" w:themeColor="text1"/>
                      <w:kern w:val="0"/>
                      <w:szCs w:val="21"/>
                      <w:lang w:val="en-US" w:eastAsia="zh-CN"/>
                      <w14:textFill>
                        <w14:solidFill>
                          <w14:schemeClr w14:val="tx1"/>
                        </w14:solidFill>
                      </w14:textFill>
                    </w:rPr>
                    <w:t>排放形式</w:t>
                  </w:r>
                </w:p>
              </w:tc>
              <w:tc>
                <w:tcPr>
                  <w:tcW w:w="1238" w:type="pct"/>
                  <w:tcBorders>
                    <w:tl2br w:val="nil"/>
                    <w:tr2bl w:val="nil"/>
                  </w:tcBorders>
                  <w:vAlign w:val="center"/>
                </w:tcPr>
                <w:p w14:paraId="0D51F92A">
                  <w:pPr>
                    <w:pStyle w:val="35"/>
                    <w:bidi w:val="0"/>
                    <w:rPr>
                      <w:b/>
                      <w:bCs/>
                      <w:color w:val="000000" w:themeColor="text1"/>
                      <w14:textFill>
                        <w14:solidFill>
                          <w14:schemeClr w14:val="tx1"/>
                        </w14:solidFill>
                      </w14:textFill>
                    </w:rPr>
                  </w:pPr>
                  <w:r>
                    <w:rPr>
                      <w:b/>
                      <w:bCs/>
                      <w:color w:val="000000" w:themeColor="text1"/>
                      <w14:textFill>
                        <w14:solidFill>
                          <w14:schemeClr w14:val="tx1"/>
                        </w14:solidFill>
                      </w14:textFill>
                    </w:rPr>
                    <w:t>最高允许排放浓度</w:t>
                  </w:r>
                </w:p>
              </w:tc>
              <w:tc>
                <w:tcPr>
                  <w:tcW w:w="1735" w:type="pct"/>
                  <w:tcBorders>
                    <w:tl2br w:val="nil"/>
                    <w:tr2bl w:val="nil"/>
                  </w:tcBorders>
                  <w:vAlign w:val="center"/>
                </w:tcPr>
                <w:p w14:paraId="6C3A9108">
                  <w:pPr>
                    <w:pStyle w:val="35"/>
                    <w:rPr>
                      <w:b/>
                      <w:bCs/>
                      <w:color w:val="000000" w:themeColor="text1"/>
                      <w14:textFill>
                        <w14:solidFill>
                          <w14:schemeClr w14:val="tx1"/>
                        </w14:solidFill>
                      </w14:textFill>
                    </w:rPr>
                  </w:pPr>
                  <w:r>
                    <w:rPr>
                      <w:b/>
                      <w:bCs/>
                      <w:snapToGrid w:val="0"/>
                      <w:color w:val="000000" w:themeColor="text1"/>
                      <w:kern w:val="0"/>
                      <w:szCs w:val="21"/>
                      <w14:textFill>
                        <w14:solidFill>
                          <w14:schemeClr w14:val="tx1"/>
                        </w14:solidFill>
                      </w14:textFill>
                    </w:rPr>
                    <w:t>执行标准</w:t>
                  </w:r>
                </w:p>
              </w:tc>
            </w:tr>
            <w:tr w14:paraId="42F6E104">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14:paraId="16961E8F">
                  <w:pPr>
                    <w:pStyle w:val="35"/>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874" w:type="pct"/>
                  <w:tcBorders>
                    <w:tl2br w:val="nil"/>
                    <w:tr2bl w:val="nil"/>
                  </w:tcBorders>
                  <w:vAlign w:val="center"/>
                </w:tcPr>
                <w:p w14:paraId="2981CBA2">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臭气浓度（无量纲）</w:t>
                  </w:r>
                </w:p>
              </w:tc>
              <w:tc>
                <w:tcPr>
                  <w:tcW w:w="716" w:type="pct"/>
                  <w:tcBorders>
                    <w:tl2br w:val="nil"/>
                    <w:tr2bl w:val="nil"/>
                  </w:tcBorders>
                  <w:vAlign w:val="center"/>
                </w:tcPr>
                <w:p w14:paraId="60C9D2D2">
                  <w:pPr>
                    <w:pStyle w:val="35"/>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无组织</w:t>
                  </w:r>
                </w:p>
              </w:tc>
              <w:tc>
                <w:tcPr>
                  <w:tcW w:w="1238" w:type="pct"/>
                  <w:tcBorders>
                    <w:tl2br w:val="nil"/>
                    <w:tr2bl w:val="nil"/>
                  </w:tcBorders>
                  <w:vAlign w:val="center"/>
                </w:tcPr>
                <w:p w14:paraId="79B69C86">
                  <w:pPr>
                    <w:pStyle w:val="35"/>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1735" w:type="pct"/>
                  <w:tcBorders>
                    <w:tl2br w:val="nil"/>
                    <w:tr2bl w:val="nil"/>
                  </w:tcBorders>
                  <w:vAlign w:val="center"/>
                </w:tcPr>
                <w:p w14:paraId="7DFABCE5">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《恶臭污染物排放标准》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GB14554-93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中表1中相关标准限值</w:t>
                  </w:r>
                </w:p>
              </w:tc>
            </w:tr>
          </w:tbl>
          <w:p w14:paraId="4D8AEC43">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ascii="Times New Roman" w:hAnsi="Times New Roman" w:eastAsia="宋体"/>
                <w:color w:val="000000" w:themeColor="text1"/>
                <w:lang w:val="en-US" w:eastAsia="zh-CN"/>
                <w14:textFill>
                  <w14:solidFill>
                    <w14:schemeClr w14:val="tx1"/>
                  </w14:solidFill>
                </w14:textFill>
              </w:rPr>
              <w:t>噪声排放标准</w:t>
            </w:r>
          </w:p>
          <w:p w14:paraId="10F028BE">
            <w:pPr>
              <w:pStyle w:val="3"/>
              <w:ind w:firstLine="48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本项目施工期噪声执行《建筑施工场界环境噪声排放标准》（GB12523-2011）中排放限值标准，运营期东、南、西侧噪声执行《</w:t>
            </w:r>
            <w:r>
              <w:rPr>
                <w:rFonts w:hint="eastAsia"/>
                <w:color w:val="000000" w:themeColor="text1"/>
                <w:lang w:eastAsia="zh-CN"/>
                <w14:textFill>
                  <w14:solidFill>
                    <w14:schemeClr w14:val="tx1"/>
                  </w14:solidFill>
                </w14:textFill>
              </w:rPr>
              <w:t>工业企业厂界环境噪声排放标准</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GB12348-2008</w:t>
            </w:r>
            <w:r>
              <w:rPr>
                <w:rFonts w:hint="eastAsia"/>
                <w:color w:val="000000" w:themeColor="text1"/>
                <w:lang w:val="en-US" w:eastAsia="zh-CN"/>
                <w14:textFill>
                  <w14:solidFill>
                    <w14:schemeClr w14:val="tx1"/>
                  </w14:solidFill>
                </w14:textFill>
              </w:rPr>
              <w:t>）2类标准；北侧声执行《</w:t>
            </w:r>
            <w:r>
              <w:rPr>
                <w:rFonts w:hint="eastAsia"/>
                <w:color w:val="000000" w:themeColor="text1"/>
                <w:lang w:eastAsia="zh-CN"/>
                <w14:textFill>
                  <w14:solidFill>
                    <w14:schemeClr w14:val="tx1"/>
                  </w14:solidFill>
                </w14:textFill>
              </w:rPr>
              <w:t>工业企业厂界环境噪声排放标准</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GB12348-2008</w:t>
            </w:r>
            <w:r>
              <w:rPr>
                <w:rFonts w:hint="eastAsia"/>
                <w:color w:val="000000" w:themeColor="text1"/>
                <w:lang w:val="en-US" w:eastAsia="zh-CN"/>
                <w14:textFill>
                  <w14:solidFill>
                    <w14:schemeClr w14:val="tx1"/>
                  </w14:solidFill>
                </w14:textFill>
              </w:rPr>
              <w:t>）4类标准噪声限值见表3-8。</w:t>
            </w:r>
          </w:p>
          <w:p w14:paraId="783BBAC3">
            <w:pPr>
              <w:pStyle w:val="34"/>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表3-</w:t>
            </w:r>
            <w:r>
              <w:rPr>
                <w:rFonts w:hint="eastAsia"/>
                <w:color w:val="000000" w:themeColor="text1"/>
                <w:sz w:val="21"/>
                <w:szCs w:val="21"/>
                <w:lang w:val="en-US" w:eastAsia="zh-CN"/>
                <w14:textFill>
                  <w14:solidFill>
                    <w14:schemeClr w14:val="tx1"/>
                  </w14:solidFill>
                </w14:textFill>
              </w:rPr>
              <w:t>8</w:t>
            </w:r>
            <w:r>
              <w:rPr>
                <w:rFonts w:hint="eastAsia" w:ascii="Times New Roman" w:hAnsi="Times New Roman" w:eastAsia="宋体"/>
                <w:color w:val="000000" w:themeColor="text1"/>
                <w:sz w:val="21"/>
                <w:szCs w:val="21"/>
                <w14:textFill>
                  <w14:solidFill>
                    <w14:schemeClr w14:val="tx1"/>
                  </w14:solidFill>
                </w14:textFill>
              </w:rPr>
              <w:t xml:space="preserve">   噪声排放限值标准</w:t>
            </w:r>
            <w:r>
              <w:rPr>
                <w:rFonts w:hint="eastAsia"/>
                <w:color w:val="000000" w:themeColor="text1"/>
                <w:sz w:val="21"/>
                <w:szCs w:val="21"/>
                <w:lang w:val="en-US" w:eastAsia="zh-CN"/>
                <w14:textFill>
                  <w14:solidFill>
                    <w14:schemeClr w14:val="tx1"/>
                  </w14:solidFill>
                </w14:textFill>
              </w:rPr>
              <w:t xml:space="preserve">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4256"/>
              <w:gridCol w:w="1587"/>
            </w:tblGrid>
            <w:tr w14:paraId="7B8F0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96" w:type="pct"/>
                  <w:tcBorders>
                    <w:bottom w:val="single" w:color="auto" w:sz="12" w:space="0"/>
                  </w:tcBorders>
                  <w:vAlign w:val="center"/>
                </w:tcPr>
                <w:p w14:paraId="57CBFD87">
                  <w:pPr>
                    <w:pStyle w:val="35"/>
                    <w:widowControl w:val="0"/>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时期</w:t>
                  </w:r>
                </w:p>
              </w:tc>
              <w:tc>
                <w:tcPr>
                  <w:tcW w:w="2770" w:type="pct"/>
                  <w:tcBorders>
                    <w:bottom w:val="single" w:color="auto" w:sz="12" w:space="0"/>
                  </w:tcBorders>
                  <w:vAlign w:val="center"/>
                </w:tcPr>
                <w:p w14:paraId="0C7BCDB4">
                  <w:pPr>
                    <w:pStyle w:val="35"/>
                    <w:widowControl w:val="0"/>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标准</w:t>
                  </w:r>
                </w:p>
              </w:tc>
              <w:tc>
                <w:tcPr>
                  <w:tcW w:w="1033" w:type="pct"/>
                  <w:tcBorders>
                    <w:bottom w:val="single" w:color="auto" w:sz="12" w:space="0"/>
                  </w:tcBorders>
                  <w:vAlign w:val="center"/>
                </w:tcPr>
                <w:p w14:paraId="7E0672F3">
                  <w:pPr>
                    <w:pStyle w:val="35"/>
                    <w:widowControl w:val="0"/>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限值</w:t>
                  </w:r>
                </w:p>
              </w:tc>
            </w:tr>
            <w:tr w14:paraId="52F99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Borders>
                    <w:top w:val="single" w:color="auto" w:sz="4" w:space="0"/>
                    <w:bottom w:val="single" w:color="auto" w:sz="4" w:space="0"/>
                  </w:tcBorders>
                  <w:shd w:val="clear" w:color="auto" w:fill="auto"/>
                  <w:vAlign w:val="center"/>
                </w:tcPr>
                <w:p w14:paraId="0C4AB2A8">
                  <w:pPr>
                    <w:pStyle w:val="38"/>
                    <w:keepNext w:val="0"/>
                    <w:keepLines w:val="0"/>
                    <w:pageBreakBefore w:val="0"/>
                    <w:widowControl w:val="0"/>
                    <w:numPr>
                      <w:ilvl w:val="0"/>
                      <w:numId w:val="0"/>
                    </w:numPr>
                    <w:suppressLineNumbers w:val="0"/>
                    <w:tabs>
                      <w:tab w:val="left" w:pos="1845"/>
                    </w:tabs>
                    <w:kinsoku/>
                    <w:overflowPunct/>
                    <w:topLinePunct w:val="0"/>
                    <w:autoSpaceDE/>
                    <w:autoSpaceDN w:val="0"/>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施工期</w:t>
                  </w:r>
                </w:p>
              </w:tc>
              <w:tc>
                <w:tcPr>
                  <w:tcW w:w="2770" w:type="pct"/>
                  <w:tcBorders>
                    <w:top w:val="single" w:color="auto" w:sz="4" w:space="0"/>
                    <w:bottom w:val="single" w:color="auto" w:sz="4" w:space="0"/>
                  </w:tcBorders>
                  <w:shd w:val="clear" w:color="auto" w:fill="auto"/>
                  <w:vAlign w:val="center"/>
                </w:tcPr>
                <w:p w14:paraId="0604629A">
                  <w:pPr>
                    <w:pStyle w:val="38"/>
                    <w:keepNext w:val="0"/>
                    <w:keepLines w:val="0"/>
                    <w:pageBreakBefore w:val="0"/>
                    <w:widowControl w:val="0"/>
                    <w:numPr>
                      <w:ilvl w:val="0"/>
                      <w:numId w:val="0"/>
                    </w:numPr>
                    <w:suppressLineNumbers w:val="0"/>
                    <w:tabs>
                      <w:tab w:val="left" w:pos="1845"/>
                    </w:tabs>
                    <w:kinsoku/>
                    <w:wordWrap w:val="0"/>
                    <w:overflowPunct/>
                    <w:topLinePunct w:val="0"/>
                    <w:autoSpaceDE/>
                    <w:autoSpaceDN w:val="0"/>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《建筑施工</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场</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界环境噪声排放标准》（GB12523-2011）中排放限值标准</w:t>
                  </w:r>
                </w:p>
              </w:tc>
              <w:tc>
                <w:tcPr>
                  <w:tcW w:w="1033" w:type="pct"/>
                  <w:tcBorders>
                    <w:top w:val="single" w:color="auto" w:sz="4" w:space="0"/>
                    <w:bottom w:val="single" w:color="auto" w:sz="4" w:space="0"/>
                  </w:tcBorders>
                  <w:shd w:val="clear" w:color="auto" w:fill="auto"/>
                  <w:vAlign w:val="center"/>
                </w:tcPr>
                <w:p w14:paraId="0FD137D8">
                  <w:pPr>
                    <w:pStyle w:val="38"/>
                    <w:keepNext w:val="0"/>
                    <w:keepLines w:val="0"/>
                    <w:pageBreakBefore w:val="0"/>
                    <w:widowControl w:val="0"/>
                    <w:numPr>
                      <w:ilvl w:val="0"/>
                      <w:numId w:val="0"/>
                    </w:numPr>
                    <w:suppressLineNumbers w:val="0"/>
                    <w:tabs>
                      <w:tab w:val="left" w:pos="1845"/>
                    </w:tabs>
                    <w:kinsoku/>
                    <w:overflowPunct/>
                    <w:topLinePunct w:val="0"/>
                    <w:autoSpaceDE/>
                    <w:autoSpaceDN w:val="0"/>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昼间70</w:t>
                  </w:r>
                </w:p>
                <w:p w14:paraId="4392CD62">
                  <w:pPr>
                    <w:pStyle w:val="38"/>
                    <w:keepNext w:val="0"/>
                    <w:keepLines w:val="0"/>
                    <w:pageBreakBefore w:val="0"/>
                    <w:widowControl w:val="0"/>
                    <w:numPr>
                      <w:ilvl w:val="0"/>
                      <w:numId w:val="0"/>
                    </w:numPr>
                    <w:suppressLineNumbers w:val="0"/>
                    <w:tabs>
                      <w:tab w:val="left" w:pos="1845"/>
                    </w:tabs>
                    <w:kinsoku/>
                    <w:overflowPunct/>
                    <w:topLinePunct w:val="0"/>
                    <w:autoSpaceDE/>
                    <w:autoSpaceDN w:val="0"/>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夜间55</w:t>
                  </w:r>
                </w:p>
              </w:tc>
            </w:tr>
            <w:tr w14:paraId="3BA89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Borders>
                    <w:top w:val="single" w:color="auto" w:sz="4" w:space="0"/>
                    <w:bottom w:val="single" w:color="auto" w:sz="4" w:space="0"/>
                  </w:tcBorders>
                  <w:vAlign w:val="center"/>
                </w:tcPr>
                <w:p w14:paraId="259161BA">
                  <w:pPr>
                    <w:pStyle w:val="35"/>
                    <w:widowControl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运营期东、南、西侧</w:t>
                  </w:r>
                </w:p>
              </w:tc>
              <w:tc>
                <w:tcPr>
                  <w:tcW w:w="2770" w:type="pct"/>
                  <w:tcBorders>
                    <w:top w:val="single" w:color="auto" w:sz="4" w:space="0"/>
                    <w:bottom w:val="single" w:color="auto" w:sz="4" w:space="0"/>
                  </w:tcBorders>
                  <w:vAlign w:val="center"/>
                </w:tcPr>
                <w:p w14:paraId="26626A3A">
                  <w:pPr>
                    <w:pStyle w:val="35"/>
                    <w:widowControl w:val="0"/>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工业企业厂界环境噪声排放标准</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GB12348-2008</w:t>
                  </w:r>
                  <w:r>
                    <w:rPr>
                      <w:rFonts w:hint="eastAsia"/>
                      <w:color w:val="000000" w:themeColor="text1"/>
                      <w:lang w:val="en-US" w:eastAsia="zh-CN"/>
                      <w14:textFill>
                        <w14:solidFill>
                          <w14:schemeClr w14:val="tx1"/>
                        </w14:solidFill>
                      </w14:textFill>
                    </w:rPr>
                    <w:t>）2类</w:t>
                  </w:r>
                </w:p>
              </w:tc>
              <w:tc>
                <w:tcPr>
                  <w:tcW w:w="1033" w:type="pct"/>
                  <w:tcBorders>
                    <w:top w:val="single" w:color="auto" w:sz="4" w:space="0"/>
                    <w:bottom w:val="single" w:color="auto" w:sz="4" w:space="0"/>
                  </w:tcBorders>
                  <w:vAlign w:val="center"/>
                </w:tcPr>
                <w:p w14:paraId="282C8F90">
                  <w:pPr>
                    <w:pStyle w:val="35"/>
                    <w:widowControl w:val="0"/>
                    <w:rPr>
                      <w:rFonts w:hint="eastAsia"/>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昼间</w:t>
                  </w:r>
                  <w:r>
                    <w:rPr>
                      <w:rFonts w:hint="eastAsia"/>
                      <w:color w:val="000000" w:themeColor="text1"/>
                      <w:lang w:val="en-US" w:eastAsia="zh-CN"/>
                      <w14:textFill>
                        <w14:solidFill>
                          <w14:schemeClr w14:val="tx1"/>
                        </w14:solidFill>
                      </w14:textFill>
                    </w:rPr>
                    <w:t>60</w:t>
                  </w:r>
                </w:p>
                <w:p w14:paraId="4297B968">
                  <w:pPr>
                    <w:pStyle w:val="35"/>
                    <w:widowControl w:val="0"/>
                    <w:rPr>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夜间5</w:t>
                  </w:r>
                  <w:r>
                    <w:rPr>
                      <w:rFonts w:hint="eastAsia"/>
                      <w:color w:val="000000" w:themeColor="text1"/>
                      <w:lang w:val="en-US" w:eastAsia="zh-CN"/>
                      <w14:textFill>
                        <w14:solidFill>
                          <w14:schemeClr w14:val="tx1"/>
                        </w14:solidFill>
                      </w14:textFill>
                    </w:rPr>
                    <w:t>0</w:t>
                  </w:r>
                </w:p>
              </w:tc>
            </w:tr>
            <w:tr w14:paraId="73E58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6" w:type="pct"/>
                  <w:tcBorders>
                    <w:top w:val="single" w:color="auto" w:sz="4" w:space="0"/>
                    <w:bottom w:val="single" w:color="auto" w:sz="4" w:space="0"/>
                  </w:tcBorders>
                  <w:vAlign w:val="center"/>
                </w:tcPr>
                <w:p w14:paraId="71145FF8">
                  <w:pPr>
                    <w:pStyle w:val="35"/>
                    <w:widowControl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运营期北</w:t>
                  </w:r>
                </w:p>
              </w:tc>
              <w:tc>
                <w:tcPr>
                  <w:tcW w:w="2770" w:type="pct"/>
                  <w:tcBorders>
                    <w:top w:val="single" w:color="auto" w:sz="4" w:space="0"/>
                    <w:bottom w:val="single" w:color="auto" w:sz="4" w:space="0"/>
                  </w:tcBorders>
                  <w:vAlign w:val="center"/>
                </w:tcPr>
                <w:p w14:paraId="2BF3C525">
                  <w:pPr>
                    <w:pStyle w:val="35"/>
                    <w:widowControl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工业企业厂界环境噪声排放标准</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GB12348-2008</w:t>
                  </w:r>
                  <w:r>
                    <w:rPr>
                      <w:rFonts w:hint="eastAsia"/>
                      <w:color w:val="000000" w:themeColor="text1"/>
                      <w:lang w:val="en-US" w:eastAsia="zh-CN"/>
                      <w14:textFill>
                        <w14:solidFill>
                          <w14:schemeClr w14:val="tx1"/>
                        </w14:solidFill>
                      </w14:textFill>
                    </w:rPr>
                    <w:t>）4类</w:t>
                  </w:r>
                </w:p>
              </w:tc>
              <w:tc>
                <w:tcPr>
                  <w:tcW w:w="1033" w:type="pct"/>
                  <w:tcBorders>
                    <w:top w:val="single" w:color="auto" w:sz="4" w:space="0"/>
                    <w:bottom w:val="single" w:color="auto" w:sz="4" w:space="0"/>
                  </w:tcBorders>
                  <w:vAlign w:val="center"/>
                </w:tcPr>
                <w:p w14:paraId="3B5C4D11">
                  <w:pPr>
                    <w:pStyle w:val="35"/>
                    <w:widowControl w:val="0"/>
                    <w:rPr>
                      <w:rFonts w:hint="default"/>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昼间</w:t>
                  </w:r>
                  <w:r>
                    <w:rPr>
                      <w:rFonts w:hint="eastAsia"/>
                      <w:color w:val="000000" w:themeColor="text1"/>
                      <w:lang w:val="en-US" w:eastAsia="zh-CN"/>
                      <w14:textFill>
                        <w14:solidFill>
                          <w14:schemeClr w14:val="tx1"/>
                        </w14:solidFill>
                      </w14:textFill>
                    </w:rPr>
                    <w:t>70</w:t>
                  </w:r>
                </w:p>
                <w:p w14:paraId="3674F423">
                  <w:pPr>
                    <w:pStyle w:val="35"/>
                    <w:widowControl w:val="0"/>
                    <w:rPr>
                      <w:rFonts w:hint="default"/>
                      <w:color w:val="000000" w:themeColor="text1"/>
                      <w:lang w:val="en-US" w:eastAsia="zh-CN"/>
                      <w14:textFill>
                        <w14:solidFill>
                          <w14:schemeClr w14:val="tx1"/>
                        </w14:solidFill>
                      </w14:textFill>
                    </w:rPr>
                  </w:pPr>
                  <w:r>
                    <w:rPr>
                      <w:color w:val="000000" w:themeColor="text1"/>
                      <w:lang w:val="en-US" w:eastAsia="zh-CN"/>
                      <w14:textFill>
                        <w14:solidFill>
                          <w14:schemeClr w14:val="tx1"/>
                        </w14:solidFill>
                      </w14:textFill>
                    </w:rPr>
                    <w:t>夜间5</w:t>
                  </w:r>
                  <w:r>
                    <w:rPr>
                      <w:rFonts w:hint="eastAsia"/>
                      <w:color w:val="000000" w:themeColor="text1"/>
                      <w:lang w:val="en-US" w:eastAsia="zh-CN"/>
                      <w14:textFill>
                        <w14:solidFill>
                          <w14:schemeClr w14:val="tx1"/>
                        </w14:solidFill>
                      </w14:textFill>
                    </w:rPr>
                    <w:t>5</w:t>
                  </w:r>
                </w:p>
              </w:tc>
            </w:tr>
          </w:tbl>
          <w:p w14:paraId="7F666E52">
            <w:pPr>
              <w:pStyle w:val="6"/>
              <w:jc w:val="both"/>
              <w:outlineLvl w:val="2"/>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 废水排放标准</w:t>
            </w:r>
          </w:p>
          <w:p w14:paraId="03400931">
            <w:pPr>
              <w:pStyle w:val="6"/>
              <w:ind w:firstLine="480" w:firstLineChars="200"/>
              <w:jc w:val="both"/>
              <w:outlineLvl w:val="2"/>
              <w:rPr>
                <w:rFonts w:hint="default" w:ascii="Times New Roman" w:hAnsi="Times New Roman" w:eastAsia="宋体"/>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因宠物医院行业无废水排放标准，因此本次评价医疗</w:t>
            </w:r>
            <w:r>
              <w:rPr>
                <w:rFonts w:hint="default" w:ascii="Times New Roman" w:hAnsi="Times New Roman" w:eastAsia="宋体"/>
                <w:b w:val="0"/>
                <w:bCs/>
                <w:color w:val="000000" w:themeColor="text1"/>
                <w:lang w:val="en-US" w:eastAsia="zh-CN"/>
                <w14:textFill>
                  <w14:solidFill>
                    <w14:schemeClr w14:val="tx1"/>
                  </w14:solidFill>
                </w14:textFill>
              </w:rPr>
              <w:t>废水处理设施出水</w:t>
            </w:r>
            <w:r>
              <w:rPr>
                <w:rFonts w:hint="eastAsia"/>
                <w:b w:val="0"/>
                <w:bCs/>
                <w:color w:val="000000" w:themeColor="text1"/>
                <w:lang w:val="en-US" w:eastAsia="zh-CN"/>
                <w14:textFill>
                  <w14:solidFill>
                    <w14:schemeClr w14:val="tx1"/>
                  </w14:solidFill>
                </w14:textFill>
              </w:rPr>
              <w:t>参照</w:t>
            </w:r>
            <w:r>
              <w:rPr>
                <w:rFonts w:hint="default" w:ascii="Times New Roman" w:hAnsi="Times New Roman" w:eastAsia="宋体"/>
                <w:b w:val="0"/>
                <w:bCs/>
                <w:color w:val="000000" w:themeColor="text1"/>
                <w:lang w:val="en-US" w:eastAsia="zh-CN"/>
                <w14:textFill>
                  <w14:solidFill>
                    <w14:schemeClr w14:val="tx1"/>
                  </w14:solidFill>
                </w14:textFill>
              </w:rPr>
              <w:t>执行《医疗机构水污染物排放标准》</w:t>
            </w:r>
            <w:r>
              <w:rPr>
                <w:rFonts w:hint="eastAsia"/>
                <w:b w:val="0"/>
                <w:bCs/>
                <w:color w:val="000000" w:themeColor="text1"/>
                <w:lang w:val="en-US" w:eastAsia="zh-CN"/>
                <w14:textFill>
                  <w14:solidFill>
                    <w14:schemeClr w14:val="tx1"/>
                  </w14:solidFill>
                </w14:textFill>
              </w:rPr>
              <w:t>（</w:t>
            </w:r>
            <w:r>
              <w:rPr>
                <w:rFonts w:hint="default" w:ascii="Times New Roman" w:hAnsi="Times New Roman" w:eastAsia="宋体"/>
                <w:b w:val="0"/>
                <w:bCs/>
                <w:color w:val="000000" w:themeColor="text1"/>
                <w:lang w:val="en-US" w:eastAsia="zh-CN"/>
                <w14:textFill>
                  <w14:solidFill>
                    <w14:schemeClr w14:val="tx1"/>
                  </w14:solidFill>
                </w14:textFill>
              </w:rPr>
              <w:t>GB18466-2005</w:t>
            </w:r>
            <w:r>
              <w:rPr>
                <w:rFonts w:hint="eastAsia"/>
                <w:b w:val="0"/>
                <w:bCs/>
                <w:color w:val="000000" w:themeColor="text1"/>
                <w:lang w:val="en-US" w:eastAsia="zh-CN"/>
                <w14:textFill>
                  <w14:solidFill>
                    <w14:schemeClr w14:val="tx1"/>
                  </w14:solidFill>
                </w14:textFill>
              </w:rPr>
              <w:t>）</w:t>
            </w:r>
            <w:r>
              <w:rPr>
                <w:rFonts w:hint="default" w:ascii="Times New Roman" w:hAnsi="Times New Roman" w:eastAsia="宋体"/>
                <w:b w:val="0"/>
                <w:bCs/>
                <w:color w:val="000000" w:themeColor="text1"/>
                <w:lang w:val="en-US" w:eastAsia="zh-CN"/>
                <w14:textFill>
                  <w14:solidFill>
                    <w14:schemeClr w14:val="tx1"/>
                  </w14:solidFill>
                </w14:textFill>
              </w:rPr>
              <w:t>表2中的</w:t>
            </w:r>
            <w:r>
              <w:rPr>
                <w:rFonts w:hint="eastAsia"/>
                <w:b w:val="0"/>
                <w:bCs/>
                <w:color w:val="000000" w:themeColor="text1"/>
                <w:lang w:val="en-US" w:eastAsia="zh-CN"/>
                <w14:textFill>
                  <w14:solidFill>
                    <w14:schemeClr w14:val="tx1"/>
                  </w14:solidFill>
                </w14:textFill>
              </w:rPr>
              <w:t>“</w:t>
            </w:r>
            <w:r>
              <w:rPr>
                <w:rFonts w:hint="default" w:ascii="Times New Roman" w:hAnsi="Times New Roman" w:eastAsia="宋体"/>
                <w:b w:val="0"/>
                <w:bCs/>
                <w:color w:val="000000" w:themeColor="text1"/>
                <w:lang w:val="en-US" w:eastAsia="zh-CN"/>
                <w14:textFill>
                  <w14:solidFill>
                    <w14:schemeClr w14:val="tx1"/>
                  </w14:solidFill>
                </w14:textFill>
              </w:rPr>
              <w:t>预处理标准</w:t>
            </w:r>
            <w:r>
              <w:rPr>
                <w:rFonts w:hint="eastAsia"/>
                <w:b w:val="0"/>
                <w:bCs/>
                <w:color w:val="000000" w:themeColor="text1"/>
                <w:lang w:val="en-US" w:eastAsia="zh-CN"/>
                <w14:textFill>
                  <w14:solidFill>
                    <w14:schemeClr w14:val="tx1"/>
                  </w14:solidFill>
                </w14:textFill>
              </w:rPr>
              <w:t>”</w:t>
            </w:r>
            <w:r>
              <w:rPr>
                <w:rFonts w:hint="default" w:ascii="Times New Roman" w:hAnsi="Times New Roman" w:eastAsia="宋体"/>
                <w:b w:val="0"/>
                <w:bCs/>
                <w:color w:val="000000" w:themeColor="text1"/>
                <w:lang w:val="en-US" w:eastAsia="zh-CN"/>
                <w14:textFill>
                  <w14:solidFill>
                    <w14:schemeClr w14:val="tx1"/>
                  </w14:solidFill>
                </w14:textFill>
              </w:rPr>
              <w:t>相关标准限值，标准值见表3-</w:t>
            </w:r>
            <w:r>
              <w:rPr>
                <w:rFonts w:hint="eastAsia"/>
                <w:b w:val="0"/>
                <w:bCs/>
                <w:color w:val="000000" w:themeColor="text1"/>
                <w:lang w:val="en-US" w:eastAsia="zh-CN"/>
                <w14:textFill>
                  <w14:solidFill>
                    <w14:schemeClr w14:val="tx1"/>
                  </w14:solidFill>
                </w14:textFill>
              </w:rPr>
              <w:t>9</w:t>
            </w:r>
            <w:r>
              <w:rPr>
                <w:rFonts w:hint="default" w:ascii="Times New Roman" w:hAnsi="Times New Roman" w:eastAsia="宋体"/>
                <w:b w:val="0"/>
                <w:bCs/>
                <w:color w:val="000000" w:themeColor="text1"/>
                <w:lang w:val="en-US" w:eastAsia="zh-CN"/>
                <w14:textFill>
                  <w14:solidFill>
                    <w14:schemeClr w14:val="tx1"/>
                  </w14:solidFill>
                </w14:textFill>
              </w:rPr>
              <w:t>。</w:t>
            </w:r>
          </w:p>
          <w:p w14:paraId="2BE9135A">
            <w:pPr>
              <w:pStyle w:val="34"/>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表3-</w:t>
            </w:r>
            <w:r>
              <w:rPr>
                <w:rFonts w:hint="eastAsia"/>
                <w:color w:val="000000" w:themeColor="text1"/>
                <w:sz w:val="21"/>
                <w:szCs w:val="21"/>
                <w:lang w:val="en-US" w:eastAsia="zh-CN"/>
                <w14:textFill>
                  <w14:solidFill>
                    <w14:schemeClr w14:val="tx1"/>
                  </w14:solidFill>
                </w14:textFill>
              </w:rPr>
              <w:t>9</w:t>
            </w:r>
            <w:r>
              <w:rPr>
                <w:rFonts w:hint="eastAsia" w:ascii="Times New Roman" w:hAnsi="Times New Roman" w:eastAsia="宋体"/>
                <w:color w:val="000000" w:themeColor="text1"/>
                <w:sz w:val="21"/>
                <w:szCs w:val="21"/>
                <w14:textFill>
                  <w14:solidFill>
                    <w14:schemeClr w14:val="tx1"/>
                  </w14:solidFill>
                </w14:textFill>
              </w:rPr>
              <w:t xml:space="preserve">   </w:t>
            </w:r>
            <w:r>
              <w:rPr>
                <w:rFonts w:hint="eastAsia" w:ascii="Times New Roman" w:hAnsi="Times New Roman" w:eastAsia="宋体"/>
                <w:color w:val="000000" w:themeColor="text1"/>
                <w:sz w:val="21"/>
                <w:szCs w:val="21"/>
                <w:lang w:val="en-US" w:eastAsia="zh-CN"/>
                <w14:textFill>
                  <w14:solidFill>
                    <w14:schemeClr w14:val="tx1"/>
                  </w14:solidFill>
                </w14:textFill>
              </w:rPr>
              <w:t>废水</w:t>
            </w:r>
            <w:r>
              <w:rPr>
                <w:rFonts w:hint="eastAsia" w:ascii="Times New Roman" w:hAnsi="Times New Roman" w:eastAsia="宋体"/>
                <w:color w:val="000000" w:themeColor="text1"/>
                <w:sz w:val="21"/>
                <w:szCs w:val="21"/>
                <w14:textFill>
                  <w14:solidFill>
                    <w14:schemeClr w14:val="tx1"/>
                  </w14:solidFill>
                </w14:textFill>
              </w:rPr>
              <w:t>污染物排放标准</w:t>
            </w:r>
          </w:p>
          <w:tbl>
            <w:tblPr>
              <w:tblStyle w:val="25"/>
              <w:tblW w:w="4998" w:type="pct"/>
              <w:jc w:val="center"/>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375"/>
              <w:gridCol w:w="2003"/>
              <w:gridCol w:w="2527"/>
            </w:tblGrid>
            <w:tr w14:paraId="6F3054C5">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bottom w:val="single" w:color="auto" w:sz="12" w:space="0"/>
                  </w:tcBorders>
                  <w:vAlign w:val="center"/>
                </w:tcPr>
                <w:p w14:paraId="1BC4AAFE">
                  <w:pPr>
                    <w:pStyle w:val="35"/>
                    <w:rPr>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序号</w:t>
                  </w:r>
                </w:p>
              </w:tc>
              <w:tc>
                <w:tcPr>
                  <w:tcW w:w="1545" w:type="pct"/>
                  <w:tcBorders>
                    <w:bottom w:val="single" w:color="auto" w:sz="12" w:space="0"/>
                  </w:tcBorders>
                  <w:vAlign w:val="center"/>
                </w:tcPr>
                <w:p w14:paraId="27D8E188">
                  <w:pPr>
                    <w:pStyle w:val="35"/>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监测因子</w:t>
                  </w:r>
                </w:p>
              </w:tc>
              <w:tc>
                <w:tcPr>
                  <w:tcW w:w="1303" w:type="pct"/>
                  <w:tcBorders>
                    <w:bottom w:val="single" w:color="auto" w:sz="12" w:space="0"/>
                  </w:tcBorders>
                  <w:vAlign w:val="center"/>
                </w:tcPr>
                <w:p w14:paraId="70AD9D2B">
                  <w:pPr>
                    <w:pStyle w:val="35"/>
                    <w:bidi w:val="0"/>
                    <w:rPr>
                      <w:rFonts w:hint="eastAsia"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标准值</w:t>
                  </w:r>
                </w:p>
              </w:tc>
              <w:tc>
                <w:tcPr>
                  <w:tcW w:w="1644" w:type="pct"/>
                  <w:tcBorders>
                    <w:bottom w:val="single" w:color="auto" w:sz="12" w:space="0"/>
                  </w:tcBorders>
                  <w:vAlign w:val="center"/>
                </w:tcPr>
                <w:p w14:paraId="7362BF19">
                  <w:pPr>
                    <w:pStyle w:val="35"/>
                    <w:rPr>
                      <w:rFonts w:hint="default" w:eastAsia="宋体"/>
                      <w:b/>
                      <w:bCs/>
                      <w:color w:val="000000" w:themeColor="text1"/>
                      <w:lang w:val="en-US" w:eastAsia="zh-CN"/>
                      <w14:textFill>
                        <w14:solidFill>
                          <w14:schemeClr w14:val="tx1"/>
                        </w14:solidFill>
                      </w14:textFill>
                    </w:rPr>
                  </w:pPr>
                  <w:r>
                    <w:rPr>
                      <w:rFonts w:hint="eastAsia"/>
                      <w:b/>
                      <w:bCs/>
                      <w:snapToGrid w:val="0"/>
                      <w:color w:val="000000" w:themeColor="text1"/>
                      <w:kern w:val="0"/>
                      <w:szCs w:val="21"/>
                      <w:lang w:val="en-US" w:eastAsia="zh-CN"/>
                      <w14:textFill>
                        <w14:solidFill>
                          <w14:schemeClr w14:val="tx1"/>
                        </w14:solidFill>
                      </w14:textFill>
                    </w:rPr>
                    <w:t>标准依据</w:t>
                  </w:r>
                </w:p>
              </w:tc>
            </w:tr>
            <w:tr w14:paraId="212C185C">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top w:val="single" w:color="auto" w:sz="12" w:space="0"/>
                  </w:tcBorders>
                  <w:vAlign w:val="center"/>
                </w:tcPr>
                <w:p w14:paraId="27C91867">
                  <w:pPr>
                    <w:pStyle w:val="35"/>
                    <w:rPr>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545" w:type="pct"/>
                  <w:tcBorders>
                    <w:top w:val="single" w:color="auto" w:sz="12" w:space="0"/>
                  </w:tcBorders>
                  <w:vAlign w:val="center"/>
                </w:tcPr>
                <w:p w14:paraId="3B997990">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pH（无量纲）</w:t>
                  </w:r>
                </w:p>
              </w:tc>
              <w:tc>
                <w:tcPr>
                  <w:tcW w:w="1303" w:type="pct"/>
                  <w:tcBorders>
                    <w:top w:val="single" w:color="auto" w:sz="12" w:space="0"/>
                  </w:tcBorders>
                  <w:vAlign w:val="center"/>
                </w:tcPr>
                <w:p w14:paraId="708AA7E5">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6~9</w:t>
                  </w:r>
                </w:p>
              </w:tc>
              <w:tc>
                <w:tcPr>
                  <w:tcW w:w="1644" w:type="pct"/>
                  <w:vMerge w:val="restart"/>
                  <w:tcBorders>
                    <w:top w:val="single" w:color="auto" w:sz="12" w:space="0"/>
                  </w:tcBorders>
                  <w:vAlign w:val="center"/>
                </w:tcPr>
                <w:p w14:paraId="4D423489">
                  <w:pPr>
                    <w:pStyle w:val="35"/>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《医疗机构水污染物排放标准》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GB18466-2005</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表2预处理</w:t>
                  </w:r>
                  <w:r>
                    <w:rPr>
                      <w:rFonts w:hint="eastAsia"/>
                      <w:color w:val="000000" w:themeColor="text1"/>
                      <w:lang w:val="en-US" w:eastAsia="zh-CN"/>
                      <w14:textFill>
                        <w14:solidFill>
                          <w14:schemeClr w14:val="tx1"/>
                        </w14:solidFill>
                      </w14:textFill>
                    </w:rPr>
                    <w:t>标准</w:t>
                  </w:r>
                </w:p>
              </w:tc>
            </w:tr>
            <w:tr w14:paraId="1E985D52">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Align w:val="center"/>
                </w:tcPr>
                <w:p w14:paraId="2008B476">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545" w:type="pct"/>
                  <w:vAlign w:val="center"/>
                </w:tcPr>
                <w:p w14:paraId="4D1C69F3">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悬浮物（毫克/升）</w:t>
                  </w:r>
                </w:p>
              </w:tc>
              <w:tc>
                <w:tcPr>
                  <w:tcW w:w="1303" w:type="pct"/>
                  <w:vAlign w:val="center"/>
                </w:tcPr>
                <w:p w14:paraId="71C8797F">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1644" w:type="pct"/>
                  <w:vMerge w:val="continue"/>
                  <w:vAlign w:val="center"/>
                </w:tcPr>
                <w:p w14:paraId="4D831585">
                  <w:pPr>
                    <w:pStyle w:val="35"/>
                    <w:rPr>
                      <w:rFonts w:hint="eastAsia"/>
                      <w:color w:val="000000" w:themeColor="text1"/>
                      <w14:textFill>
                        <w14:solidFill>
                          <w14:schemeClr w14:val="tx1"/>
                        </w14:solidFill>
                      </w14:textFill>
                    </w:rPr>
                  </w:pPr>
                </w:p>
              </w:tc>
            </w:tr>
            <w:tr w14:paraId="5D4117E8">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Align w:val="center"/>
                </w:tcPr>
                <w:p w14:paraId="16944B16">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545" w:type="pct"/>
                  <w:vAlign w:val="center"/>
                </w:tcPr>
                <w:p w14:paraId="418DE5BC">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五日生化需氧量（毫克/升）</w:t>
                  </w:r>
                </w:p>
              </w:tc>
              <w:tc>
                <w:tcPr>
                  <w:tcW w:w="1303" w:type="pct"/>
                  <w:vAlign w:val="center"/>
                </w:tcPr>
                <w:p w14:paraId="26BC1C61">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w:t>
                  </w:r>
                </w:p>
              </w:tc>
              <w:tc>
                <w:tcPr>
                  <w:tcW w:w="1644" w:type="pct"/>
                  <w:vMerge w:val="continue"/>
                  <w:vAlign w:val="center"/>
                </w:tcPr>
                <w:p w14:paraId="17F8B853">
                  <w:pPr>
                    <w:pStyle w:val="35"/>
                    <w:rPr>
                      <w:rFonts w:hint="eastAsia"/>
                      <w:color w:val="000000" w:themeColor="text1"/>
                      <w14:textFill>
                        <w14:solidFill>
                          <w14:schemeClr w14:val="tx1"/>
                        </w14:solidFill>
                      </w14:textFill>
                    </w:rPr>
                  </w:pPr>
                </w:p>
              </w:tc>
            </w:tr>
            <w:tr w14:paraId="4D3F7E71">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Align w:val="center"/>
                </w:tcPr>
                <w:p w14:paraId="1C2D19CF">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545" w:type="pct"/>
                  <w:vAlign w:val="center"/>
                </w:tcPr>
                <w:p w14:paraId="05D26BEA">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化学需氧量（毫克/升）</w:t>
                  </w:r>
                </w:p>
              </w:tc>
              <w:tc>
                <w:tcPr>
                  <w:tcW w:w="1303" w:type="pct"/>
                  <w:vAlign w:val="center"/>
                </w:tcPr>
                <w:p w14:paraId="75D92198">
                  <w:pPr>
                    <w:pStyle w:val="3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w:t>
                  </w:r>
                </w:p>
              </w:tc>
              <w:tc>
                <w:tcPr>
                  <w:tcW w:w="1644" w:type="pct"/>
                  <w:vMerge w:val="continue"/>
                  <w:vAlign w:val="center"/>
                </w:tcPr>
                <w:p w14:paraId="521A54A2">
                  <w:pPr>
                    <w:pStyle w:val="35"/>
                    <w:rPr>
                      <w:rFonts w:hint="eastAsia"/>
                      <w:color w:val="000000" w:themeColor="text1"/>
                      <w14:textFill>
                        <w14:solidFill>
                          <w14:schemeClr w14:val="tx1"/>
                        </w14:solidFill>
                      </w14:textFill>
                    </w:rPr>
                  </w:pPr>
                </w:p>
              </w:tc>
            </w:tr>
            <w:tr w14:paraId="1DCAEACA">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vAlign w:val="center"/>
                </w:tcPr>
                <w:p w14:paraId="73B55D1B">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545" w:type="pct"/>
                  <w:vAlign w:val="center"/>
                </w:tcPr>
                <w:p w14:paraId="3256FFA5">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氨氮（毫克/升）</w:t>
                  </w:r>
                </w:p>
              </w:tc>
              <w:tc>
                <w:tcPr>
                  <w:tcW w:w="1303" w:type="pct"/>
                  <w:vAlign w:val="center"/>
                </w:tcPr>
                <w:p w14:paraId="76E03A0C">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44" w:type="pct"/>
                  <w:vMerge w:val="continue"/>
                  <w:vAlign w:val="center"/>
                </w:tcPr>
                <w:p w14:paraId="7C59EB4F">
                  <w:pPr>
                    <w:pStyle w:val="35"/>
                    <w:rPr>
                      <w:rFonts w:hint="eastAsia"/>
                      <w:color w:val="000000" w:themeColor="text1"/>
                      <w14:textFill>
                        <w14:solidFill>
                          <w14:schemeClr w14:val="tx1"/>
                        </w14:solidFill>
                      </w14:textFill>
                    </w:rPr>
                  </w:pPr>
                </w:p>
              </w:tc>
            </w:tr>
            <w:tr w14:paraId="73554F3C">
              <w:tblPrEx>
                <w:tblBorders>
                  <w:top w:val="single" w:color="auto" w:sz="12" w:space="0"/>
                  <w:left w:val="none" w:color="auto" w:sz="0" w:space="0"/>
                  <w:bottom w:val="single" w:color="auto" w:sz="18" w:space="0"/>
                  <w:right w:val="none" w:color="auto" w:sz="0" w:space="0"/>
                  <w:insideH w:val="single" w:color="auto" w:sz="4" w:space="0"/>
                  <w:insideV w:val="single" w:color="auto" w:sz="4" w:space="0"/>
                </w:tblBorders>
              </w:tblPrEx>
              <w:trPr>
                <w:trHeight w:val="397" w:hRule="atLeast"/>
                <w:jc w:val="center"/>
              </w:trPr>
              <w:tc>
                <w:tcPr>
                  <w:tcW w:w="505" w:type="pct"/>
                  <w:tcBorders>
                    <w:bottom w:val="single" w:color="auto" w:sz="12" w:space="0"/>
                  </w:tcBorders>
                  <w:vAlign w:val="center"/>
                </w:tcPr>
                <w:p w14:paraId="616D2327">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545" w:type="pct"/>
                  <w:tcBorders>
                    <w:bottom w:val="single" w:color="auto" w:sz="12" w:space="0"/>
                  </w:tcBorders>
                  <w:vAlign w:val="center"/>
                </w:tcPr>
                <w:p w14:paraId="7704730B">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粪大肠菌群（个/升）</w:t>
                  </w:r>
                </w:p>
              </w:tc>
              <w:tc>
                <w:tcPr>
                  <w:tcW w:w="1303" w:type="pct"/>
                  <w:tcBorders>
                    <w:bottom w:val="single" w:color="auto" w:sz="12" w:space="0"/>
                  </w:tcBorders>
                  <w:vAlign w:val="center"/>
                </w:tcPr>
                <w:p w14:paraId="73618B1E">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5000</w:t>
                  </w:r>
                </w:p>
              </w:tc>
              <w:tc>
                <w:tcPr>
                  <w:tcW w:w="1644" w:type="pct"/>
                  <w:vMerge w:val="continue"/>
                  <w:tcBorders>
                    <w:bottom w:val="single" w:color="auto" w:sz="12" w:space="0"/>
                  </w:tcBorders>
                  <w:vAlign w:val="center"/>
                </w:tcPr>
                <w:p w14:paraId="7706B5E9">
                  <w:pPr>
                    <w:pStyle w:val="35"/>
                    <w:rPr>
                      <w:rFonts w:hint="eastAsia"/>
                      <w:color w:val="000000" w:themeColor="text1"/>
                      <w14:textFill>
                        <w14:solidFill>
                          <w14:schemeClr w14:val="tx1"/>
                        </w14:solidFill>
                      </w14:textFill>
                    </w:rPr>
                  </w:pPr>
                </w:p>
              </w:tc>
            </w:tr>
          </w:tbl>
          <w:p w14:paraId="43E9357A">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4 </w:t>
            </w:r>
            <w:r>
              <w:rPr>
                <w:rFonts w:hint="eastAsia" w:ascii="Times New Roman" w:hAnsi="Times New Roman" w:eastAsia="宋体"/>
                <w:color w:val="000000" w:themeColor="text1"/>
                <w:lang w:val="en-US" w:eastAsia="zh-CN"/>
                <w14:textFill>
                  <w14:solidFill>
                    <w14:schemeClr w14:val="tx1"/>
                  </w14:solidFill>
                </w14:textFill>
              </w:rPr>
              <w:t>固体废物控制标准</w:t>
            </w:r>
          </w:p>
          <w:p w14:paraId="01025D2C">
            <w:pPr>
              <w:pStyle w:val="6"/>
              <w:ind w:firstLine="480" w:firstLineChars="200"/>
              <w:jc w:val="both"/>
              <w:outlineLvl w:val="2"/>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b w:val="0"/>
                <w:bCs/>
                <w:color w:val="000000" w:themeColor="text1"/>
                <w:lang w:val="en-US" w:eastAsia="zh-CN"/>
                <w14:textFill>
                  <w14:solidFill>
                    <w14:schemeClr w14:val="tx1"/>
                  </w14:solidFill>
                </w14:textFill>
              </w:rPr>
              <w:t>一般</w:t>
            </w:r>
            <w:r>
              <w:rPr>
                <w:rFonts w:hint="eastAsia" w:ascii="Times New Roman" w:hAnsi="Times New Roman" w:eastAsia="宋体"/>
                <w:b w:val="0"/>
                <w:bCs/>
                <w:color w:val="000000" w:themeColor="text1"/>
                <w:lang w:val="en-US" w:eastAsia="zh-CN"/>
                <w14:textFill>
                  <w14:solidFill>
                    <w14:schemeClr w14:val="tx1"/>
                  </w14:solidFill>
                </w14:textFill>
              </w:rPr>
              <w:t>固体废物</w:t>
            </w:r>
            <w:r>
              <w:rPr>
                <w:rFonts w:hint="default" w:ascii="Times New Roman" w:hAnsi="Times New Roman" w:eastAsia="宋体"/>
                <w:b w:val="0"/>
                <w:bCs/>
                <w:color w:val="000000" w:themeColor="text1"/>
                <w:lang w:val="en-US" w:eastAsia="zh-CN"/>
                <w14:textFill>
                  <w14:solidFill>
                    <w14:schemeClr w14:val="tx1"/>
                  </w14:solidFill>
                </w14:textFill>
              </w:rPr>
              <w:t>执行《一般工业固体废物贮存和填埋污染控制标准》</w:t>
            </w:r>
            <w:r>
              <w:rPr>
                <w:rFonts w:hint="eastAsia" w:ascii="Times New Roman" w:hAnsi="Times New Roman" w:eastAsia="宋体"/>
                <w:b w:val="0"/>
                <w:bCs/>
                <w:color w:val="000000" w:themeColor="text1"/>
                <w:lang w:val="en-US" w:eastAsia="zh-CN"/>
                <w14:textFill>
                  <w14:solidFill>
                    <w14:schemeClr w14:val="tx1"/>
                  </w14:solidFill>
                </w14:textFill>
              </w:rPr>
              <w:t>（</w:t>
            </w:r>
            <w:r>
              <w:rPr>
                <w:rFonts w:hint="default" w:ascii="Times New Roman" w:hAnsi="Times New Roman" w:eastAsia="宋体"/>
                <w:b w:val="0"/>
                <w:bCs/>
                <w:color w:val="000000" w:themeColor="text1"/>
                <w:lang w:val="en-US" w:eastAsia="zh-CN"/>
                <w14:textFill>
                  <w14:solidFill>
                    <w14:schemeClr w14:val="tx1"/>
                  </w14:solidFill>
                </w14:textFill>
              </w:rPr>
              <w:t>GB18599-2020</w:t>
            </w:r>
            <w:r>
              <w:rPr>
                <w:rFonts w:hint="eastAsia" w:ascii="Times New Roman" w:hAnsi="Times New Roman" w:eastAsia="宋体"/>
                <w:b w:val="0"/>
                <w:bCs/>
                <w:color w:val="000000" w:themeColor="text1"/>
                <w:lang w:val="en-US" w:eastAsia="zh-CN"/>
                <w14:textFill>
                  <w14:solidFill>
                    <w14:schemeClr w14:val="tx1"/>
                  </w14:solidFill>
                </w14:textFill>
              </w:rPr>
              <w:t>）</w:t>
            </w:r>
            <w:r>
              <w:rPr>
                <w:rFonts w:hint="default" w:ascii="Times New Roman" w:hAnsi="Times New Roman" w:eastAsia="宋体"/>
                <w:b w:val="0"/>
                <w:bCs/>
                <w:color w:val="000000" w:themeColor="text1"/>
                <w:lang w:val="en-US" w:eastAsia="zh-CN"/>
                <w14:textFill>
                  <w14:solidFill>
                    <w14:schemeClr w14:val="tx1"/>
                  </w14:solidFill>
                </w14:textFill>
              </w:rPr>
              <w:t>要求</w:t>
            </w:r>
            <w:r>
              <w:rPr>
                <w:rFonts w:hint="eastAsia" w:ascii="Times New Roman" w:hAnsi="Times New Roman" w:eastAsia="宋体"/>
                <w:b w:val="0"/>
                <w:bCs/>
                <w:color w:val="000000" w:themeColor="text1"/>
                <w:lang w:val="en-US" w:eastAsia="zh-CN"/>
                <w14:textFill>
                  <w14:solidFill>
                    <w14:schemeClr w14:val="tx1"/>
                  </w14:solidFill>
                </w14:textFill>
              </w:rPr>
              <w:t>；本项目医疗废物执行《中华人民共和国固体废物污染环境防治法(2020修订)》、《医疗废物管理条例》以及《医疗卫生机构医疗废物管理办法》中的有关规定。医疗废物暂存、处置执行《危险废物贮存污染控制标准》(GB18597-2023)中相关规定、医疗废物管理条例和《医疗废物专用包装袋、容器和警示标志标准》(HJ421-2008);</w:t>
            </w:r>
          </w:p>
        </w:tc>
      </w:tr>
      <w:tr w14:paraId="3E89D8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44" w:hRule="atLeast"/>
          <w:jc w:val="center"/>
        </w:trPr>
        <w:tc>
          <w:tcPr>
            <w:tcW w:w="622" w:type="dxa"/>
            <w:tcBorders>
              <w:tl2br w:val="nil"/>
              <w:tr2bl w:val="nil"/>
            </w:tcBorders>
            <w:vAlign w:val="center"/>
          </w:tcPr>
          <w:p w14:paraId="08E1177D">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总量</w:t>
            </w:r>
          </w:p>
          <w:p w14:paraId="66D5A1C0">
            <w:pPr>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控制</w:t>
            </w:r>
          </w:p>
          <w:p w14:paraId="1E405BF7">
            <w:pPr>
              <w:jc w:val="center"/>
              <w:rPr>
                <w:color w:val="000000" w:themeColor="text1"/>
                <w14:textFill>
                  <w14:solidFill>
                    <w14:schemeClr w14:val="tx1"/>
                  </w14:solidFill>
                </w14:textFill>
              </w:rPr>
            </w:pPr>
            <w:r>
              <w:rPr>
                <w:rFonts w:hint="eastAsia"/>
                <w:b w:val="0"/>
                <w:bCs/>
                <w:color w:val="000000" w:themeColor="text1"/>
                <w14:textFill>
                  <w14:solidFill>
                    <w14:schemeClr w14:val="tx1"/>
                  </w14:solidFill>
                </w14:textFill>
              </w:rPr>
              <w:t>指标</w:t>
            </w:r>
          </w:p>
        </w:tc>
        <w:tc>
          <w:tcPr>
            <w:tcW w:w="7900" w:type="dxa"/>
            <w:tcBorders>
              <w:tl2br w:val="nil"/>
              <w:tr2bl w:val="nil"/>
            </w:tcBorders>
            <w:vAlign w:val="center"/>
          </w:tcPr>
          <w:p w14:paraId="3828DAC7">
            <w:pPr>
              <w:pStyle w:val="3"/>
              <w:bidi w:val="0"/>
              <w:ind w:left="0" w:leftChars="0" w:firstLine="480" w:firstLineChars="2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本项目不涉及总量控制指标。</w:t>
            </w:r>
          </w:p>
        </w:tc>
      </w:tr>
    </w:tbl>
    <w:p w14:paraId="60B302AC">
      <w:pPr>
        <w:pStyle w:val="4"/>
        <w:numPr>
          <w:ilvl w:val="0"/>
          <w:numId w:val="0"/>
        </w:numPr>
        <w:jc w:val="center"/>
        <w:rPr>
          <w:rFonts w:hint="eastAsia" w:ascii="黑体" w:hAnsi="黑体" w:eastAsia="黑体" w:cs="黑体"/>
          <w:b w:val="0"/>
          <w:bCs/>
        </w:rPr>
      </w:pPr>
      <w:r>
        <w:rPr>
          <w:rFonts w:hint="eastAsia" w:ascii="黑体" w:hAnsi="黑体" w:eastAsia="黑体" w:cs="黑体"/>
          <w:b w:val="0"/>
          <w:bCs/>
          <w:kern w:val="44"/>
          <w:sz w:val="30"/>
          <w:szCs w:val="24"/>
          <w:lang w:val="en-US" w:eastAsia="zh-CN" w:bidi="ar-SA"/>
        </w:rPr>
        <w:t>四、</w:t>
      </w:r>
      <w:r>
        <w:rPr>
          <w:rFonts w:hint="eastAsia" w:ascii="黑体" w:hAnsi="黑体" w:eastAsia="黑体" w:cs="黑体"/>
          <w:b w:val="0"/>
          <w:bCs/>
        </w:rPr>
        <w:t>主要环境影响和保护措施</w:t>
      </w:r>
    </w:p>
    <w:tbl>
      <w:tblPr>
        <w:tblStyle w:val="26"/>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37"/>
        <w:gridCol w:w="8085"/>
      </w:tblGrid>
      <w:tr w14:paraId="46809D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49" w:hRule="atLeast"/>
        </w:trPr>
        <w:tc>
          <w:tcPr>
            <w:tcW w:w="437" w:type="dxa"/>
            <w:tcBorders>
              <w:tl2br w:val="nil"/>
              <w:tr2bl w:val="nil"/>
            </w:tcBorders>
            <w:vAlign w:val="center"/>
          </w:tcPr>
          <w:p w14:paraId="12E7B352">
            <w:pPr>
              <w:pStyle w:val="21"/>
              <w:adjustRightInd w:val="0"/>
              <w:snapToGrid w:val="0"/>
              <w:spacing w:before="0" w:beforeAutospacing="0" w:after="0" w:afterAutospacing="0"/>
              <w:jc w:val="center"/>
              <w:rPr>
                <w:rFonts w:hint="default" w:ascii="Times New Roman" w:hAnsi="Times New Roman" w:cs="Times New Roman"/>
                <w:b w:val="0"/>
                <w:bCs/>
                <w:color w:val="000000" w:themeColor="text1"/>
                <w:kern w:val="2"/>
                <w:szCs w:val="24"/>
                <w14:textFill>
                  <w14:solidFill>
                    <w14:schemeClr w14:val="tx1"/>
                  </w14:solidFill>
                </w14:textFill>
              </w:rPr>
            </w:pPr>
            <w:r>
              <w:rPr>
                <w:rFonts w:hint="default" w:ascii="Times New Roman" w:hAnsi="Times New Roman" w:cs="Times New Roman"/>
                <w:b w:val="0"/>
                <w:bCs/>
                <w:color w:val="000000" w:themeColor="text1"/>
                <w:kern w:val="2"/>
                <w:szCs w:val="24"/>
                <w14:textFill>
                  <w14:solidFill>
                    <w14:schemeClr w14:val="tx1"/>
                  </w14:solidFill>
                </w14:textFill>
              </w:rPr>
              <w:t>施工</w:t>
            </w:r>
          </w:p>
          <w:p w14:paraId="227DDDCE">
            <w:pPr>
              <w:pStyle w:val="21"/>
              <w:adjustRightInd w:val="0"/>
              <w:snapToGrid w:val="0"/>
              <w:spacing w:before="0" w:beforeAutospacing="0" w:after="0" w:afterAutospacing="0"/>
              <w:jc w:val="center"/>
              <w:rPr>
                <w:rFonts w:hint="default" w:ascii="Times New Roman" w:hAnsi="Times New Roman" w:cs="Times New Roman"/>
                <w:b w:val="0"/>
                <w:bCs/>
                <w:color w:val="000000" w:themeColor="text1"/>
                <w:kern w:val="2"/>
                <w:szCs w:val="24"/>
                <w14:textFill>
                  <w14:solidFill>
                    <w14:schemeClr w14:val="tx1"/>
                  </w14:solidFill>
                </w14:textFill>
              </w:rPr>
            </w:pPr>
            <w:r>
              <w:rPr>
                <w:rFonts w:hint="default" w:ascii="Times New Roman" w:hAnsi="Times New Roman" w:cs="Times New Roman"/>
                <w:b w:val="0"/>
                <w:bCs/>
                <w:color w:val="000000" w:themeColor="text1"/>
                <w:kern w:val="2"/>
                <w:szCs w:val="24"/>
                <w14:textFill>
                  <w14:solidFill>
                    <w14:schemeClr w14:val="tx1"/>
                  </w14:solidFill>
                </w14:textFill>
              </w:rPr>
              <w:t>期环</w:t>
            </w:r>
          </w:p>
          <w:p w14:paraId="3F244A8E">
            <w:pPr>
              <w:pStyle w:val="21"/>
              <w:adjustRightInd w:val="0"/>
              <w:snapToGrid w:val="0"/>
              <w:spacing w:before="0" w:beforeAutospacing="0" w:after="0" w:afterAutospacing="0"/>
              <w:jc w:val="center"/>
              <w:rPr>
                <w:rFonts w:hint="default" w:ascii="Times New Roman" w:hAnsi="Times New Roman" w:cs="Times New Roman"/>
                <w:b w:val="0"/>
                <w:bCs/>
                <w:color w:val="000000" w:themeColor="text1"/>
                <w:kern w:val="2"/>
                <w:szCs w:val="24"/>
                <w14:textFill>
                  <w14:solidFill>
                    <w14:schemeClr w14:val="tx1"/>
                  </w14:solidFill>
                </w14:textFill>
              </w:rPr>
            </w:pPr>
            <w:r>
              <w:rPr>
                <w:rFonts w:hint="default" w:ascii="Times New Roman" w:hAnsi="Times New Roman" w:cs="Times New Roman"/>
                <w:b w:val="0"/>
                <w:bCs/>
                <w:color w:val="000000" w:themeColor="text1"/>
                <w:kern w:val="2"/>
                <w:szCs w:val="24"/>
                <w14:textFill>
                  <w14:solidFill>
                    <w14:schemeClr w14:val="tx1"/>
                  </w14:solidFill>
                </w14:textFill>
              </w:rPr>
              <w:t>境保</w:t>
            </w:r>
          </w:p>
          <w:p w14:paraId="32E32B46">
            <w:pPr>
              <w:pStyle w:val="21"/>
              <w:adjustRightInd w:val="0"/>
              <w:snapToGrid w:val="0"/>
              <w:spacing w:before="0" w:beforeAutospacing="0" w:after="0" w:afterAutospacing="0"/>
              <w:jc w:val="center"/>
              <w:rPr>
                <w:rFonts w:hint="default" w:ascii="Times New Roman" w:hAnsi="Times New Roman" w:cs="Times New Roman"/>
                <w:b w:val="0"/>
                <w:bCs/>
                <w:color w:val="000000" w:themeColor="text1"/>
                <w:kern w:val="2"/>
                <w:szCs w:val="24"/>
                <w14:textFill>
                  <w14:solidFill>
                    <w14:schemeClr w14:val="tx1"/>
                  </w14:solidFill>
                </w14:textFill>
              </w:rPr>
            </w:pPr>
            <w:r>
              <w:rPr>
                <w:rFonts w:hint="default" w:ascii="Times New Roman" w:hAnsi="Times New Roman" w:cs="Times New Roman"/>
                <w:b w:val="0"/>
                <w:bCs/>
                <w:color w:val="000000" w:themeColor="text1"/>
                <w:kern w:val="2"/>
                <w:szCs w:val="24"/>
                <w14:textFill>
                  <w14:solidFill>
                    <w14:schemeClr w14:val="tx1"/>
                  </w14:solidFill>
                </w14:textFill>
              </w:rPr>
              <w:t>护措</w:t>
            </w:r>
          </w:p>
          <w:p w14:paraId="06C14CEE">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施</w:t>
            </w:r>
          </w:p>
        </w:tc>
        <w:tc>
          <w:tcPr>
            <w:tcW w:w="8085" w:type="dxa"/>
            <w:tcBorders>
              <w:tl2br w:val="nil"/>
              <w:tr2bl w:val="nil"/>
            </w:tcBorders>
            <w:vAlign w:val="center"/>
          </w:tcPr>
          <w:p w14:paraId="162A1543">
            <w:pPr>
              <w:pStyle w:val="3"/>
              <w:bidi w:val="0"/>
              <w:jc w:val="both"/>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本项目所在场地为租用商铺，无土建工程，只在原有门面基础上进行小范围改造。项目施工内容主要为房间隔断和设备的安装，施工工序简单，并采取文明施工及时清理、加强管理等环保措施</w:t>
            </w:r>
            <w:r>
              <w:rPr>
                <w:rFonts w:hint="eastAsia" w:cs="Times New Roman"/>
                <w:color w:val="000000" w:themeColor="text1"/>
                <w:lang w:val="en-US" w:eastAsia="zh-CN"/>
                <w14:textFill>
                  <w14:solidFill>
                    <w14:schemeClr w14:val="tx1"/>
                  </w14:solidFill>
                </w14:textFill>
              </w:rPr>
              <w:t>。</w:t>
            </w:r>
          </w:p>
          <w:p w14:paraId="19F828C2">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 施工扬尘防治措施</w:t>
            </w:r>
          </w:p>
          <w:p w14:paraId="0E1B29DD">
            <w:pPr>
              <w:pStyle w:val="3"/>
              <w:ind w:firstLine="48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本项目施工期主要为项目区楼房</w:t>
            </w:r>
            <w:r>
              <w:rPr>
                <w:rFonts w:hint="eastAsia" w:cs="Times New Roman"/>
                <w:color w:val="000000" w:themeColor="text1"/>
                <w:lang w:val="en-US" w:eastAsia="zh-CN"/>
                <w14:textFill>
                  <w14:solidFill>
                    <w14:schemeClr w14:val="tx1"/>
                  </w14:solidFill>
                </w14:textFill>
              </w:rPr>
              <w:t>内的设备安装</w:t>
            </w:r>
            <w:r>
              <w:rPr>
                <w:rFonts w:hint="default" w:cs="Times New Roman"/>
                <w:color w:val="000000" w:themeColor="text1"/>
                <w:lang w:val="en-US" w:eastAsia="zh-CN"/>
                <w14:textFill>
                  <w14:solidFill>
                    <w14:schemeClr w14:val="tx1"/>
                  </w14:solidFill>
                </w14:textFill>
              </w:rPr>
              <w:t>，即施工作业均在室内进行。主要污染物为无组织排放的颗粒物，其产生强度与施工方式、施工条件有关。因此，施工扬尘对区域环境产生的影响有限，对室内空气质量将产生一定的影响。针对</w:t>
            </w:r>
            <w:r>
              <w:rPr>
                <w:rFonts w:hint="default" w:ascii="Times New Roman" w:hAnsi="Times New Roman" w:eastAsia="宋体" w:cs="Times New Roman"/>
                <w:color w:val="000000" w:themeColor="text1"/>
                <w:sz w:val="24"/>
                <w:lang w:val="en-US" w:eastAsia="zh-CN"/>
                <w14:textFill>
                  <w14:solidFill>
                    <w14:schemeClr w14:val="tx1"/>
                  </w14:solidFill>
                </w14:textFill>
              </w:rPr>
              <w:t>本项目施工期的特点以及大气污染物产生情况，提出如下措施</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5B487A60">
            <w:pPr>
              <w:pStyle w:val="3"/>
              <w:numPr>
                <w:ilvl w:val="0"/>
                <w:numId w:val="0"/>
              </w:numPr>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针对施工任务和施工场地环境状况，制定合理的施工计划。</w:t>
            </w:r>
          </w:p>
          <w:p w14:paraId="2DB61EF8">
            <w:pPr>
              <w:pStyle w:val="3"/>
              <w:numPr>
                <w:ilvl w:val="0"/>
                <w:numId w:val="0"/>
              </w:numPr>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在室内进行装修改造施工时，通过开窗开门的方式加强室内空气流通以降低室内扬尘的浓度。</w:t>
            </w:r>
          </w:p>
          <w:p w14:paraId="66216711">
            <w:pPr>
              <w:pStyle w:val="3"/>
              <w:ind w:firstLine="48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对建筑垃圾及弃土及时处理、清运，以减少占地，防治扬尘污染。采取措施后，施工扬尘对项目区和周边居民住宅楼影响较小，且此类影响会在施工期结束后消失。</w:t>
            </w:r>
          </w:p>
          <w:p w14:paraId="1810DEB4">
            <w:pPr>
              <w:pStyle w:val="6"/>
              <w:jc w:val="both"/>
              <w:outlineLvl w:val="2"/>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 施工期废水防治措施</w:t>
            </w:r>
          </w:p>
          <w:p w14:paraId="38887A49">
            <w:pPr>
              <w:pStyle w:val="3"/>
              <w:ind w:firstLine="48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本项目无施工废水，仅施工人员产生少量生活污水，生活污水可依托项目区内卫生间进行处理。</w:t>
            </w:r>
          </w:p>
          <w:p w14:paraId="60119567">
            <w:pPr>
              <w:pStyle w:val="6"/>
              <w:jc w:val="both"/>
              <w:outlineLvl w:val="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 施工期噪声防治措施</w:t>
            </w:r>
          </w:p>
          <w:p w14:paraId="2B483B21">
            <w:pPr>
              <w:pStyle w:val="3"/>
              <w:ind w:firstLine="48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施工期噪声主要来自施工作业与设备安装时所产生的施工噪声，噪声具有临时性、阶段性、不固定性等特点。根据《中华人民共和国噪声污染防治法》相关规定，结合本工程实际情况，对施工期声环境影响提出以下防治措施意见：</w:t>
            </w:r>
          </w:p>
          <w:p w14:paraId="73C6D848">
            <w:pPr>
              <w:pStyle w:val="3"/>
              <w:numPr>
                <w:ilvl w:val="0"/>
                <w:numId w:val="0"/>
              </w:numPr>
              <w:ind w:firstLine="480" w:firstLineChars="200"/>
              <w:jc w:val="both"/>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（1）优先使用低噪设备，加强声源噪声控制，加强机械设备保养、严格按规范操作，使其处于良好的运行状态。</w:t>
            </w:r>
          </w:p>
          <w:p w14:paraId="77CA401E">
            <w:pPr>
              <w:pStyle w:val="3"/>
              <w:numPr>
                <w:ilvl w:val="0"/>
                <w:numId w:val="0"/>
              </w:numPr>
              <w:ind w:firstLine="480" w:firstLineChars="200"/>
              <w:jc w:val="both"/>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合理安排施工时间，制定施工计划时，应尽可能避免大量噪声设备同时使用。应尽量安排在白天施工，严禁夜间进行施工</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w:t>
            </w:r>
          </w:p>
          <w:p w14:paraId="59BAB193">
            <w:pPr>
              <w:pStyle w:val="3"/>
              <w:numPr>
                <w:ilvl w:val="0"/>
                <w:numId w:val="0"/>
              </w:numPr>
              <w:ind w:firstLine="480" w:firstLineChars="200"/>
              <w:jc w:val="both"/>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本项目噪声随施工结束而消失，通过采取上述措施后，施工期噪声对周围声环境影响较小。</w:t>
            </w:r>
          </w:p>
          <w:p w14:paraId="0D12BEDF">
            <w:pPr>
              <w:pStyle w:val="6"/>
              <w:jc w:val="both"/>
              <w:outlineLvl w:val="2"/>
              <w:rPr>
                <w:rFonts w:hint="eastAsia" w:ascii="Times New Roman" w:hAnsi="Times New Roman" w:eastAsia="宋体"/>
                <w:color w:val="0000FF"/>
                <w:lang w:val="en-US" w:eastAsia="zh-CN"/>
              </w:rPr>
            </w:pPr>
            <w:r>
              <w:rPr>
                <w:rFonts w:hint="eastAsia" w:ascii="Times New Roman" w:hAnsi="Times New Roman" w:eastAsia="宋体"/>
                <w:color w:val="0000FF"/>
                <w:lang w:val="en-US" w:eastAsia="zh-CN"/>
              </w:rPr>
              <w:t>4 施工期固体废物防治措施</w:t>
            </w:r>
          </w:p>
          <w:p w14:paraId="16C34ECE">
            <w:pPr>
              <w:pStyle w:val="3"/>
              <w:ind w:firstLine="480"/>
              <w:jc w:val="both"/>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color w:val="0000FF"/>
                <w:sz w:val="24"/>
                <w:lang w:val="en-US" w:eastAsia="zh-CN"/>
              </w:rPr>
              <w:t>本项目施工期固体废物主要为</w:t>
            </w:r>
            <w:r>
              <w:rPr>
                <w:rFonts w:hint="eastAsia" w:ascii="Times New Roman" w:hAnsi="Times New Roman" w:eastAsia="宋体" w:cs="Times New Roman"/>
                <w:color w:val="0000FF"/>
                <w:sz w:val="24"/>
                <w:lang w:val="en-US" w:eastAsia="zh-CN"/>
              </w:rPr>
              <w:t>少量</w:t>
            </w:r>
            <w:r>
              <w:rPr>
                <w:rFonts w:hint="default" w:ascii="Times New Roman" w:hAnsi="Times New Roman" w:eastAsia="宋体" w:cs="Times New Roman"/>
                <w:color w:val="0000FF"/>
                <w:sz w:val="24"/>
                <w:lang w:val="en-US" w:eastAsia="zh-CN"/>
              </w:rPr>
              <w:t>建筑垃圾与生活垃圾。</w:t>
            </w:r>
          </w:p>
          <w:p w14:paraId="0613C0E5">
            <w:pPr>
              <w:pStyle w:val="3"/>
              <w:numPr>
                <w:ilvl w:val="0"/>
                <w:numId w:val="0"/>
              </w:numPr>
              <w:ind w:firstLine="480" w:firstLineChars="200"/>
              <w:jc w:val="both"/>
              <w:rPr>
                <w:rFonts w:hint="default" w:ascii="Times New Roman" w:hAnsi="Times New Roman" w:eastAsia="宋体" w:cs="Times New Roman"/>
                <w:color w:val="0000FF"/>
                <w:sz w:val="24"/>
                <w:lang w:val="en-US" w:eastAsia="zh-CN"/>
              </w:rPr>
            </w:pPr>
            <w:r>
              <w:rPr>
                <w:rFonts w:hint="default" w:ascii="Times New Roman" w:hAnsi="Times New Roman" w:eastAsia="宋体" w:cs="Times New Roman"/>
                <w:b w:val="0"/>
                <w:color w:val="0000FF"/>
                <w:kern w:val="2"/>
                <w:sz w:val="24"/>
                <w:szCs w:val="24"/>
                <w:lang w:val="en-US" w:eastAsia="zh-CN" w:bidi="ar-SA"/>
              </w:rPr>
              <w:t>（1）</w:t>
            </w:r>
            <w:r>
              <w:rPr>
                <w:rFonts w:hint="default" w:ascii="Times New Roman" w:hAnsi="Times New Roman" w:eastAsia="宋体" w:cs="Times New Roman"/>
                <w:color w:val="0000FF"/>
                <w:sz w:val="24"/>
                <w:lang w:val="en-US" w:eastAsia="zh-CN"/>
              </w:rPr>
              <w:t>建筑垃圾经分类收集后，尽量综合利用，无法综合利用的建筑垃圾交给符合规定的运输单位运输至政府部门指定的处置点，不得随意倾倒、堆置。</w:t>
            </w:r>
          </w:p>
          <w:p w14:paraId="3C9B181C">
            <w:pPr>
              <w:pStyle w:val="3"/>
              <w:numPr>
                <w:ilvl w:val="0"/>
                <w:numId w:val="0"/>
              </w:numPr>
              <w:ind w:firstLine="480" w:firstLineChars="200"/>
              <w:jc w:val="both"/>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color w:val="0000FF"/>
                <w:kern w:val="2"/>
                <w:sz w:val="24"/>
                <w:szCs w:val="24"/>
                <w:lang w:val="en-US" w:eastAsia="zh-CN" w:bidi="ar-SA"/>
              </w:rPr>
              <w:t>（</w:t>
            </w:r>
            <w:r>
              <w:rPr>
                <w:rFonts w:hint="eastAsia" w:cs="Times New Roman"/>
                <w:b w:val="0"/>
                <w:color w:val="0000FF"/>
                <w:kern w:val="2"/>
                <w:sz w:val="24"/>
                <w:szCs w:val="24"/>
                <w:lang w:val="en-US" w:eastAsia="zh-CN" w:bidi="ar-SA"/>
              </w:rPr>
              <w:t>2</w:t>
            </w:r>
            <w:r>
              <w:rPr>
                <w:rFonts w:hint="default" w:ascii="Times New Roman" w:hAnsi="Times New Roman" w:eastAsia="宋体" w:cs="Times New Roman"/>
                <w:b w:val="0"/>
                <w:color w:val="0000FF"/>
                <w:kern w:val="2"/>
                <w:sz w:val="24"/>
                <w:szCs w:val="24"/>
                <w:lang w:val="en-US" w:eastAsia="zh-CN" w:bidi="ar-SA"/>
              </w:rPr>
              <w:t>）</w:t>
            </w:r>
            <w:r>
              <w:rPr>
                <w:rFonts w:hint="default" w:ascii="Times New Roman" w:hAnsi="Times New Roman" w:eastAsia="宋体" w:cs="Times New Roman"/>
                <w:color w:val="0000FF"/>
                <w:sz w:val="24"/>
                <w:lang w:val="en-US" w:eastAsia="zh-CN"/>
              </w:rPr>
              <w:t>生活垃圾收集后运送至项目区附近垃圾站，后由环卫部门处理</w:t>
            </w:r>
            <w:r>
              <w:rPr>
                <w:rFonts w:hint="eastAsia" w:ascii="Times New Roman" w:hAnsi="Times New Roman" w:eastAsia="宋体" w:cs="Times New Roman"/>
                <w:color w:val="0000FF"/>
                <w:sz w:val="24"/>
                <w:lang w:val="en-US" w:eastAsia="zh-CN"/>
              </w:rPr>
              <w:t>。</w:t>
            </w:r>
          </w:p>
        </w:tc>
      </w:tr>
      <w:tr w14:paraId="0C4EA0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50" w:hRule="atLeast"/>
        </w:trPr>
        <w:tc>
          <w:tcPr>
            <w:tcW w:w="437" w:type="dxa"/>
            <w:tcBorders>
              <w:tl2br w:val="nil"/>
              <w:tr2bl w:val="nil"/>
            </w:tcBorders>
            <w:vAlign w:val="center"/>
          </w:tcPr>
          <w:p w14:paraId="55924709">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24D220D9">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0D802CC3">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6DA17F36">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1C4FF95A">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14:paraId="2EF90E00">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措施</w:t>
            </w:r>
          </w:p>
        </w:tc>
        <w:tc>
          <w:tcPr>
            <w:tcW w:w="8085" w:type="dxa"/>
            <w:tcBorders>
              <w:tl2br w:val="nil"/>
              <w:tr2bl w:val="nil"/>
            </w:tcBorders>
            <w:vAlign w:val="center"/>
          </w:tcPr>
          <w:p w14:paraId="317DE663">
            <w:pPr>
              <w:pStyle w:val="6"/>
              <w:jc w:val="both"/>
              <w:outlineLvl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废气环境影响和保护措施</w:t>
            </w:r>
          </w:p>
          <w:p w14:paraId="5CBF2006">
            <w:pPr>
              <w:pStyle w:val="6"/>
              <w:jc w:val="both"/>
              <w:outlineLvl w:val="2"/>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1.1</w:t>
            </w:r>
            <w:r>
              <w:rPr>
                <w:rFonts w:hint="eastAsia" w:cs="Times New Roman"/>
                <w:color w:val="0000FF"/>
                <w:lang w:val="en-US" w:eastAsia="zh-CN"/>
              </w:rPr>
              <w:t xml:space="preserve"> 污染源分析</w:t>
            </w:r>
          </w:p>
          <w:p w14:paraId="6333C91F">
            <w:pPr>
              <w:pStyle w:val="3"/>
              <w:ind w:firstLine="480"/>
              <w:jc w:val="both"/>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本项目运营期间，废气主要来源于动物自身、宠物的粪便和尿液产生的臭气</w:t>
            </w:r>
            <w:r>
              <w:rPr>
                <w:rFonts w:hint="eastAsia" w:cs="Times New Roman"/>
                <w:color w:val="0000FF"/>
                <w:lang w:val="en-US" w:eastAsia="zh-CN"/>
              </w:rPr>
              <w:t>及</w:t>
            </w:r>
            <w:r>
              <w:rPr>
                <w:rFonts w:ascii="宋体" w:hAnsi="宋体" w:eastAsia="宋体" w:cs="宋体"/>
                <w:color w:val="0000FF"/>
                <w:sz w:val="24"/>
                <w:szCs w:val="24"/>
              </w:rPr>
              <w:t>废水处理设施</w:t>
            </w:r>
            <w:r>
              <w:rPr>
                <w:rFonts w:hint="eastAsia" w:ascii="宋体" w:hAnsi="宋体" w:eastAsia="宋体" w:cs="宋体"/>
                <w:color w:val="0000FF"/>
                <w:sz w:val="24"/>
                <w:szCs w:val="24"/>
                <w:lang w:val="en-US" w:eastAsia="zh-CN"/>
              </w:rPr>
              <w:t>产生的少量臭气</w:t>
            </w:r>
            <w:r>
              <w:rPr>
                <w:rFonts w:hint="default" w:ascii="Times New Roman" w:hAnsi="Times New Roman" w:eastAsia="宋体" w:cs="Times New Roman"/>
                <w:color w:val="0000FF"/>
                <w:lang w:val="en-US" w:eastAsia="zh-CN"/>
              </w:rPr>
              <w:t>。项目实施后主要接诊对象为猫、狗等小动物，接诊及留诊观察过程中会有动物自身及粪便产生的少量异味，其中主要污染因子为臭气浓度，呈无组织排放。</w:t>
            </w:r>
          </w:p>
          <w:p w14:paraId="5E48AECC">
            <w:pPr>
              <w:pStyle w:val="3"/>
              <w:ind w:firstLine="480"/>
              <w:jc w:val="both"/>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根据本项目接诊量，动物粪便量极少，且动物均放置在笼子中，笼子下方放置有屎尿垫便于收集动物粪便尿液，动物的粪便尿液被屎尿垫收集后及时由专人清理更换，并对动物粪便屎尿及更换后屎尿垫消毒后采用塑料垃圾袋集中密闭收集后交由</w:t>
            </w:r>
            <w:r>
              <w:rPr>
                <w:rFonts w:hint="eastAsia" w:cs="Times New Roman"/>
                <w:color w:val="0000FF"/>
                <w:lang w:val="en-US" w:eastAsia="zh-CN"/>
              </w:rPr>
              <w:t>奇台县</w:t>
            </w:r>
            <w:r>
              <w:rPr>
                <w:rFonts w:hint="default" w:ascii="Times New Roman" w:hAnsi="Times New Roman" w:eastAsia="宋体" w:cs="Times New Roman"/>
                <w:color w:val="0000FF"/>
                <w:lang w:val="en-US" w:eastAsia="zh-CN"/>
              </w:rPr>
              <w:t>环卫部门定期清理处置，可将动物粪便尿液散发的异味</w:t>
            </w:r>
            <w:r>
              <w:rPr>
                <w:rFonts w:hint="eastAsia" w:cs="Times New Roman"/>
                <w:color w:val="0000FF"/>
                <w:lang w:val="en-US" w:eastAsia="zh-CN"/>
              </w:rPr>
              <w:t>降</w:t>
            </w:r>
            <w:r>
              <w:rPr>
                <w:rFonts w:hint="default" w:ascii="Times New Roman" w:hAnsi="Times New Roman" w:eastAsia="宋体" w:cs="Times New Roman"/>
                <w:color w:val="0000FF"/>
                <w:lang w:val="en-US" w:eastAsia="zh-CN"/>
              </w:rPr>
              <w:t>至最低</w:t>
            </w:r>
            <w:r>
              <w:rPr>
                <w:rFonts w:hint="eastAsia" w:ascii="Times New Roman" w:hAnsi="Times New Roman" w:eastAsia="宋体" w:cs="Times New Roman"/>
                <w:color w:val="0000FF"/>
                <w:lang w:val="en-US" w:eastAsia="zh-CN"/>
              </w:rPr>
              <w:t>，本项目</w:t>
            </w:r>
            <w:r>
              <w:rPr>
                <w:rFonts w:hint="eastAsia" w:cs="Times New Roman"/>
                <w:color w:val="0000FF"/>
                <w:lang w:val="en-US" w:eastAsia="zh-CN"/>
              </w:rPr>
              <w:t>集中收集的垃圾桶应定期消毒处理，能有效减少空气中异味及含菌量。</w:t>
            </w:r>
            <w:r>
              <w:rPr>
                <w:rFonts w:hint="default" w:ascii="Times New Roman" w:hAnsi="Times New Roman" w:eastAsia="宋体" w:cs="Times New Roman"/>
                <w:color w:val="0000FF"/>
                <w:lang w:val="en-US" w:eastAsia="zh-CN"/>
              </w:rPr>
              <w:t>此外，项目区内设有新风系统，可加强项目区通风换气能力，减少异味，并且采用紫外线消毒灯对营业场所进行消毒，经紫外线消毒后，能有效的减少空气中的含菌量。</w:t>
            </w:r>
          </w:p>
          <w:p w14:paraId="0D1CBE9B">
            <w:pPr>
              <w:pStyle w:val="3"/>
              <w:ind w:firstLine="480"/>
              <w:jc w:val="both"/>
              <w:rPr>
                <w:rFonts w:hint="default" w:ascii="Times New Roman" w:hAnsi="Times New Roman" w:eastAsia="宋体" w:cs="Times New Roman"/>
                <w:color w:val="0000FF"/>
                <w:lang w:val="en-US" w:eastAsia="zh-CN"/>
              </w:rPr>
            </w:pPr>
            <w:r>
              <w:rPr>
                <w:rFonts w:hint="eastAsia" w:ascii="宋体" w:hAnsi="宋体" w:eastAsia="宋体" w:cs="宋体"/>
                <w:color w:val="0000FF"/>
                <w:sz w:val="24"/>
                <w:szCs w:val="24"/>
                <w:lang w:val="en-US" w:eastAsia="zh-CN"/>
              </w:rPr>
              <w:t>本项目</w:t>
            </w:r>
            <w:r>
              <w:rPr>
                <w:rFonts w:ascii="宋体" w:hAnsi="宋体" w:eastAsia="宋体" w:cs="宋体"/>
                <w:color w:val="0000FF"/>
                <w:sz w:val="24"/>
                <w:szCs w:val="24"/>
              </w:rPr>
              <w:t>废水处理设施为密闭的一体化污水处理设备，产生的恶臭较少，经加强通风和定期消毒处理后，对周边环境影响小。类比同类型项目长沙市天心区富瑞宠物医院，该公司日均接待宠物诊 疗量约4例、宠物美容5只，与本项目经营规模类似。根据《长沙市天心区富瑞宠物医院建设项目竣工环境保护验收监测报告》，验收监测期间，该项目厂界无组织排放的臭气最大浓度为＜10（无量纲），满足《恶臭污染 物排放标准》（GB14554-93）中表1“二级”恶臭污染物厂界标准值；本项目运营工艺及废气产污环节与其基本相同，因此项目废气能够满足《恶臭污染物排放标准》中表1“二级”恶臭污染物厂界标准值（臭气浓度≤20 ，无量纲），对周围环境影响较小</w:t>
            </w:r>
          </w:p>
          <w:p w14:paraId="33D14A00">
            <w:pPr>
              <w:pStyle w:val="3"/>
              <w:ind w:firstLine="480"/>
              <w:jc w:val="both"/>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本项目运营期间通过采取相应有效措施后，项目区场界臭气浓度可满足《恶臭污染物排放标准》（GB14554-93）表1中标准限值要求。因此，本项目建设对项目区周边大气环境及大气环境保护目标产生的影响很小</w:t>
            </w:r>
            <w:r>
              <w:rPr>
                <w:rFonts w:hint="eastAsia" w:cs="Times New Roman"/>
                <w:color w:val="0000FF"/>
                <w:lang w:val="en-US" w:eastAsia="zh-CN"/>
              </w:rPr>
              <w:t>。</w:t>
            </w:r>
          </w:p>
          <w:p w14:paraId="4B73FBF7">
            <w:pPr>
              <w:pStyle w:val="6"/>
              <w:numPr>
                <w:ilvl w:val="1"/>
                <w:numId w:val="0"/>
              </w:numPr>
              <w:ind w:left="0" w:leftChars="0" w:firstLine="0" w:firstLineChars="0"/>
              <w:jc w:val="both"/>
              <w:outlineLvl w:val="2"/>
              <w:rPr>
                <w:rFonts w:hint="default" w:ascii="Times New Roman" w:hAnsi="Times New Roman" w:cs="Times New Roman"/>
                <w:color w:val="0000FF"/>
                <w:lang w:val="en-US" w:eastAsia="zh-CN"/>
              </w:rPr>
            </w:pPr>
            <w:r>
              <w:rPr>
                <w:rFonts w:hint="default" w:ascii="Times New Roman" w:hAnsi="Times New Roman" w:cs="Times New Roman"/>
                <w:b/>
                <w:color w:val="0000FF"/>
                <w:kern w:val="2"/>
                <w:sz w:val="24"/>
                <w:szCs w:val="24"/>
                <w:lang w:val="en-US" w:eastAsia="zh-CN" w:bidi="ar-SA"/>
              </w:rPr>
              <w:t>1</w:t>
            </w:r>
            <w:r>
              <w:rPr>
                <w:rFonts w:hint="default" w:ascii="Times New Roman" w:hAnsi="Times New Roman" w:eastAsia="宋体" w:cs="Times New Roman"/>
                <w:b/>
                <w:color w:val="0000FF"/>
                <w:kern w:val="2"/>
                <w:sz w:val="24"/>
                <w:szCs w:val="24"/>
                <w:lang w:val="en-US" w:eastAsia="zh-CN" w:bidi="ar-SA"/>
              </w:rPr>
              <w:t>.2</w:t>
            </w:r>
            <w:r>
              <w:rPr>
                <w:rFonts w:hint="eastAsia" w:cs="Times New Roman"/>
                <w:b/>
                <w:color w:val="0000FF"/>
                <w:kern w:val="2"/>
                <w:sz w:val="24"/>
                <w:szCs w:val="24"/>
                <w:lang w:val="en-US" w:eastAsia="zh-CN" w:bidi="ar-SA"/>
              </w:rPr>
              <w:t xml:space="preserve"> </w:t>
            </w:r>
            <w:r>
              <w:rPr>
                <w:rFonts w:hint="default" w:ascii="Times New Roman" w:hAnsi="Times New Roman" w:cs="Times New Roman"/>
                <w:color w:val="0000FF"/>
              </w:rPr>
              <w:t>废气治理设施的可行性分析</w:t>
            </w:r>
          </w:p>
          <w:p w14:paraId="0D7DD4A1">
            <w:pPr>
              <w:pStyle w:val="3"/>
              <w:ind w:firstLine="480"/>
              <w:jc w:val="both"/>
              <w:rPr>
                <w:rFonts w:hint="eastAsia"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项目服务对象仅针对猫、狗，不接收人畜共患传染病的宠物，并且采用高压灭菌锅对</w:t>
            </w:r>
            <w:r>
              <w:rPr>
                <w:rFonts w:hint="eastAsia" w:ascii="Times New Roman" w:hAnsi="Times New Roman" w:eastAsia="宋体" w:cs="Times New Roman"/>
                <w:color w:val="0000FF"/>
                <w:lang w:val="en-US" w:eastAsia="zh-CN"/>
              </w:rPr>
              <w:t>医疗</w:t>
            </w:r>
            <w:r>
              <w:rPr>
                <w:rFonts w:hint="default" w:ascii="Times New Roman" w:hAnsi="Times New Roman" w:eastAsia="宋体" w:cs="Times New Roman"/>
                <w:color w:val="0000FF"/>
                <w:lang w:val="en-US" w:eastAsia="zh-CN"/>
              </w:rPr>
              <w:t>过程中使用的器皿、手术器械进行灭菌</w:t>
            </w:r>
            <w:r>
              <w:rPr>
                <w:rFonts w:hint="eastAsia" w:ascii="Times New Roman" w:hAnsi="Times New Roman" w:eastAsia="宋体" w:cs="Times New Roman"/>
                <w:color w:val="0000FF"/>
                <w:lang w:val="en-US" w:eastAsia="zh-CN"/>
              </w:rPr>
              <w:t>：手术室、B超室及美容室</w:t>
            </w:r>
            <w:r>
              <w:rPr>
                <w:rFonts w:hint="default" w:ascii="Times New Roman" w:hAnsi="Times New Roman" w:eastAsia="宋体" w:cs="Times New Roman"/>
                <w:color w:val="0000FF"/>
                <w:lang w:val="en-US" w:eastAsia="zh-CN"/>
              </w:rPr>
              <w:t>安装紫外线灯对空气进行消毒，加强管理工作，并定期对医疗废物暂存间、污水处理设施、宠物笼舍、其他各科室进行消毒处理并喷洒生物除臭剂。根据《排污许可证 申请与核发技术规范 医疗机构》（HJ1105-2020），确定“产生恶臭区域 加罩或加盖，投放除臭剂”为可行技术</w:t>
            </w:r>
            <w:r>
              <w:rPr>
                <w:rFonts w:hint="eastAsia" w:ascii="Times New Roman" w:hAnsi="Times New Roman" w:eastAsia="宋体" w:cs="Times New Roman"/>
                <w:color w:val="0000FF"/>
                <w:lang w:val="en-US" w:eastAsia="zh-CN"/>
              </w:rPr>
              <w:t>。</w:t>
            </w:r>
          </w:p>
          <w:p w14:paraId="75854B40">
            <w:pPr>
              <w:pStyle w:val="3"/>
              <w:ind w:firstLine="480"/>
              <w:jc w:val="both"/>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该项目产生恶臭气体较少，在采取“</w:t>
            </w:r>
            <w:r>
              <w:rPr>
                <w:rFonts w:hint="default" w:ascii="Times New Roman" w:hAnsi="Times New Roman" w:eastAsia="宋体" w:cs="Times New Roman"/>
                <w:color w:val="0000FF"/>
                <w:lang w:val="en-US" w:eastAsia="zh-CN"/>
              </w:rPr>
              <w:t>产生恶臭区域加罩或加盖，投放除臭剂</w:t>
            </w:r>
            <w:r>
              <w:rPr>
                <w:rFonts w:hint="eastAsia" w:ascii="Times New Roman" w:hAnsi="Times New Roman" w:eastAsia="宋体" w:cs="Times New Roman"/>
                <w:color w:val="0000FF"/>
                <w:lang w:val="en-US" w:eastAsia="zh-CN"/>
              </w:rPr>
              <w:t>”措施后，</w:t>
            </w:r>
            <w:r>
              <w:rPr>
                <w:rFonts w:hint="default" w:ascii="Times New Roman" w:hAnsi="Times New Roman" w:eastAsia="宋体" w:cs="Times New Roman"/>
                <w:color w:val="0000FF"/>
                <w:lang w:val="en-US" w:eastAsia="zh-CN"/>
              </w:rPr>
              <w:t>项目运营过程产生的臭气排放可满足《恶臭污染物排放标准》</w:t>
            </w:r>
            <w:r>
              <w:rPr>
                <w:rFonts w:hint="eastAsia" w:ascii="Times New Roman" w:hAnsi="Times New Roman" w:eastAsia="宋体" w:cs="Times New Roman"/>
                <w:color w:val="0000FF"/>
                <w:lang w:val="en-US" w:eastAsia="zh-CN"/>
              </w:rPr>
              <w:t>（</w:t>
            </w:r>
            <w:r>
              <w:rPr>
                <w:rFonts w:hint="default" w:ascii="Times New Roman" w:hAnsi="Times New Roman" w:eastAsia="宋体" w:cs="Times New Roman"/>
                <w:color w:val="0000FF"/>
                <w:lang w:val="en-US" w:eastAsia="zh-CN"/>
              </w:rPr>
              <w:t>GB14554-93</w:t>
            </w:r>
            <w:r>
              <w:rPr>
                <w:rFonts w:hint="eastAsia" w:ascii="Times New Roman" w:hAnsi="Times New Roman" w:eastAsia="宋体" w:cs="Times New Roman"/>
                <w:color w:val="0000FF"/>
                <w:lang w:val="en-US" w:eastAsia="zh-CN"/>
              </w:rPr>
              <w:t>）</w:t>
            </w:r>
            <w:r>
              <w:rPr>
                <w:rFonts w:hint="default" w:ascii="Times New Roman" w:hAnsi="Times New Roman" w:eastAsia="宋体" w:cs="Times New Roman"/>
                <w:color w:val="0000FF"/>
                <w:lang w:val="en-US" w:eastAsia="zh-CN"/>
              </w:rPr>
              <w:t>表1中恶臭污染物厂界标准限值。</w:t>
            </w:r>
          </w:p>
          <w:p w14:paraId="5DCC0FEE">
            <w:pPr>
              <w:pStyle w:val="6"/>
              <w:jc w:val="both"/>
              <w:outlineLvl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 xml:space="preserve"> 监测计划</w:t>
            </w:r>
          </w:p>
          <w:p w14:paraId="49626076">
            <w:pPr>
              <w:pStyle w:val="3"/>
              <w:ind w:firstLine="48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由于本项目未纳入《固定污染源排污许可分类管理名录（2019年版）》</w:t>
            </w:r>
            <w:r>
              <w:rPr>
                <w:rFonts w:hint="eastAsia" w:ascii="Times New Roman" w:hAnsi="Times New Roman" w:eastAsia="宋体" w:cs="Times New Roman"/>
                <w:color w:val="000000" w:themeColor="text1"/>
                <w:lang w:val="en-US" w:eastAsia="zh-CN"/>
                <w14:textFill>
                  <w14:solidFill>
                    <w14:schemeClr w14:val="tx1"/>
                  </w14:solidFill>
                </w14:textFill>
              </w:rPr>
              <w:t>因此本项目</w:t>
            </w:r>
            <w:r>
              <w:rPr>
                <w:rFonts w:hint="default" w:ascii="Times New Roman" w:hAnsi="Times New Roman" w:eastAsia="宋体" w:cs="Times New Roman"/>
                <w:color w:val="000000" w:themeColor="text1"/>
                <w:lang w:val="en-US" w:eastAsia="zh-CN"/>
                <w14:textFill>
                  <w14:solidFill>
                    <w14:schemeClr w14:val="tx1"/>
                  </w14:solidFill>
                </w14:textFill>
              </w:rPr>
              <w:t>监测项目及频次依据《排污单位自行监测技术指南</w:t>
            </w:r>
            <w:r>
              <w:rPr>
                <w:rFonts w:hint="eastAsia" w:ascii="Times New Roman" w:hAnsi="Times New Roman" w:eastAsia="宋体" w:cs="Times New Roman"/>
                <w:color w:val="000000" w:themeColor="text1"/>
                <w:lang w:val="en-US" w:eastAsia="zh-CN"/>
                <w14:textFill>
                  <w14:solidFill>
                    <w14:schemeClr w14:val="tx1"/>
                  </w14:solidFill>
                </w14:textFill>
              </w:rPr>
              <w:t xml:space="preserve"> 总则</w:t>
            </w:r>
            <w:r>
              <w:rPr>
                <w:rFonts w:hint="default" w:ascii="Times New Roman" w:hAnsi="Times New Roman" w:eastAsia="宋体" w:cs="Times New Roman"/>
                <w:color w:val="000000" w:themeColor="text1"/>
                <w:lang w:val="en-US" w:eastAsia="zh-CN"/>
                <w14:textFill>
                  <w14:solidFill>
                    <w14:schemeClr w14:val="tx1"/>
                  </w14:solidFill>
                </w14:textFill>
              </w:rPr>
              <w:t>》（HJ819-2017）要求确定，具体监测要求见表4-1。</w:t>
            </w:r>
          </w:p>
          <w:p w14:paraId="4F2B09B6">
            <w:pPr>
              <w:pStyle w:val="3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表4-</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废气监测内容及计划</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094"/>
              <w:gridCol w:w="1259"/>
              <w:gridCol w:w="1185"/>
              <w:gridCol w:w="2509"/>
              <w:gridCol w:w="740"/>
            </w:tblGrid>
            <w:tr w14:paraId="50B2D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tcBorders>
                    <w:bottom w:val="single" w:color="auto" w:sz="12" w:space="0"/>
                  </w:tcBorders>
                  <w:vAlign w:val="center"/>
                </w:tcPr>
                <w:p w14:paraId="6FD7FA46">
                  <w:pPr>
                    <w:pStyle w:val="35"/>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因素</w:t>
                  </w:r>
                </w:p>
              </w:tc>
              <w:tc>
                <w:tcPr>
                  <w:tcW w:w="695" w:type="pct"/>
                  <w:tcBorders>
                    <w:bottom w:val="single" w:color="auto" w:sz="12" w:space="0"/>
                  </w:tcBorders>
                  <w:vAlign w:val="center"/>
                </w:tcPr>
                <w:p w14:paraId="21897B12">
                  <w:pPr>
                    <w:pStyle w:val="35"/>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监测位置</w:t>
                  </w:r>
                </w:p>
              </w:tc>
              <w:tc>
                <w:tcPr>
                  <w:tcW w:w="800" w:type="pct"/>
                  <w:tcBorders>
                    <w:bottom w:val="single" w:color="auto" w:sz="12" w:space="0"/>
                  </w:tcBorders>
                  <w:vAlign w:val="center"/>
                </w:tcPr>
                <w:p w14:paraId="13EEF966">
                  <w:pPr>
                    <w:pStyle w:val="35"/>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监测指标</w:t>
                  </w:r>
                </w:p>
              </w:tc>
              <w:tc>
                <w:tcPr>
                  <w:tcW w:w="753" w:type="pct"/>
                  <w:tcBorders>
                    <w:bottom w:val="single" w:color="auto" w:sz="12" w:space="0"/>
                  </w:tcBorders>
                  <w:vAlign w:val="center"/>
                </w:tcPr>
                <w:p w14:paraId="34D95B42">
                  <w:pPr>
                    <w:pStyle w:val="35"/>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监测频次</w:t>
                  </w:r>
                </w:p>
              </w:tc>
              <w:tc>
                <w:tcPr>
                  <w:tcW w:w="1594" w:type="pct"/>
                  <w:tcBorders>
                    <w:bottom w:val="single" w:color="auto" w:sz="12" w:space="0"/>
                  </w:tcBorders>
                  <w:vAlign w:val="center"/>
                </w:tcPr>
                <w:p w14:paraId="0890DC4F">
                  <w:pPr>
                    <w:pStyle w:val="35"/>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执行标准</w:t>
                  </w:r>
                </w:p>
              </w:tc>
              <w:tc>
                <w:tcPr>
                  <w:tcW w:w="470" w:type="pct"/>
                  <w:tcBorders>
                    <w:bottom w:val="single" w:color="auto" w:sz="12" w:space="0"/>
                  </w:tcBorders>
                  <w:vAlign w:val="center"/>
                </w:tcPr>
                <w:p w14:paraId="348E01FF">
                  <w:pPr>
                    <w:pStyle w:val="35"/>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备注</w:t>
                  </w:r>
                </w:p>
              </w:tc>
            </w:tr>
            <w:tr w14:paraId="507BB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tcBorders>
                    <w:top w:val="single" w:color="auto" w:sz="12" w:space="0"/>
                    <w:tl2br w:val="nil"/>
                    <w:tr2bl w:val="nil"/>
                  </w:tcBorders>
                  <w:vAlign w:val="center"/>
                </w:tcPr>
                <w:p w14:paraId="3FCC727C">
                  <w:pPr>
                    <w:pStyle w:val="35"/>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宠</w:t>
                  </w:r>
                  <w:r>
                    <w:rPr>
                      <w:rFonts w:hint="eastAsia" w:cs="Times New Roman"/>
                      <w:color w:val="000000" w:themeColor="text1"/>
                      <w:lang w:eastAsia="zh-CN"/>
                      <w14:textFill>
                        <w14:solidFill>
                          <w14:schemeClr w14:val="tx1"/>
                        </w14:solidFill>
                      </w14:textFill>
                    </w:rPr>
                    <w:t>物</w:t>
                  </w:r>
                  <w:r>
                    <w:rPr>
                      <w:rFonts w:hint="default" w:ascii="Times New Roman" w:hAnsi="Times New Roman" w:cs="Times New Roman"/>
                      <w:color w:val="000000" w:themeColor="text1"/>
                      <w14:textFill>
                        <w14:solidFill>
                          <w14:schemeClr w14:val="tx1"/>
                        </w14:solidFill>
                      </w14:textFill>
                    </w:rPr>
                    <w:t>本身散发或手术过程产生的异味</w:t>
                  </w:r>
                </w:p>
              </w:tc>
              <w:tc>
                <w:tcPr>
                  <w:tcW w:w="695" w:type="pct"/>
                  <w:tcBorders>
                    <w:top w:val="single" w:color="auto" w:sz="12" w:space="0"/>
                    <w:tl2br w:val="nil"/>
                    <w:tr2bl w:val="nil"/>
                  </w:tcBorders>
                  <w:vAlign w:val="center"/>
                </w:tcPr>
                <w:p w14:paraId="2F797AF4">
                  <w:pPr>
                    <w:pStyle w:val="35"/>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厂界四周</w:t>
                  </w:r>
                </w:p>
              </w:tc>
              <w:tc>
                <w:tcPr>
                  <w:tcW w:w="800" w:type="pct"/>
                  <w:tcBorders>
                    <w:top w:val="single" w:color="auto" w:sz="12" w:space="0"/>
                    <w:tl2br w:val="nil"/>
                    <w:tr2bl w:val="nil"/>
                  </w:tcBorders>
                  <w:vAlign w:val="center"/>
                </w:tcPr>
                <w:p w14:paraId="2C27BE60">
                  <w:pPr>
                    <w:pStyle w:val="35"/>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臭气浓度</w:t>
                  </w:r>
                </w:p>
              </w:tc>
              <w:tc>
                <w:tcPr>
                  <w:tcW w:w="753" w:type="pct"/>
                  <w:tcBorders>
                    <w:top w:val="single" w:color="auto" w:sz="12" w:space="0"/>
                    <w:tl2br w:val="nil"/>
                    <w:tr2bl w:val="nil"/>
                  </w:tcBorders>
                  <w:vAlign w:val="center"/>
                </w:tcPr>
                <w:p w14:paraId="04A8D60C">
                  <w:pPr>
                    <w:pStyle w:val="35"/>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1次/</w:t>
                  </w:r>
                  <w:r>
                    <w:rPr>
                      <w:rFonts w:hint="eastAsia" w:cs="Times New Roman"/>
                      <w:b w:val="0"/>
                      <w:bCs w:val="0"/>
                      <w:color w:val="000000" w:themeColor="text1"/>
                      <w:sz w:val="21"/>
                      <w:szCs w:val="21"/>
                      <w:lang w:val="en-US" w:eastAsia="zh-CN"/>
                      <w14:textFill>
                        <w14:solidFill>
                          <w14:schemeClr w14:val="tx1"/>
                        </w14:solidFill>
                      </w14:textFill>
                    </w:rPr>
                    <w:t>年</w:t>
                  </w:r>
                </w:p>
              </w:tc>
              <w:tc>
                <w:tcPr>
                  <w:tcW w:w="1594" w:type="pct"/>
                  <w:tcBorders>
                    <w:top w:val="single" w:color="auto" w:sz="12" w:space="0"/>
                    <w:tl2br w:val="nil"/>
                    <w:tr2bl w:val="nil"/>
                  </w:tcBorders>
                  <w:vAlign w:val="center"/>
                </w:tcPr>
                <w:p w14:paraId="5863FF9D">
                  <w:pPr>
                    <w:pStyle w:val="35"/>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《恶臭污染物排放标准》</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GB14554-93</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中表1中相关标准限值</w:t>
                  </w:r>
                </w:p>
              </w:tc>
              <w:tc>
                <w:tcPr>
                  <w:tcW w:w="470" w:type="pct"/>
                  <w:tcBorders>
                    <w:top w:val="single" w:color="auto" w:sz="12" w:space="0"/>
                    <w:tl2br w:val="nil"/>
                    <w:tr2bl w:val="nil"/>
                  </w:tcBorders>
                  <w:vAlign w:val="center"/>
                </w:tcPr>
                <w:p w14:paraId="2C82BA7A">
                  <w:pPr>
                    <w:pStyle w:val="35"/>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bl>
          <w:p w14:paraId="14A41EE0">
            <w:pPr>
              <w:pStyle w:val="6"/>
              <w:jc w:val="both"/>
              <w:outlineLvl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废水环境影响和保护措施</w:t>
            </w:r>
          </w:p>
          <w:p w14:paraId="27D2FC50">
            <w:pPr>
              <w:pStyle w:val="3"/>
              <w:bidi w:val="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本项目运营期</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废水主要为</w:t>
            </w:r>
            <w:r>
              <w:rPr>
                <w:rFonts w:hint="eastAsia" w:cs="Times New Roman"/>
                <w:bCs/>
                <w:color w:val="000000" w:themeColor="text1"/>
                <w:sz w:val="24"/>
                <w:szCs w:val="24"/>
                <w:lang w:val="en-US" w:eastAsia="zh-CN"/>
                <w14:textFill>
                  <w14:solidFill>
                    <w14:schemeClr w14:val="tx1"/>
                  </w14:solidFill>
                </w14:textFill>
              </w:rPr>
              <w:t>医疗</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废水</w:t>
            </w:r>
            <w:r>
              <w:rPr>
                <w:rFonts w:hint="eastAsia" w:cs="Times New Roman"/>
                <w:bCs/>
                <w:color w:val="000000" w:themeColor="text1"/>
                <w:sz w:val="24"/>
                <w:szCs w:val="24"/>
                <w:lang w:val="en-US" w:eastAsia="zh-CN"/>
                <w14:textFill>
                  <w14:solidFill>
                    <w14:schemeClr w14:val="tx1"/>
                  </w14:solidFill>
                </w14:textFill>
              </w:rPr>
              <w:t>、美容废水、宠物笼清洗污水、生活污水</w:t>
            </w:r>
            <w:r>
              <w:rPr>
                <w:rFonts w:hint="default" w:ascii="Times New Roman" w:hAnsi="Times New Roman" w:cs="Times New Roman"/>
                <w:color w:val="000000" w:themeColor="text1"/>
                <w:lang w:val="en-US" w:eastAsia="zh-CN"/>
                <w14:textFill>
                  <w14:solidFill>
                    <w14:schemeClr w14:val="tx1"/>
                  </w14:solidFill>
                </w14:textFill>
              </w:rPr>
              <w:t>。</w:t>
            </w:r>
          </w:p>
          <w:p w14:paraId="015C79E1">
            <w:pPr>
              <w:pStyle w:val="6"/>
              <w:numPr>
                <w:ilvl w:val="1"/>
                <w:numId w:val="0"/>
              </w:numPr>
              <w:jc w:val="both"/>
              <w:outlineLvl w:val="2"/>
              <w:rPr>
                <w:rFonts w:hint="default" w:ascii="Times New Roman" w:hAnsi="Times New Roman" w:eastAsia="宋体" w:cs="Times New Roman"/>
                <w:color w:val="0000FF"/>
                <w:lang w:val="en-US" w:eastAsia="zh-CN"/>
              </w:rPr>
            </w:pPr>
            <w:r>
              <w:rPr>
                <w:rFonts w:hint="default" w:ascii="Times New Roman" w:hAnsi="Times New Roman" w:eastAsia="宋体" w:cs="Times New Roman"/>
                <w:b/>
                <w:color w:val="0000FF"/>
                <w:kern w:val="2"/>
                <w:sz w:val="24"/>
                <w:szCs w:val="24"/>
                <w:lang w:val="en-US" w:eastAsia="zh-CN" w:bidi="ar-SA"/>
              </w:rPr>
              <w:t>2.1</w:t>
            </w:r>
            <w:r>
              <w:rPr>
                <w:rFonts w:hint="eastAsia" w:cs="Times New Roman"/>
                <w:b/>
                <w:color w:val="0000FF"/>
                <w:kern w:val="2"/>
                <w:sz w:val="24"/>
                <w:szCs w:val="24"/>
                <w:lang w:val="en-US" w:eastAsia="zh-CN" w:bidi="ar-SA"/>
              </w:rPr>
              <w:t xml:space="preserve"> </w:t>
            </w:r>
            <w:r>
              <w:rPr>
                <w:rFonts w:hint="default" w:ascii="Times New Roman" w:hAnsi="Times New Roman" w:eastAsia="宋体" w:cs="Times New Roman"/>
                <w:color w:val="0000FF"/>
                <w:lang w:val="en-US" w:eastAsia="zh-CN"/>
              </w:rPr>
              <w:t>废水源强排放</w:t>
            </w:r>
          </w:p>
          <w:p w14:paraId="282D7F20">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color w:val="0000FF"/>
                <w:szCs w:val="21"/>
                <w:lang w:val="en-US" w:eastAsia="zh-CN"/>
              </w:rPr>
            </w:pPr>
            <w:r>
              <w:rPr>
                <w:rFonts w:hint="eastAsia" w:cs="Times New Roman"/>
                <w:b w:val="0"/>
                <w:bCs/>
                <w:color w:val="0000FF"/>
                <w:szCs w:val="21"/>
                <w:lang w:val="en-US" w:eastAsia="zh-CN"/>
              </w:rPr>
              <w:t>医疗废水单独收</w:t>
            </w:r>
            <w:r>
              <w:rPr>
                <w:rFonts w:hint="eastAsia" w:ascii="Times New Roman" w:hAnsi="Times New Roman" w:eastAsia="宋体" w:cs="Times New Roman"/>
                <w:b w:val="0"/>
                <w:bCs/>
                <w:color w:val="0000FF"/>
                <w:szCs w:val="21"/>
                <w:lang w:val="en-US" w:eastAsia="zh-CN"/>
              </w:rPr>
              <w:t>集，其中传染病隔离室废水、化验室废水主要为隔离笼、化验室器具消毒清洗用水，项目采用一体化污水处理设备（位于一层处置台，设计处理能力为0.5立方米/天）处理后，再与其他</w:t>
            </w:r>
            <w:r>
              <w:rPr>
                <w:rFonts w:hint="eastAsia" w:cs="Times New Roman"/>
                <w:b w:val="0"/>
                <w:bCs/>
                <w:color w:val="0000FF"/>
                <w:szCs w:val="21"/>
                <w:lang w:val="en-US" w:eastAsia="zh-CN"/>
              </w:rPr>
              <w:t>废水汇集一起排入市政管</w:t>
            </w:r>
            <w:r>
              <w:rPr>
                <w:rFonts w:hint="eastAsia" w:ascii="Times New Roman" w:hAnsi="Times New Roman" w:eastAsia="宋体" w:cs="Times New Roman"/>
                <w:b w:val="0"/>
                <w:bCs/>
                <w:color w:val="0000FF"/>
                <w:szCs w:val="21"/>
                <w:lang w:val="en-US" w:eastAsia="zh-CN"/>
              </w:rPr>
              <w:t>网。因此，本项目废水对周边环境影响较小。</w:t>
            </w:r>
          </w:p>
          <w:p w14:paraId="2D91EF37">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color w:val="0000FF"/>
                <w:szCs w:val="21"/>
                <w:lang w:val="en-US" w:eastAsia="zh-CN"/>
              </w:rPr>
            </w:pPr>
            <w:r>
              <w:rPr>
                <w:rFonts w:hint="eastAsia" w:cs="Times New Roman"/>
                <w:b w:val="0"/>
                <w:bCs/>
                <w:color w:val="0000FF"/>
                <w:szCs w:val="21"/>
                <w:lang w:val="en-US" w:eastAsia="zh-CN"/>
              </w:rPr>
              <w:t>本项目医疗废水水质参照《医院污水处理工程技术规范》（HJ2029-2013）中经验数据进行分析。本次评价取值：化学需氧量250毫克/升；五日生化需氧量100毫克/升；悬浮物80毫克/升；氨氨30毫克/升；粪大肠杆菌1.6x10</w:t>
            </w:r>
            <w:r>
              <w:rPr>
                <w:rFonts w:hint="eastAsia" w:cs="Times New Roman"/>
                <w:b w:val="0"/>
                <w:bCs/>
                <w:color w:val="0000FF"/>
                <w:szCs w:val="21"/>
                <w:vertAlign w:val="superscript"/>
                <w:lang w:val="en-US" w:eastAsia="zh-CN"/>
              </w:rPr>
              <w:t>8</w:t>
            </w:r>
            <w:r>
              <w:rPr>
                <w:rFonts w:hint="eastAsia" w:cs="Times New Roman"/>
                <w:b w:val="0"/>
                <w:bCs/>
                <w:color w:val="0000FF"/>
                <w:szCs w:val="21"/>
                <w:lang w:val="en-US" w:eastAsia="zh-CN"/>
              </w:rPr>
              <w:t>个/升。</w:t>
            </w:r>
          </w:p>
          <w:p w14:paraId="69B85300">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color w:val="0000FF"/>
                <w:szCs w:val="21"/>
                <w:lang w:val="en-US" w:eastAsia="zh-CN"/>
              </w:rPr>
            </w:pPr>
            <w:r>
              <w:rPr>
                <w:rFonts w:hint="eastAsia" w:cs="Times New Roman"/>
                <w:b w:val="0"/>
                <w:bCs/>
                <w:color w:val="0000FF"/>
                <w:szCs w:val="21"/>
                <w:lang w:val="en-US" w:eastAsia="zh-CN"/>
              </w:rPr>
              <w:t>生活污水参考《排放源统计调查产排污核算方法和系数手册》中“城镇生活污水污染物产生系数”，污染物浓度一般为：化学需氧量460毫克/升；氨氮52.2毫克/升；总氮71.2毫克/升；总磷5.12毫克/升。本项目其他废水包括生活污水、宠物美容废水、宠物笼清洗废水，本次评价废水排放浓度取值：化学需氧量460毫克/升；五日生化需氧量200毫克/升；氨氮52.2毫克/升；悬浮物200毫克/升。</w:t>
            </w:r>
          </w:p>
          <w:p w14:paraId="4DF03C8C">
            <w:pPr>
              <w:pStyle w:val="34"/>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表4-</w:t>
            </w:r>
            <w:r>
              <w:rPr>
                <w:rFonts w:hint="eastAsia" w:cs="Times New Roman"/>
                <w:color w:val="0000FF"/>
                <w:sz w:val="21"/>
                <w:szCs w:val="21"/>
                <w:lang w:val="en-US" w:eastAsia="zh-CN"/>
              </w:rPr>
              <w:t>2</w:t>
            </w:r>
            <w:r>
              <w:rPr>
                <w:rFonts w:hint="default" w:ascii="Times New Roman" w:hAnsi="Times New Roman" w:cs="Times New Roman"/>
                <w:color w:val="0000FF"/>
                <w:sz w:val="21"/>
                <w:szCs w:val="21"/>
              </w:rPr>
              <w:t xml:space="preserve">   废水</w:t>
            </w:r>
            <w:r>
              <w:rPr>
                <w:rFonts w:hint="eastAsia" w:cs="Times New Roman"/>
                <w:color w:val="0000FF"/>
                <w:sz w:val="21"/>
                <w:szCs w:val="21"/>
                <w:lang w:val="en-US" w:eastAsia="zh-CN"/>
              </w:rPr>
              <w:t>排放情况一览</w:t>
            </w:r>
            <w:r>
              <w:rPr>
                <w:rFonts w:hint="default" w:ascii="Times New Roman" w:hAnsi="Times New Roman" w:cs="Times New Roman"/>
                <w:color w:val="0000FF"/>
                <w:sz w:val="21"/>
                <w:szCs w:val="21"/>
              </w:rPr>
              <w:t>表</w:t>
            </w:r>
          </w:p>
          <w:tbl>
            <w:tblPr>
              <w:tblStyle w:val="2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8"/>
              <w:gridCol w:w="733"/>
              <w:gridCol w:w="549"/>
              <w:gridCol w:w="725"/>
              <w:gridCol w:w="508"/>
              <w:gridCol w:w="667"/>
              <w:gridCol w:w="685"/>
              <w:gridCol w:w="948"/>
              <w:gridCol w:w="635"/>
              <w:gridCol w:w="769"/>
              <w:gridCol w:w="880"/>
              <w:gridCol w:w="354"/>
            </w:tblGrid>
            <w:tr w14:paraId="697D3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 w:type="pct"/>
                  <w:vMerge w:val="restart"/>
                  <w:vAlign w:val="center"/>
                </w:tcPr>
                <w:p w14:paraId="17D5EA36">
                  <w:pPr>
                    <w:jc w:val="center"/>
                    <w:rPr>
                      <w:rFonts w:hint="default" w:ascii="Times New Roman" w:hAnsi="Times New Roman" w:eastAsia="宋体" w:cs="Times New Roman"/>
                      <w:b/>
                      <w:bCs/>
                      <w:color w:val="0000FF"/>
                      <w:sz w:val="21"/>
                      <w:szCs w:val="21"/>
                      <w:lang w:val="en-US" w:eastAsia="zh-CN"/>
                    </w:rPr>
                  </w:pPr>
                  <w:r>
                    <w:rPr>
                      <w:rFonts w:hint="eastAsia" w:cs="Times New Roman"/>
                      <w:b/>
                      <w:bCs/>
                      <w:color w:val="0000FF"/>
                      <w:sz w:val="21"/>
                      <w:szCs w:val="21"/>
                      <w:lang w:val="en-US" w:eastAsia="zh-CN"/>
                    </w:rPr>
                    <w:t>废水性质</w:t>
                  </w:r>
                </w:p>
              </w:tc>
              <w:tc>
                <w:tcPr>
                  <w:tcW w:w="466" w:type="pct"/>
                  <w:vMerge w:val="restart"/>
                  <w:vAlign w:val="center"/>
                </w:tcPr>
                <w:p w14:paraId="515133EB">
                  <w:pPr>
                    <w:jc w:val="center"/>
                    <w:rPr>
                      <w:rFonts w:hint="eastAsia" w:cs="Times New Roman"/>
                      <w:b/>
                      <w:bCs/>
                      <w:color w:val="0000FF"/>
                      <w:sz w:val="21"/>
                      <w:szCs w:val="21"/>
                      <w:lang w:val="en-US" w:eastAsia="zh-CN"/>
                    </w:rPr>
                  </w:pPr>
                  <w:r>
                    <w:rPr>
                      <w:rFonts w:hint="eastAsia" w:cs="Times New Roman"/>
                      <w:b/>
                      <w:bCs/>
                      <w:color w:val="0000FF"/>
                      <w:sz w:val="21"/>
                      <w:szCs w:val="21"/>
                      <w:lang w:val="en-US" w:eastAsia="zh-CN"/>
                    </w:rPr>
                    <w:t>排放量（吨/年）</w:t>
                  </w:r>
                </w:p>
              </w:tc>
              <w:tc>
                <w:tcPr>
                  <w:tcW w:w="4274" w:type="pct"/>
                  <w:gridSpan w:val="10"/>
                  <w:vAlign w:val="center"/>
                </w:tcPr>
                <w:p w14:paraId="2AD34A61">
                  <w:pPr>
                    <w:jc w:val="center"/>
                    <w:rPr>
                      <w:rFonts w:hint="default" w:ascii="Times New Roman" w:hAnsi="Times New Roman" w:cs="Times New Roman"/>
                      <w:b/>
                      <w:bCs/>
                      <w:color w:val="0000FF"/>
                      <w:sz w:val="21"/>
                      <w:szCs w:val="21"/>
                    </w:rPr>
                  </w:pPr>
                  <w:r>
                    <w:rPr>
                      <w:rFonts w:hint="default" w:ascii="Times New Roman" w:hAnsi="Times New Roman" w:cs="Times New Roman"/>
                      <w:b/>
                      <w:bCs/>
                      <w:color w:val="0000FF"/>
                      <w:sz w:val="21"/>
                      <w:szCs w:val="21"/>
                    </w:rPr>
                    <w:t>主要污染</w:t>
                  </w:r>
                </w:p>
                <w:p w14:paraId="018C4703">
                  <w:pPr>
                    <w:jc w:val="center"/>
                    <w:rPr>
                      <w:rFonts w:hint="default" w:ascii="Times New Roman" w:hAnsi="Times New Roman" w:cs="Times New Roman"/>
                      <w:b/>
                      <w:bCs/>
                      <w:color w:val="0000FF"/>
                      <w:sz w:val="21"/>
                      <w:szCs w:val="21"/>
                    </w:rPr>
                  </w:pPr>
                  <w:r>
                    <w:rPr>
                      <w:rFonts w:hint="default" w:ascii="Times New Roman" w:hAnsi="Times New Roman" w:cs="Times New Roman"/>
                      <w:b/>
                      <w:bCs/>
                      <w:color w:val="0000FF"/>
                      <w:sz w:val="21"/>
                      <w:szCs w:val="21"/>
                    </w:rPr>
                    <w:t>源物</w:t>
                  </w:r>
                </w:p>
                <w:p w14:paraId="36ADA878">
                  <w:pPr>
                    <w:jc w:val="center"/>
                    <w:rPr>
                      <w:rFonts w:hint="default" w:ascii="Times New Roman" w:hAnsi="Times New Roman" w:cs="Times New Roman"/>
                      <w:b/>
                      <w:bCs/>
                      <w:color w:val="0000FF"/>
                      <w:sz w:val="21"/>
                      <w:szCs w:val="21"/>
                    </w:rPr>
                  </w:pPr>
                  <w:r>
                    <w:rPr>
                      <w:rFonts w:hint="default" w:ascii="Times New Roman" w:hAnsi="Times New Roman" w:cs="Times New Roman"/>
                      <w:b/>
                      <w:bCs/>
                      <w:color w:val="0000FF"/>
                      <w:sz w:val="21"/>
                      <w:szCs w:val="21"/>
                    </w:rPr>
                    <w:t>浓度</w:t>
                  </w:r>
                </w:p>
              </w:tc>
            </w:tr>
            <w:tr w14:paraId="0C6D8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259" w:type="pct"/>
                  <w:vMerge w:val="continue"/>
                  <w:vAlign w:val="center"/>
                </w:tcPr>
                <w:p w14:paraId="7BA463AD">
                  <w:pPr>
                    <w:jc w:val="center"/>
                    <w:rPr>
                      <w:rFonts w:hint="default" w:ascii="Times New Roman" w:hAnsi="Times New Roman" w:cs="Times New Roman"/>
                      <w:b/>
                      <w:bCs/>
                      <w:color w:val="0000FF"/>
                      <w:sz w:val="21"/>
                      <w:szCs w:val="21"/>
                    </w:rPr>
                  </w:pPr>
                </w:p>
              </w:tc>
              <w:tc>
                <w:tcPr>
                  <w:tcW w:w="466" w:type="pct"/>
                  <w:vMerge w:val="continue"/>
                  <w:vAlign w:val="center"/>
                </w:tcPr>
                <w:p w14:paraId="7DEF9BFE">
                  <w:pPr>
                    <w:jc w:val="center"/>
                    <w:rPr>
                      <w:rFonts w:hint="eastAsia" w:cs="Times New Roman"/>
                      <w:b/>
                      <w:bCs/>
                      <w:color w:val="0000FF"/>
                      <w:sz w:val="21"/>
                      <w:szCs w:val="21"/>
                      <w:lang w:val="en-US" w:eastAsia="zh-CN"/>
                    </w:rPr>
                  </w:pPr>
                </w:p>
              </w:tc>
              <w:tc>
                <w:tcPr>
                  <w:tcW w:w="810" w:type="pct"/>
                  <w:gridSpan w:val="2"/>
                  <w:vAlign w:val="center"/>
                </w:tcPr>
                <w:p w14:paraId="224D6E75">
                  <w:pPr>
                    <w:jc w:val="center"/>
                    <w:rPr>
                      <w:rFonts w:hint="default" w:ascii="Times New Roman" w:hAnsi="Times New Roman" w:cs="Times New Roman"/>
                      <w:b/>
                      <w:bCs/>
                      <w:color w:val="0000FF"/>
                      <w:sz w:val="21"/>
                      <w:szCs w:val="21"/>
                    </w:rPr>
                  </w:pPr>
                  <w:r>
                    <w:rPr>
                      <w:rFonts w:hint="default" w:ascii="Times New Roman" w:hAnsi="Times New Roman" w:cs="Times New Roman"/>
                      <w:b/>
                      <w:bCs/>
                      <w:color w:val="0000FF"/>
                      <w:sz w:val="21"/>
                      <w:szCs w:val="21"/>
                      <w:lang w:val="en-US" w:eastAsia="zh-CN"/>
                    </w:rPr>
                    <w:t>悬浮物</w:t>
                  </w:r>
                </w:p>
              </w:tc>
              <w:tc>
                <w:tcPr>
                  <w:tcW w:w="747" w:type="pct"/>
                  <w:gridSpan w:val="2"/>
                  <w:vAlign w:val="center"/>
                </w:tcPr>
                <w:p w14:paraId="19894D48">
                  <w:pPr>
                    <w:jc w:val="center"/>
                    <w:rPr>
                      <w:rFonts w:hint="default" w:ascii="Times New Roman" w:hAnsi="Times New Roman" w:cs="Times New Roman"/>
                      <w:b/>
                      <w:bCs/>
                      <w:color w:val="0000FF"/>
                      <w:sz w:val="21"/>
                      <w:szCs w:val="21"/>
                    </w:rPr>
                  </w:pPr>
                  <w:r>
                    <w:rPr>
                      <w:rFonts w:hint="default" w:ascii="Times New Roman" w:hAnsi="Times New Roman" w:cs="Times New Roman"/>
                      <w:b/>
                      <w:bCs/>
                      <w:color w:val="0000FF"/>
                      <w:sz w:val="21"/>
                      <w:szCs w:val="21"/>
                      <w:lang w:val="en-US" w:eastAsia="zh-CN"/>
                    </w:rPr>
                    <w:t>化学需氧量</w:t>
                  </w:r>
                </w:p>
              </w:tc>
              <w:tc>
                <w:tcPr>
                  <w:tcW w:w="1038" w:type="pct"/>
                  <w:gridSpan w:val="2"/>
                  <w:vAlign w:val="center"/>
                </w:tcPr>
                <w:p w14:paraId="0DA396E3">
                  <w:pPr>
                    <w:jc w:val="center"/>
                    <w:rPr>
                      <w:rFonts w:hint="default" w:ascii="Times New Roman" w:hAnsi="Times New Roman" w:cs="Times New Roman"/>
                      <w:b/>
                      <w:bCs/>
                      <w:color w:val="0000FF"/>
                      <w:sz w:val="21"/>
                      <w:szCs w:val="21"/>
                    </w:rPr>
                  </w:pPr>
                  <w:r>
                    <w:rPr>
                      <w:rFonts w:hint="default" w:ascii="Times New Roman" w:hAnsi="Times New Roman" w:cs="Times New Roman"/>
                      <w:b/>
                      <w:bCs/>
                      <w:color w:val="0000FF"/>
                      <w:sz w:val="21"/>
                      <w:szCs w:val="21"/>
                      <w:lang w:val="en-US" w:eastAsia="zh-CN"/>
                    </w:rPr>
                    <w:t>五日生化需氧量</w:t>
                  </w:r>
                </w:p>
              </w:tc>
              <w:tc>
                <w:tcPr>
                  <w:tcW w:w="893" w:type="pct"/>
                  <w:gridSpan w:val="2"/>
                  <w:vAlign w:val="center"/>
                </w:tcPr>
                <w:p w14:paraId="31DA68C8">
                  <w:pPr>
                    <w:jc w:val="center"/>
                    <w:rPr>
                      <w:rFonts w:hint="default" w:cs="Times New Roman"/>
                      <w:b/>
                      <w:bCs/>
                      <w:color w:val="0000FF"/>
                      <w:sz w:val="21"/>
                      <w:szCs w:val="21"/>
                      <w:lang w:val="en-US" w:eastAsia="zh-CN"/>
                    </w:rPr>
                  </w:pPr>
                  <w:r>
                    <w:rPr>
                      <w:rFonts w:hint="eastAsia" w:cs="Times New Roman"/>
                      <w:b/>
                      <w:bCs/>
                      <w:color w:val="0000FF"/>
                      <w:sz w:val="21"/>
                      <w:szCs w:val="21"/>
                      <w:lang w:val="en-US" w:eastAsia="zh-CN"/>
                    </w:rPr>
                    <w:t>氨氮</w:t>
                  </w:r>
                </w:p>
              </w:tc>
              <w:tc>
                <w:tcPr>
                  <w:tcW w:w="784" w:type="pct"/>
                  <w:gridSpan w:val="2"/>
                  <w:vAlign w:val="center"/>
                </w:tcPr>
                <w:p w14:paraId="1EB8CC56">
                  <w:pPr>
                    <w:jc w:val="center"/>
                    <w:rPr>
                      <w:rFonts w:hint="default" w:cs="Times New Roman"/>
                      <w:b/>
                      <w:bCs/>
                      <w:color w:val="0000FF"/>
                      <w:sz w:val="21"/>
                      <w:szCs w:val="21"/>
                      <w:lang w:val="en-US" w:eastAsia="zh-CN"/>
                    </w:rPr>
                  </w:pPr>
                  <w:r>
                    <w:rPr>
                      <w:rFonts w:hint="eastAsia" w:cs="Times New Roman"/>
                      <w:b/>
                      <w:bCs/>
                      <w:color w:val="0000FF"/>
                      <w:sz w:val="21"/>
                      <w:szCs w:val="21"/>
                      <w:lang w:val="en-US" w:eastAsia="zh-CN"/>
                    </w:rPr>
                    <w:t>粪大肠菌群</w:t>
                  </w:r>
                </w:p>
                <w:p w14:paraId="695D5187">
                  <w:pPr>
                    <w:jc w:val="center"/>
                    <w:rPr>
                      <w:rFonts w:hint="eastAsia" w:cs="Times New Roman"/>
                      <w:b/>
                      <w:bCs/>
                      <w:color w:val="0000FF"/>
                      <w:sz w:val="21"/>
                      <w:szCs w:val="21"/>
                      <w:lang w:val="en-US" w:eastAsia="zh-CN"/>
                    </w:rPr>
                  </w:pPr>
                </w:p>
              </w:tc>
            </w:tr>
            <w:tr w14:paraId="136FE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0" w:hRule="exact"/>
                <w:jc w:val="center"/>
              </w:trPr>
              <w:tc>
                <w:tcPr>
                  <w:tcW w:w="259" w:type="pct"/>
                  <w:vMerge w:val="continue"/>
                  <w:tcBorders>
                    <w:bottom w:val="single" w:color="auto" w:sz="12" w:space="0"/>
                  </w:tcBorders>
                  <w:vAlign w:val="center"/>
                </w:tcPr>
                <w:p w14:paraId="54D85F95">
                  <w:pPr>
                    <w:jc w:val="center"/>
                    <w:rPr>
                      <w:rFonts w:hint="default" w:ascii="Times New Roman" w:hAnsi="Times New Roman" w:cs="Times New Roman"/>
                      <w:b/>
                      <w:bCs/>
                      <w:color w:val="0000FF"/>
                      <w:sz w:val="21"/>
                      <w:szCs w:val="21"/>
                    </w:rPr>
                  </w:pPr>
                </w:p>
              </w:tc>
              <w:tc>
                <w:tcPr>
                  <w:tcW w:w="466" w:type="pct"/>
                  <w:vMerge w:val="continue"/>
                  <w:tcBorders>
                    <w:bottom w:val="single" w:color="auto" w:sz="12" w:space="0"/>
                  </w:tcBorders>
                  <w:vAlign w:val="center"/>
                </w:tcPr>
                <w:p w14:paraId="431AC940">
                  <w:pPr>
                    <w:jc w:val="center"/>
                    <w:rPr>
                      <w:rFonts w:hint="eastAsia" w:cs="Times New Roman"/>
                      <w:b/>
                      <w:bCs/>
                      <w:color w:val="0000FF"/>
                      <w:sz w:val="21"/>
                      <w:szCs w:val="21"/>
                      <w:lang w:val="en-US" w:eastAsia="zh-CN"/>
                    </w:rPr>
                  </w:pPr>
                </w:p>
              </w:tc>
              <w:tc>
                <w:tcPr>
                  <w:tcW w:w="349" w:type="pct"/>
                  <w:tcBorders>
                    <w:bottom w:val="single" w:color="auto" w:sz="12" w:space="0"/>
                  </w:tcBorders>
                  <w:vAlign w:val="center"/>
                </w:tcPr>
                <w:p w14:paraId="31AC580A">
                  <w:pPr>
                    <w:jc w:val="center"/>
                    <w:rPr>
                      <w:rFonts w:hint="default" w:cs="Times New Roman"/>
                      <w:b/>
                      <w:bCs/>
                      <w:color w:val="0000FF"/>
                      <w:kern w:val="2"/>
                      <w:sz w:val="21"/>
                      <w:szCs w:val="21"/>
                      <w:lang w:val="en-US" w:eastAsia="zh-CN" w:bidi="ar-SA"/>
                    </w:rPr>
                  </w:pPr>
                  <w:r>
                    <w:rPr>
                      <w:rFonts w:hint="default" w:cs="Times New Roman"/>
                      <w:b/>
                      <w:bCs/>
                      <w:color w:val="0000FF"/>
                      <w:kern w:val="2"/>
                      <w:sz w:val="21"/>
                      <w:szCs w:val="21"/>
                      <w:lang w:val="en-US" w:eastAsia="zh-CN" w:bidi="ar-SA"/>
                    </w:rPr>
                    <w:t>毫克/升</w:t>
                  </w:r>
                </w:p>
              </w:tc>
              <w:tc>
                <w:tcPr>
                  <w:tcW w:w="461" w:type="pct"/>
                  <w:tcBorders>
                    <w:bottom w:val="single" w:color="auto" w:sz="12" w:space="0"/>
                  </w:tcBorders>
                  <w:vAlign w:val="center"/>
                </w:tcPr>
                <w:p w14:paraId="4C37BB3F">
                  <w:pPr>
                    <w:jc w:val="center"/>
                    <w:rPr>
                      <w:rFonts w:hint="default" w:ascii="Times New Roman" w:hAnsi="Times New Roman" w:eastAsia="宋体" w:cs="Times New Roman"/>
                      <w:b/>
                      <w:bCs/>
                      <w:color w:val="0000FF"/>
                      <w:kern w:val="2"/>
                      <w:sz w:val="21"/>
                      <w:szCs w:val="21"/>
                      <w:lang w:val="en-US" w:eastAsia="zh-CN" w:bidi="ar-SA"/>
                    </w:rPr>
                  </w:pPr>
                  <w:r>
                    <w:rPr>
                      <w:rFonts w:hint="eastAsia" w:cs="Times New Roman"/>
                      <w:b/>
                      <w:bCs/>
                      <w:color w:val="0000FF"/>
                      <w:sz w:val="21"/>
                      <w:szCs w:val="21"/>
                      <w:lang w:val="en-US" w:eastAsia="zh-CN"/>
                    </w:rPr>
                    <w:t>吨/年</w:t>
                  </w:r>
                </w:p>
              </w:tc>
              <w:tc>
                <w:tcPr>
                  <w:tcW w:w="323" w:type="pct"/>
                  <w:tcBorders>
                    <w:bottom w:val="single" w:color="auto" w:sz="12" w:space="0"/>
                  </w:tcBorders>
                  <w:vAlign w:val="center"/>
                </w:tcPr>
                <w:p w14:paraId="70733AD2">
                  <w:pPr>
                    <w:jc w:val="center"/>
                    <w:rPr>
                      <w:rFonts w:hint="default" w:ascii="Times New Roman" w:hAnsi="Times New Roman" w:eastAsia="宋体" w:cs="Times New Roman"/>
                      <w:b/>
                      <w:bCs/>
                      <w:color w:val="0000FF"/>
                      <w:kern w:val="2"/>
                      <w:sz w:val="21"/>
                      <w:szCs w:val="21"/>
                      <w:lang w:val="en-US" w:eastAsia="zh-CN" w:bidi="ar-SA"/>
                    </w:rPr>
                  </w:pPr>
                  <w:r>
                    <w:rPr>
                      <w:rFonts w:hint="default" w:cs="Times New Roman"/>
                      <w:b/>
                      <w:bCs/>
                      <w:color w:val="0000FF"/>
                      <w:kern w:val="2"/>
                      <w:sz w:val="21"/>
                      <w:szCs w:val="21"/>
                      <w:lang w:val="en-US" w:eastAsia="zh-CN" w:bidi="ar-SA"/>
                    </w:rPr>
                    <w:t>毫克/升</w:t>
                  </w:r>
                </w:p>
              </w:tc>
              <w:tc>
                <w:tcPr>
                  <w:tcW w:w="424" w:type="pct"/>
                  <w:tcBorders>
                    <w:bottom w:val="single" w:color="auto" w:sz="12" w:space="0"/>
                  </w:tcBorders>
                  <w:vAlign w:val="center"/>
                </w:tcPr>
                <w:p w14:paraId="3532B516">
                  <w:pPr>
                    <w:jc w:val="center"/>
                    <w:rPr>
                      <w:rFonts w:hint="default" w:ascii="Times New Roman" w:hAnsi="Times New Roman" w:eastAsia="宋体" w:cs="Times New Roman"/>
                      <w:b/>
                      <w:bCs/>
                      <w:color w:val="0000FF"/>
                      <w:kern w:val="2"/>
                      <w:sz w:val="21"/>
                      <w:szCs w:val="21"/>
                      <w:lang w:val="en-US" w:eastAsia="zh-CN" w:bidi="ar-SA"/>
                    </w:rPr>
                  </w:pPr>
                  <w:r>
                    <w:rPr>
                      <w:rFonts w:hint="eastAsia" w:cs="Times New Roman"/>
                      <w:b/>
                      <w:bCs/>
                      <w:color w:val="0000FF"/>
                      <w:sz w:val="21"/>
                      <w:szCs w:val="21"/>
                      <w:lang w:val="en-US" w:eastAsia="zh-CN"/>
                    </w:rPr>
                    <w:t>吨/年</w:t>
                  </w:r>
                </w:p>
              </w:tc>
              <w:tc>
                <w:tcPr>
                  <w:tcW w:w="435" w:type="pct"/>
                  <w:tcBorders>
                    <w:bottom w:val="single" w:color="auto" w:sz="12" w:space="0"/>
                  </w:tcBorders>
                  <w:vAlign w:val="center"/>
                </w:tcPr>
                <w:p w14:paraId="65459635">
                  <w:pPr>
                    <w:jc w:val="center"/>
                    <w:rPr>
                      <w:rFonts w:hint="default" w:ascii="Times New Roman" w:hAnsi="Times New Roman" w:eastAsia="宋体" w:cs="Times New Roman"/>
                      <w:b/>
                      <w:bCs/>
                      <w:color w:val="0000FF"/>
                      <w:kern w:val="2"/>
                      <w:sz w:val="21"/>
                      <w:szCs w:val="21"/>
                      <w:lang w:val="en-US" w:eastAsia="zh-CN" w:bidi="ar-SA"/>
                    </w:rPr>
                  </w:pPr>
                  <w:r>
                    <w:rPr>
                      <w:rFonts w:hint="default" w:cs="Times New Roman"/>
                      <w:b/>
                      <w:bCs/>
                      <w:color w:val="0000FF"/>
                      <w:kern w:val="2"/>
                      <w:sz w:val="21"/>
                      <w:szCs w:val="21"/>
                      <w:lang w:val="en-US" w:eastAsia="zh-CN" w:bidi="ar-SA"/>
                    </w:rPr>
                    <w:t>毫克/升</w:t>
                  </w:r>
                </w:p>
              </w:tc>
              <w:tc>
                <w:tcPr>
                  <w:tcW w:w="602" w:type="pct"/>
                  <w:tcBorders>
                    <w:bottom w:val="single" w:color="auto" w:sz="12" w:space="0"/>
                  </w:tcBorders>
                  <w:vAlign w:val="center"/>
                </w:tcPr>
                <w:p w14:paraId="57A5145C">
                  <w:pPr>
                    <w:jc w:val="center"/>
                    <w:rPr>
                      <w:rFonts w:hint="default" w:ascii="Times New Roman" w:hAnsi="Times New Roman" w:eastAsia="宋体" w:cs="Times New Roman"/>
                      <w:b/>
                      <w:bCs/>
                      <w:color w:val="0000FF"/>
                      <w:kern w:val="2"/>
                      <w:sz w:val="21"/>
                      <w:szCs w:val="21"/>
                      <w:lang w:val="en-US" w:eastAsia="zh-CN" w:bidi="ar-SA"/>
                    </w:rPr>
                  </w:pPr>
                  <w:r>
                    <w:rPr>
                      <w:rFonts w:hint="eastAsia" w:cs="Times New Roman"/>
                      <w:b/>
                      <w:bCs/>
                      <w:color w:val="0000FF"/>
                      <w:sz w:val="21"/>
                      <w:szCs w:val="21"/>
                      <w:lang w:val="en-US" w:eastAsia="zh-CN"/>
                    </w:rPr>
                    <w:t>吨/年</w:t>
                  </w:r>
                </w:p>
              </w:tc>
              <w:tc>
                <w:tcPr>
                  <w:tcW w:w="403" w:type="pct"/>
                  <w:tcBorders>
                    <w:bottom w:val="single" w:color="auto" w:sz="12" w:space="0"/>
                  </w:tcBorders>
                  <w:vAlign w:val="center"/>
                </w:tcPr>
                <w:p w14:paraId="5E7CA888">
                  <w:pPr>
                    <w:jc w:val="center"/>
                    <w:rPr>
                      <w:rFonts w:hint="eastAsia" w:ascii="Times New Roman" w:hAnsi="Times New Roman" w:eastAsia="宋体" w:cs="Times New Roman"/>
                      <w:b/>
                      <w:bCs/>
                      <w:color w:val="0000FF"/>
                      <w:kern w:val="2"/>
                      <w:sz w:val="21"/>
                      <w:szCs w:val="21"/>
                      <w:lang w:val="en-US" w:eastAsia="zh-CN" w:bidi="ar-SA"/>
                    </w:rPr>
                  </w:pPr>
                  <w:r>
                    <w:rPr>
                      <w:rFonts w:hint="default" w:cs="Times New Roman"/>
                      <w:b/>
                      <w:bCs/>
                      <w:color w:val="0000FF"/>
                      <w:kern w:val="2"/>
                      <w:sz w:val="21"/>
                      <w:szCs w:val="21"/>
                      <w:lang w:val="en-US" w:eastAsia="zh-CN" w:bidi="ar-SA"/>
                    </w:rPr>
                    <w:t>毫克/升</w:t>
                  </w:r>
                </w:p>
              </w:tc>
              <w:tc>
                <w:tcPr>
                  <w:tcW w:w="489" w:type="pct"/>
                  <w:tcBorders>
                    <w:bottom w:val="single" w:color="auto" w:sz="12" w:space="0"/>
                  </w:tcBorders>
                  <w:vAlign w:val="center"/>
                </w:tcPr>
                <w:p w14:paraId="299A0958">
                  <w:pPr>
                    <w:jc w:val="center"/>
                    <w:rPr>
                      <w:rFonts w:hint="eastAsia" w:ascii="Times New Roman" w:hAnsi="Times New Roman" w:eastAsia="宋体" w:cs="Times New Roman"/>
                      <w:b/>
                      <w:bCs/>
                      <w:color w:val="0000FF"/>
                      <w:kern w:val="2"/>
                      <w:sz w:val="21"/>
                      <w:szCs w:val="21"/>
                      <w:lang w:val="en-US" w:eastAsia="zh-CN" w:bidi="ar-SA"/>
                    </w:rPr>
                  </w:pPr>
                  <w:r>
                    <w:rPr>
                      <w:rFonts w:hint="eastAsia" w:cs="Times New Roman"/>
                      <w:b/>
                      <w:bCs/>
                      <w:color w:val="0000FF"/>
                      <w:sz w:val="21"/>
                      <w:szCs w:val="21"/>
                      <w:lang w:val="en-US" w:eastAsia="zh-CN"/>
                    </w:rPr>
                    <w:t>吨/年</w:t>
                  </w:r>
                </w:p>
              </w:tc>
              <w:tc>
                <w:tcPr>
                  <w:tcW w:w="559" w:type="pct"/>
                  <w:tcBorders>
                    <w:bottom w:val="single" w:color="auto" w:sz="12" w:space="0"/>
                  </w:tcBorders>
                  <w:vAlign w:val="center"/>
                </w:tcPr>
                <w:p w14:paraId="53B221C6">
                  <w:pPr>
                    <w:jc w:val="center"/>
                    <w:rPr>
                      <w:rFonts w:hint="default" w:ascii="Times New Roman" w:hAnsi="Times New Roman" w:eastAsia="宋体" w:cs="Times New Roman"/>
                      <w:b/>
                      <w:bCs/>
                      <w:color w:val="0000FF"/>
                      <w:kern w:val="2"/>
                      <w:sz w:val="21"/>
                      <w:szCs w:val="21"/>
                      <w:lang w:val="en-US" w:eastAsia="zh-CN" w:bidi="ar-SA"/>
                    </w:rPr>
                  </w:pPr>
                  <w:r>
                    <w:rPr>
                      <w:rFonts w:hint="eastAsia" w:cs="Times New Roman"/>
                      <w:b/>
                      <w:bCs/>
                      <w:color w:val="0000FF"/>
                      <w:kern w:val="2"/>
                      <w:sz w:val="21"/>
                      <w:szCs w:val="21"/>
                      <w:lang w:val="en-US" w:eastAsia="zh-CN" w:bidi="ar-SA"/>
                    </w:rPr>
                    <w:t>个/升</w:t>
                  </w:r>
                </w:p>
              </w:tc>
              <w:tc>
                <w:tcPr>
                  <w:tcW w:w="225" w:type="pct"/>
                  <w:tcBorders>
                    <w:bottom w:val="single" w:color="auto" w:sz="12" w:space="0"/>
                  </w:tcBorders>
                  <w:vAlign w:val="center"/>
                </w:tcPr>
                <w:p w14:paraId="3F35DC98">
                  <w:pPr>
                    <w:jc w:val="center"/>
                    <w:rPr>
                      <w:rFonts w:hint="eastAsia" w:ascii="Times New Roman" w:hAnsi="Times New Roman" w:eastAsia="宋体" w:cs="Times New Roman"/>
                      <w:b/>
                      <w:bCs/>
                      <w:color w:val="0000FF"/>
                      <w:kern w:val="2"/>
                      <w:sz w:val="21"/>
                      <w:szCs w:val="21"/>
                      <w:lang w:val="en-US" w:eastAsia="zh-CN" w:bidi="ar-SA"/>
                    </w:rPr>
                  </w:pPr>
                  <w:r>
                    <w:rPr>
                      <w:rFonts w:hint="eastAsia" w:cs="Times New Roman"/>
                      <w:b/>
                      <w:bCs/>
                      <w:color w:val="0000FF"/>
                      <w:sz w:val="21"/>
                      <w:szCs w:val="21"/>
                      <w:lang w:val="en-US" w:eastAsia="zh-CN"/>
                    </w:rPr>
                    <w:t>吨/年</w:t>
                  </w:r>
                </w:p>
              </w:tc>
            </w:tr>
            <w:tr w14:paraId="12ABE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8" w:hRule="exact"/>
                <w:jc w:val="center"/>
              </w:trPr>
              <w:tc>
                <w:tcPr>
                  <w:tcW w:w="259" w:type="pct"/>
                  <w:tcBorders>
                    <w:top w:val="single" w:color="auto" w:sz="12" w:space="0"/>
                    <w:tl2br w:val="nil"/>
                    <w:tr2bl w:val="nil"/>
                  </w:tcBorders>
                  <w:vAlign w:val="center"/>
                </w:tcPr>
                <w:p w14:paraId="0B6BD5E5">
                  <w:pPr>
                    <w:jc w:val="center"/>
                    <w:rPr>
                      <w:rFonts w:hint="default" w:ascii="Times New Roman" w:hAnsi="Times New Roman" w:eastAsia="宋体" w:cs="Times New Roman"/>
                      <w:b w:val="0"/>
                      <w:bCs/>
                      <w:color w:val="0000FF"/>
                      <w:sz w:val="21"/>
                      <w:szCs w:val="21"/>
                      <w:lang w:val="en-US" w:eastAsia="zh-CN"/>
                    </w:rPr>
                  </w:pPr>
                  <w:r>
                    <w:rPr>
                      <w:rFonts w:hint="eastAsia" w:cs="Times New Roman"/>
                      <w:b w:val="0"/>
                      <w:bCs/>
                      <w:color w:val="0000FF"/>
                      <w:sz w:val="21"/>
                      <w:szCs w:val="21"/>
                      <w:lang w:val="en-US" w:eastAsia="zh-CN"/>
                    </w:rPr>
                    <w:t>医疗</w:t>
                  </w:r>
                  <w:r>
                    <w:rPr>
                      <w:rFonts w:hint="default" w:ascii="Times New Roman" w:hAnsi="Times New Roman" w:eastAsia="宋体" w:cs="Times New Roman"/>
                      <w:b w:val="0"/>
                      <w:bCs/>
                      <w:color w:val="0000FF"/>
                      <w:sz w:val="21"/>
                      <w:szCs w:val="21"/>
                      <w:lang w:val="en-US" w:eastAsia="zh-CN"/>
                    </w:rPr>
                    <w:t>废水</w:t>
                  </w:r>
                  <w:r>
                    <w:rPr>
                      <w:rFonts w:hint="eastAsia" w:cs="Times New Roman"/>
                      <w:b w:val="0"/>
                      <w:bCs/>
                      <w:color w:val="0000FF"/>
                      <w:sz w:val="21"/>
                      <w:szCs w:val="21"/>
                      <w:lang w:val="en-US" w:eastAsia="zh-CN"/>
                    </w:rPr>
                    <w:t>处理前</w:t>
                  </w:r>
                </w:p>
              </w:tc>
              <w:tc>
                <w:tcPr>
                  <w:tcW w:w="466" w:type="pct"/>
                  <w:vMerge w:val="restart"/>
                  <w:tcBorders>
                    <w:top w:val="single" w:color="auto" w:sz="12" w:space="0"/>
                    <w:tl2br w:val="nil"/>
                    <w:tr2bl w:val="nil"/>
                  </w:tcBorders>
                  <w:vAlign w:val="center"/>
                </w:tcPr>
                <w:p w14:paraId="5FA15942">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2.7</w:t>
                  </w:r>
                </w:p>
              </w:tc>
              <w:tc>
                <w:tcPr>
                  <w:tcW w:w="349" w:type="pct"/>
                  <w:tcBorders>
                    <w:top w:val="single" w:color="auto" w:sz="12" w:space="0"/>
                    <w:tl2br w:val="nil"/>
                    <w:tr2bl w:val="nil"/>
                  </w:tcBorders>
                  <w:vAlign w:val="center"/>
                </w:tcPr>
                <w:p w14:paraId="277A2732">
                  <w:pPr>
                    <w:keepNext w:val="0"/>
                    <w:keepLines w:val="0"/>
                    <w:widowControl/>
                    <w:suppressLineNumbers w:val="0"/>
                    <w:jc w:val="center"/>
                    <w:rPr>
                      <w:rFonts w:hint="default" w:ascii="Times New Roman" w:hAnsi="Times New Roman" w:eastAsia="宋体" w:cs="Times New Roman"/>
                      <w:b w:val="0"/>
                      <w:bCs/>
                      <w:color w:val="0000FF"/>
                      <w:sz w:val="21"/>
                      <w:szCs w:val="21"/>
                      <w:lang w:val="en-US" w:eastAsia="zh-CN"/>
                    </w:rPr>
                  </w:pPr>
                  <w:r>
                    <w:rPr>
                      <w:rFonts w:hint="default" w:ascii="Times New Roman" w:hAnsi="Times New Roman" w:eastAsia="宋体" w:cs="Times New Roman"/>
                      <w:b w:val="0"/>
                      <w:bCs/>
                      <w:color w:val="0000FF"/>
                      <w:kern w:val="0"/>
                      <w:sz w:val="20"/>
                      <w:szCs w:val="20"/>
                      <w:lang w:val="en-US" w:eastAsia="zh-CN" w:bidi="ar"/>
                    </w:rPr>
                    <w:t>80</w:t>
                  </w:r>
                </w:p>
              </w:tc>
              <w:tc>
                <w:tcPr>
                  <w:tcW w:w="461" w:type="pct"/>
                  <w:tcBorders>
                    <w:top w:val="single" w:color="auto" w:sz="12" w:space="0"/>
                    <w:tl2br w:val="nil"/>
                    <w:tr2bl w:val="nil"/>
                  </w:tcBorders>
                  <w:vAlign w:val="center"/>
                </w:tcPr>
                <w:p w14:paraId="139B1682">
                  <w:pPr>
                    <w:jc w:val="center"/>
                    <w:rPr>
                      <w:rFonts w:hint="default" w:ascii="Times New Roman" w:hAnsi="Times New Roman" w:eastAsia="宋体" w:cs="Times New Roman"/>
                      <w:b w:val="0"/>
                      <w:bCs/>
                      <w:color w:val="0000FF"/>
                      <w:sz w:val="21"/>
                      <w:szCs w:val="21"/>
                      <w:lang w:val="en-US" w:eastAsia="zh-CN"/>
                    </w:rPr>
                  </w:pPr>
                  <w:r>
                    <w:rPr>
                      <w:rFonts w:hint="eastAsia" w:cs="Times New Roman"/>
                      <w:b w:val="0"/>
                      <w:bCs/>
                      <w:color w:val="0000FF"/>
                      <w:sz w:val="21"/>
                      <w:szCs w:val="21"/>
                      <w:lang w:val="en-US" w:eastAsia="zh-CN"/>
                    </w:rPr>
                    <w:t>0.00027</w:t>
                  </w:r>
                </w:p>
              </w:tc>
              <w:tc>
                <w:tcPr>
                  <w:tcW w:w="323" w:type="pct"/>
                  <w:tcBorders>
                    <w:top w:val="single" w:color="auto" w:sz="12" w:space="0"/>
                    <w:tl2br w:val="nil"/>
                    <w:tr2bl w:val="nil"/>
                  </w:tcBorders>
                  <w:vAlign w:val="center"/>
                </w:tcPr>
                <w:p w14:paraId="05ABBF9D">
                  <w:pPr>
                    <w:jc w:val="center"/>
                    <w:rPr>
                      <w:rFonts w:hint="default" w:ascii="Times New Roman" w:hAnsi="Times New Roman" w:eastAsia="宋体" w:cs="Times New Roman"/>
                      <w:b w:val="0"/>
                      <w:bCs/>
                      <w:color w:val="0000FF"/>
                      <w:sz w:val="21"/>
                      <w:szCs w:val="21"/>
                      <w:lang w:val="en-US" w:eastAsia="zh-CN"/>
                    </w:rPr>
                  </w:pPr>
                  <w:r>
                    <w:rPr>
                      <w:rFonts w:hint="eastAsia" w:cs="Times New Roman"/>
                      <w:b w:val="0"/>
                      <w:bCs/>
                      <w:color w:val="0000FF"/>
                      <w:sz w:val="21"/>
                      <w:szCs w:val="21"/>
                      <w:lang w:val="en-US" w:eastAsia="zh-CN"/>
                    </w:rPr>
                    <w:t>250</w:t>
                  </w:r>
                </w:p>
              </w:tc>
              <w:tc>
                <w:tcPr>
                  <w:tcW w:w="424" w:type="pct"/>
                  <w:tcBorders>
                    <w:top w:val="single" w:color="auto" w:sz="12" w:space="0"/>
                    <w:tl2br w:val="nil"/>
                    <w:tr2bl w:val="nil"/>
                  </w:tcBorders>
                  <w:vAlign w:val="center"/>
                </w:tcPr>
                <w:p w14:paraId="1857BC49">
                  <w:pPr>
                    <w:jc w:val="center"/>
                    <w:rPr>
                      <w:rFonts w:hint="default" w:ascii="Times New Roman" w:hAnsi="Times New Roman" w:eastAsia="宋体" w:cs="Times New Roman"/>
                      <w:b w:val="0"/>
                      <w:bCs/>
                      <w:color w:val="0000FF"/>
                      <w:sz w:val="21"/>
                      <w:szCs w:val="21"/>
                      <w:lang w:val="en-US" w:eastAsia="zh-CN"/>
                    </w:rPr>
                  </w:pPr>
                  <w:r>
                    <w:rPr>
                      <w:rFonts w:hint="eastAsia" w:cs="Times New Roman"/>
                      <w:b w:val="0"/>
                      <w:bCs/>
                      <w:color w:val="0000FF"/>
                      <w:sz w:val="21"/>
                      <w:szCs w:val="21"/>
                      <w:lang w:val="en-US" w:eastAsia="zh-CN"/>
                    </w:rPr>
                    <w:t>0.00086</w:t>
                  </w:r>
                </w:p>
              </w:tc>
              <w:tc>
                <w:tcPr>
                  <w:tcW w:w="435" w:type="pct"/>
                  <w:tcBorders>
                    <w:top w:val="single" w:color="auto" w:sz="12" w:space="0"/>
                    <w:tl2br w:val="nil"/>
                    <w:tr2bl w:val="nil"/>
                  </w:tcBorders>
                  <w:vAlign w:val="center"/>
                </w:tcPr>
                <w:p w14:paraId="5AFE6F93">
                  <w:pPr>
                    <w:jc w:val="center"/>
                    <w:rPr>
                      <w:rFonts w:hint="default" w:ascii="Times New Roman" w:hAnsi="Times New Roman" w:cs="Times New Roman"/>
                      <w:b w:val="0"/>
                      <w:bCs/>
                      <w:color w:val="0000FF"/>
                      <w:sz w:val="21"/>
                      <w:szCs w:val="21"/>
                      <w:lang w:val="en-US" w:eastAsia="zh-CN"/>
                    </w:rPr>
                  </w:pPr>
                  <w:r>
                    <w:rPr>
                      <w:rFonts w:hint="eastAsia" w:cs="Times New Roman"/>
                      <w:b w:val="0"/>
                      <w:bCs/>
                      <w:color w:val="0000FF"/>
                      <w:sz w:val="21"/>
                      <w:szCs w:val="21"/>
                      <w:lang w:val="en-US" w:eastAsia="zh-CN"/>
                    </w:rPr>
                    <w:t>100</w:t>
                  </w:r>
                </w:p>
              </w:tc>
              <w:tc>
                <w:tcPr>
                  <w:tcW w:w="602" w:type="pct"/>
                  <w:tcBorders>
                    <w:top w:val="single" w:color="auto" w:sz="12" w:space="0"/>
                    <w:tl2br w:val="nil"/>
                    <w:tr2bl w:val="nil"/>
                  </w:tcBorders>
                  <w:vAlign w:val="center"/>
                </w:tcPr>
                <w:p w14:paraId="5D2F36AB">
                  <w:pPr>
                    <w:jc w:val="center"/>
                    <w:rPr>
                      <w:rFonts w:hint="default" w:ascii="Times New Roman" w:hAnsi="Times New Roman" w:cs="Times New Roman"/>
                      <w:b w:val="0"/>
                      <w:bCs/>
                      <w:color w:val="0000FF"/>
                      <w:sz w:val="21"/>
                      <w:szCs w:val="21"/>
                      <w:lang w:val="en-US" w:eastAsia="zh-CN"/>
                    </w:rPr>
                  </w:pPr>
                  <w:r>
                    <w:rPr>
                      <w:rFonts w:hint="eastAsia" w:cs="Times New Roman"/>
                      <w:b w:val="0"/>
                      <w:bCs/>
                      <w:color w:val="0000FF"/>
                      <w:sz w:val="21"/>
                      <w:szCs w:val="21"/>
                      <w:lang w:val="en-US" w:eastAsia="zh-CN"/>
                    </w:rPr>
                    <w:t>0.000035</w:t>
                  </w:r>
                </w:p>
              </w:tc>
              <w:tc>
                <w:tcPr>
                  <w:tcW w:w="403" w:type="pct"/>
                  <w:tcBorders>
                    <w:top w:val="single" w:color="auto" w:sz="12" w:space="0"/>
                    <w:tl2br w:val="nil"/>
                    <w:tr2bl w:val="nil"/>
                  </w:tcBorders>
                  <w:vAlign w:val="center"/>
                </w:tcPr>
                <w:p w14:paraId="765EFA98">
                  <w:pPr>
                    <w:jc w:val="center"/>
                    <w:rPr>
                      <w:rFonts w:hint="default" w:ascii="Times New Roman" w:hAnsi="Times New Roman" w:cs="Times New Roman"/>
                      <w:b w:val="0"/>
                      <w:bCs/>
                      <w:color w:val="0000FF"/>
                      <w:sz w:val="21"/>
                      <w:szCs w:val="21"/>
                      <w:lang w:val="en-US" w:eastAsia="zh-CN"/>
                    </w:rPr>
                  </w:pPr>
                  <w:r>
                    <w:rPr>
                      <w:rFonts w:hint="eastAsia" w:cs="Times New Roman"/>
                      <w:b w:val="0"/>
                      <w:bCs/>
                      <w:color w:val="0000FF"/>
                      <w:sz w:val="21"/>
                      <w:szCs w:val="21"/>
                      <w:lang w:val="en-US" w:eastAsia="zh-CN"/>
                    </w:rPr>
                    <w:t>30</w:t>
                  </w:r>
                </w:p>
              </w:tc>
              <w:tc>
                <w:tcPr>
                  <w:tcW w:w="489" w:type="pct"/>
                  <w:tcBorders>
                    <w:top w:val="single" w:color="auto" w:sz="12" w:space="0"/>
                    <w:tl2br w:val="nil"/>
                    <w:tr2bl w:val="nil"/>
                  </w:tcBorders>
                  <w:vAlign w:val="center"/>
                </w:tcPr>
                <w:p w14:paraId="3C19635B">
                  <w:pPr>
                    <w:jc w:val="center"/>
                    <w:rPr>
                      <w:rFonts w:hint="default" w:ascii="Times New Roman" w:hAnsi="Times New Roman" w:cs="Times New Roman"/>
                      <w:b w:val="0"/>
                      <w:bCs/>
                      <w:color w:val="0000FF"/>
                      <w:sz w:val="21"/>
                      <w:szCs w:val="21"/>
                      <w:lang w:val="en-US" w:eastAsia="zh-CN"/>
                    </w:rPr>
                  </w:pPr>
                  <w:r>
                    <w:rPr>
                      <w:rFonts w:hint="eastAsia" w:cs="Times New Roman"/>
                      <w:b w:val="0"/>
                      <w:bCs/>
                      <w:color w:val="0000FF"/>
                      <w:sz w:val="21"/>
                      <w:szCs w:val="21"/>
                      <w:lang w:val="en-US" w:eastAsia="zh-CN"/>
                    </w:rPr>
                    <w:t>0.00010</w:t>
                  </w:r>
                </w:p>
              </w:tc>
              <w:tc>
                <w:tcPr>
                  <w:tcW w:w="559" w:type="pct"/>
                  <w:tcBorders>
                    <w:top w:val="single" w:color="auto" w:sz="12" w:space="0"/>
                    <w:tl2br w:val="nil"/>
                    <w:tr2bl w:val="nil"/>
                  </w:tcBorders>
                  <w:vAlign w:val="center"/>
                </w:tcPr>
                <w:p w14:paraId="43D41781">
                  <w:pPr>
                    <w:jc w:val="center"/>
                    <w:rPr>
                      <w:rFonts w:hint="default" w:ascii="Times New Roman" w:hAnsi="Times New Roman" w:cs="Times New Roman"/>
                      <w:b w:val="0"/>
                      <w:bCs/>
                      <w:color w:val="0000FF"/>
                      <w:sz w:val="21"/>
                      <w:szCs w:val="21"/>
                      <w:lang w:val="en-US" w:eastAsia="zh-CN"/>
                    </w:rPr>
                  </w:pPr>
                  <w:r>
                    <w:rPr>
                      <w:rFonts w:hint="eastAsia" w:cs="Times New Roman"/>
                      <w:b w:val="0"/>
                      <w:bCs/>
                      <w:color w:val="0000FF"/>
                      <w:sz w:val="21"/>
                      <w:szCs w:val="21"/>
                      <w:lang w:val="en-US" w:eastAsia="zh-CN"/>
                    </w:rPr>
                    <w:t>1.6x10</w:t>
                  </w:r>
                  <w:r>
                    <w:rPr>
                      <w:rFonts w:hint="eastAsia" w:cs="Times New Roman"/>
                      <w:b w:val="0"/>
                      <w:bCs/>
                      <w:color w:val="0000FF"/>
                      <w:sz w:val="21"/>
                      <w:szCs w:val="21"/>
                      <w:vertAlign w:val="superscript"/>
                      <w:lang w:val="en-US" w:eastAsia="zh-CN"/>
                    </w:rPr>
                    <w:t>8</w:t>
                  </w:r>
                </w:p>
              </w:tc>
              <w:tc>
                <w:tcPr>
                  <w:tcW w:w="225" w:type="pct"/>
                  <w:tcBorders>
                    <w:top w:val="single" w:color="auto" w:sz="12" w:space="0"/>
                    <w:tl2br w:val="nil"/>
                    <w:tr2bl w:val="nil"/>
                  </w:tcBorders>
                  <w:vAlign w:val="center"/>
                </w:tcPr>
                <w:p w14:paraId="0E11E30F">
                  <w:pPr>
                    <w:jc w:val="center"/>
                    <w:rPr>
                      <w:rFonts w:hint="default" w:ascii="Times New Roman" w:hAnsi="Times New Roman" w:cs="Times New Roman"/>
                      <w:b w:val="0"/>
                      <w:bCs/>
                      <w:color w:val="0000FF"/>
                      <w:sz w:val="21"/>
                      <w:szCs w:val="21"/>
                      <w:lang w:val="en-US" w:eastAsia="zh-CN"/>
                    </w:rPr>
                  </w:pPr>
                  <w:r>
                    <w:rPr>
                      <w:rFonts w:hint="eastAsia" w:cs="Times New Roman"/>
                      <w:b w:val="0"/>
                      <w:bCs/>
                      <w:color w:val="0000FF"/>
                      <w:sz w:val="21"/>
                      <w:szCs w:val="21"/>
                      <w:lang w:val="en-US" w:eastAsia="zh-CN"/>
                    </w:rPr>
                    <w:t>/</w:t>
                  </w:r>
                </w:p>
              </w:tc>
            </w:tr>
            <w:tr w14:paraId="081D9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9" w:hRule="exact"/>
                <w:jc w:val="center"/>
              </w:trPr>
              <w:tc>
                <w:tcPr>
                  <w:tcW w:w="259" w:type="pct"/>
                  <w:tcBorders>
                    <w:tl2br w:val="nil"/>
                    <w:tr2bl w:val="nil"/>
                  </w:tcBorders>
                  <w:vAlign w:val="center"/>
                </w:tcPr>
                <w:p w14:paraId="1F14CE87">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医疗</w:t>
                  </w:r>
                  <w:r>
                    <w:rPr>
                      <w:rFonts w:hint="default" w:ascii="Times New Roman" w:hAnsi="Times New Roman" w:eastAsia="宋体" w:cs="Times New Roman"/>
                      <w:b w:val="0"/>
                      <w:bCs/>
                      <w:color w:val="0000FF"/>
                      <w:sz w:val="21"/>
                      <w:szCs w:val="21"/>
                      <w:lang w:val="en-US" w:eastAsia="zh-CN"/>
                    </w:rPr>
                    <w:t>废水</w:t>
                  </w:r>
                  <w:r>
                    <w:rPr>
                      <w:rFonts w:hint="eastAsia" w:cs="Times New Roman"/>
                      <w:b w:val="0"/>
                      <w:bCs/>
                      <w:color w:val="0000FF"/>
                      <w:sz w:val="21"/>
                      <w:szCs w:val="21"/>
                      <w:lang w:val="en-US" w:eastAsia="zh-CN"/>
                    </w:rPr>
                    <w:t>处理后</w:t>
                  </w:r>
                </w:p>
              </w:tc>
              <w:tc>
                <w:tcPr>
                  <w:tcW w:w="466" w:type="pct"/>
                  <w:vMerge w:val="continue"/>
                  <w:tcBorders>
                    <w:tl2br w:val="nil"/>
                    <w:tr2bl w:val="nil"/>
                  </w:tcBorders>
                  <w:vAlign w:val="center"/>
                </w:tcPr>
                <w:p w14:paraId="289C1247">
                  <w:pPr>
                    <w:jc w:val="center"/>
                    <w:rPr>
                      <w:rFonts w:hint="eastAsia" w:cs="Times New Roman"/>
                      <w:b w:val="0"/>
                      <w:bCs/>
                      <w:color w:val="0000FF"/>
                      <w:sz w:val="21"/>
                      <w:szCs w:val="21"/>
                      <w:lang w:val="en-US" w:eastAsia="zh-CN"/>
                    </w:rPr>
                  </w:pPr>
                </w:p>
              </w:tc>
              <w:tc>
                <w:tcPr>
                  <w:tcW w:w="349" w:type="pct"/>
                  <w:tcBorders>
                    <w:tl2br w:val="nil"/>
                    <w:tr2bl w:val="nil"/>
                  </w:tcBorders>
                  <w:vAlign w:val="center"/>
                </w:tcPr>
                <w:p w14:paraId="6EA68455">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56</w:t>
                  </w:r>
                </w:p>
              </w:tc>
              <w:tc>
                <w:tcPr>
                  <w:tcW w:w="461" w:type="pct"/>
                  <w:tcBorders>
                    <w:tl2br w:val="nil"/>
                    <w:tr2bl w:val="nil"/>
                  </w:tcBorders>
                  <w:vAlign w:val="center"/>
                </w:tcPr>
                <w:p w14:paraId="5489EA5D">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0.00019</w:t>
                  </w:r>
                </w:p>
              </w:tc>
              <w:tc>
                <w:tcPr>
                  <w:tcW w:w="323" w:type="pct"/>
                  <w:tcBorders>
                    <w:tl2br w:val="nil"/>
                    <w:tr2bl w:val="nil"/>
                  </w:tcBorders>
                  <w:vAlign w:val="center"/>
                </w:tcPr>
                <w:p w14:paraId="79A3CD82">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250</w:t>
                  </w:r>
                </w:p>
              </w:tc>
              <w:tc>
                <w:tcPr>
                  <w:tcW w:w="424" w:type="pct"/>
                  <w:tcBorders>
                    <w:tl2br w:val="nil"/>
                    <w:tr2bl w:val="nil"/>
                  </w:tcBorders>
                  <w:vAlign w:val="center"/>
                </w:tcPr>
                <w:p w14:paraId="0969E4CB">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0.00086</w:t>
                  </w:r>
                </w:p>
              </w:tc>
              <w:tc>
                <w:tcPr>
                  <w:tcW w:w="435" w:type="pct"/>
                  <w:tcBorders>
                    <w:tl2br w:val="nil"/>
                    <w:tr2bl w:val="nil"/>
                  </w:tcBorders>
                  <w:vAlign w:val="center"/>
                </w:tcPr>
                <w:p w14:paraId="61DDA25B">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100</w:t>
                  </w:r>
                </w:p>
              </w:tc>
              <w:tc>
                <w:tcPr>
                  <w:tcW w:w="602" w:type="pct"/>
                  <w:tcBorders>
                    <w:tl2br w:val="nil"/>
                    <w:tr2bl w:val="nil"/>
                  </w:tcBorders>
                  <w:vAlign w:val="center"/>
                </w:tcPr>
                <w:p w14:paraId="59290301">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0.000035</w:t>
                  </w:r>
                </w:p>
              </w:tc>
              <w:tc>
                <w:tcPr>
                  <w:tcW w:w="403" w:type="pct"/>
                  <w:tcBorders>
                    <w:tl2br w:val="nil"/>
                    <w:tr2bl w:val="nil"/>
                  </w:tcBorders>
                  <w:vAlign w:val="center"/>
                </w:tcPr>
                <w:p w14:paraId="75A43447">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30</w:t>
                  </w:r>
                </w:p>
              </w:tc>
              <w:tc>
                <w:tcPr>
                  <w:tcW w:w="489" w:type="pct"/>
                  <w:tcBorders>
                    <w:tl2br w:val="nil"/>
                    <w:tr2bl w:val="nil"/>
                  </w:tcBorders>
                  <w:vAlign w:val="center"/>
                </w:tcPr>
                <w:p w14:paraId="6AC3303B">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0.00010</w:t>
                  </w:r>
                </w:p>
              </w:tc>
              <w:tc>
                <w:tcPr>
                  <w:tcW w:w="559" w:type="pct"/>
                  <w:tcBorders>
                    <w:tl2br w:val="nil"/>
                    <w:tr2bl w:val="nil"/>
                  </w:tcBorders>
                  <w:vAlign w:val="center"/>
                </w:tcPr>
                <w:p w14:paraId="03BEFB52">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1600</w:t>
                  </w:r>
                </w:p>
              </w:tc>
              <w:tc>
                <w:tcPr>
                  <w:tcW w:w="225" w:type="pct"/>
                  <w:tcBorders>
                    <w:tl2br w:val="nil"/>
                    <w:tr2bl w:val="nil"/>
                  </w:tcBorders>
                  <w:vAlign w:val="center"/>
                </w:tcPr>
                <w:p w14:paraId="38323AFC">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w:t>
                  </w:r>
                </w:p>
              </w:tc>
            </w:tr>
            <w:tr w14:paraId="1FAA2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4" w:hRule="exact"/>
                <w:jc w:val="center"/>
              </w:trPr>
              <w:tc>
                <w:tcPr>
                  <w:tcW w:w="259" w:type="pct"/>
                  <w:tcBorders>
                    <w:tl2br w:val="nil"/>
                    <w:tr2bl w:val="nil"/>
                  </w:tcBorders>
                  <w:vAlign w:val="center"/>
                </w:tcPr>
                <w:p w14:paraId="5A0AEDF9">
                  <w:pPr>
                    <w:jc w:val="center"/>
                    <w:rPr>
                      <w:rFonts w:hint="default" w:ascii="Times New Roman" w:hAnsi="Times New Roman" w:eastAsia="宋体" w:cs="Times New Roman"/>
                      <w:b w:val="0"/>
                      <w:bCs/>
                      <w:color w:val="0000FF"/>
                      <w:sz w:val="21"/>
                      <w:szCs w:val="21"/>
                      <w:lang w:val="en-US" w:eastAsia="zh-CN"/>
                    </w:rPr>
                  </w:pPr>
                  <w:r>
                    <w:rPr>
                      <w:rFonts w:hint="eastAsia" w:cs="Times New Roman"/>
                      <w:b w:val="0"/>
                      <w:bCs/>
                      <w:color w:val="0000FF"/>
                      <w:sz w:val="21"/>
                      <w:szCs w:val="21"/>
                      <w:lang w:val="en-US" w:eastAsia="zh-CN"/>
                    </w:rPr>
                    <w:t>其他废水</w:t>
                  </w:r>
                </w:p>
              </w:tc>
              <w:tc>
                <w:tcPr>
                  <w:tcW w:w="466" w:type="pct"/>
                  <w:tcBorders>
                    <w:tl2br w:val="nil"/>
                    <w:tr2bl w:val="nil"/>
                  </w:tcBorders>
                  <w:vAlign w:val="center"/>
                </w:tcPr>
                <w:p w14:paraId="69E6E805">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94.06</w:t>
                  </w:r>
                </w:p>
              </w:tc>
              <w:tc>
                <w:tcPr>
                  <w:tcW w:w="349" w:type="pct"/>
                  <w:tcBorders>
                    <w:tl2br w:val="nil"/>
                    <w:tr2bl w:val="nil"/>
                  </w:tcBorders>
                  <w:vAlign w:val="center"/>
                </w:tcPr>
                <w:p w14:paraId="28D3467F">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200</w:t>
                  </w:r>
                </w:p>
              </w:tc>
              <w:tc>
                <w:tcPr>
                  <w:tcW w:w="461" w:type="pct"/>
                  <w:tcBorders>
                    <w:tl2br w:val="nil"/>
                    <w:tr2bl w:val="nil"/>
                  </w:tcBorders>
                  <w:vAlign w:val="center"/>
                </w:tcPr>
                <w:p w14:paraId="715624BC">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0.018</w:t>
                  </w:r>
                </w:p>
              </w:tc>
              <w:tc>
                <w:tcPr>
                  <w:tcW w:w="323" w:type="pct"/>
                  <w:tcBorders>
                    <w:tl2br w:val="nil"/>
                    <w:tr2bl w:val="nil"/>
                  </w:tcBorders>
                  <w:vAlign w:val="center"/>
                </w:tcPr>
                <w:p w14:paraId="637044DF">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460</w:t>
                  </w:r>
                </w:p>
              </w:tc>
              <w:tc>
                <w:tcPr>
                  <w:tcW w:w="424" w:type="pct"/>
                  <w:tcBorders>
                    <w:tl2br w:val="nil"/>
                    <w:tr2bl w:val="nil"/>
                  </w:tcBorders>
                  <w:vAlign w:val="center"/>
                </w:tcPr>
                <w:p w14:paraId="4C32CCE6">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0.042</w:t>
                  </w:r>
                </w:p>
              </w:tc>
              <w:tc>
                <w:tcPr>
                  <w:tcW w:w="435" w:type="pct"/>
                  <w:tcBorders>
                    <w:tl2br w:val="nil"/>
                    <w:tr2bl w:val="nil"/>
                  </w:tcBorders>
                  <w:vAlign w:val="center"/>
                </w:tcPr>
                <w:p w14:paraId="49DE7007">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200</w:t>
                  </w:r>
                </w:p>
              </w:tc>
              <w:tc>
                <w:tcPr>
                  <w:tcW w:w="602" w:type="pct"/>
                  <w:tcBorders>
                    <w:tl2br w:val="nil"/>
                    <w:tr2bl w:val="nil"/>
                  </w:tcBorders>
                  <w:vAlign w:val="center"/>
                </w:tcPr>
                <w:p w14:paraId="1F2B58C5">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0.018</w:t>
                  </w:r>
                </w:p>
              </w:tc>
              <w:tc>
                <w:tcPr>
                  <w:tcW w:w="403" w:type="pct"/>
                  <w:tcBorders>
                    <w:tl2br w:val="nil"/>
                    <w:tr2bl w:val="nil"/>
                  </w:tcBorders>
                  <w:vAlign w:val="center"/>
                </w:tcPr>
                <w:p w14:paraId="65C29F2C">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52.2</w:t>
                  </w:r>
                </w:p>
              </w:tc>
              <w:tc>
                <w:tcPr>
                  <w:tcW w:w="489" w:type="pct"/>
                  <w:tcBorders>
                    <w:tl2br w:val="nil"/>
                    <w:tr2bl w:val="nil"/>
                  </w:tcBorders>
                  <w:vAlign w:val="center"/>
                </w:tcPr>
                <w:p w14:paraId="316F3174">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0.005</w:t>
                  </w:r>
                </w:p>
              </w:tc>
              <w:tc>
                <w:tcPr>
                  <w:tcW w:w="559" w:type="pct"/>
                  <w:tcBorders>
                    <w:tl2br w:val="nil"/>
                    <w:tr2bl w:val="nil"/>
                  </w:tcBorders>
                  <w:vAlign w:val="center"/>
                </w:tcPr>
                <w:p w14:paraId="70B5713C">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w:t>
                  </w:r>
                </w:p>
              </w:tc>
              <w:tc>
                <w:tcPr>
                  <w:tcW w:w="225" w:type="pct"/>
                  <w:tcBorders>
                    <w:tl2br w:val="nil"/>
                    <w:tr2bl w:val="nil"/>
                  </w:tcBorders>
                  <w:vAlign w:val="center"/>
                </w:tcPr>
                <w:p w14:paraId="7E89EBC7">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w:t>
                  </w:r>
                </w:p>
              </w:tc>
            </w:tr>
            <w:tr w14:paraId="4EFB5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3" w:hRule="exact"/>
                <w:jc w:val="center"/>
              </w:trPr>
              <w:tc>
                <w:tcPr>
                  <w:tcW w:w="259" w:type="pct"/>
                  <w:tcBorders>
                    <w:tl2br w:val="nil"/>
                    <w:tr2bl w:val="nil"/>
                  </w:tcBorders>
                  <w:vAlign w:val="center"/>
                </w:tcPr>
                <w:p w14:paraId="7BEFEAFC">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综合排放</w:t>
                  </w:r>
                </w:p>
              </w:tc>
              <w:tc>
                <w:tcPr>
                  <w:tcW w:w="466" w:type="pct"/>
                  <w:tcBorders>
                    <w:tl2br w:val="nil"/>
                    <w:tr2bl w:val="nil"/>
                  </w:tcBorders>
                  <w:vAlign w:val="center"/>
                </w:tcPr>
                <w:p w14:paraId="4500EFF1">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96.76</w:t>
                  </w:r>
                </w:p>
              </w:tc>
              <w:tc>
                <w:tcPr>
                  <w:tcW w:w="349" w:type="pct"/>
                  <w:tcBorders>
                    <w:tl2br w:val="nil"/>
                    <w:tr2bl w:val="nil"/>
                  </w:tcBorders>
                  <w:vAlign w:val="center"/>
                </w:tcPr>
                <w:p w14:paraId="54242DAC">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151</w:t>
                  </w:r>
                </w:p>
              </w:tc>
              <w:tc>
                <w:tcPr>
                  <w:tcW w:w="461" w:type="pct"/>
                  <w:tcBorders>
                    <w:tl2br w:val="nil"/>
                    <w:tr2bl w:val="nil"/>
                  </w:tcBorders>
                  <w:vAlign w:val="center"/>
                </w:tcPr>
                <w:p w14:paraId="1E38BA12">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0.014</w:t>
                  </w:r>
                </w:p>
              </w:tc>
              <w:tc>
                <w:tcPr>
                  <w:tcW w:w="323" w:type="pct"/>
                  <w:tcBorders>
                    <w:tl2br w:val="nil"/>
                    <w:tr2bl w:val="nil"/>
                  </w:tcBorders>
                  <w:vAlign w:val="center"/>
                </w:tcPr>
                <w:p w14:paraId="5D036A03">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309</w:t>
                  </w:r>
                </w:p>
              </w:tc>
              <w:tc>
                <w:tcPr>
                  <w:tcW w:w="424" w:type="pct"/>
                  <w:tcBorders>
                    <w:tl2br w:val="nil"/>
                    <w:tr2bl w:val="nil"/>
                  </w:tcBorders>
                  <w:vAlign w:val="center"/>
                </w:tcPr>
                <w:p w14:paraId="37F1D75C">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0.029</w:t>
                  </w:r>
                </w:p>
              </w:tc>
              <w:tc>
                <w:tcPr>
                  <w:tcW w:w="435" w:type="pct"/>
                  <w:tcBorders>
                    <w:tl2br w:val="nil"/>
                    <w:tr2bl w:val="nil"/>
                  </w:tcBorders>
                  <w:vAlign w:val="center"/>
                </w:tcPr>
                <w:p w14:paraId="3CF37460">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159</w:t>
                  </w:r>
                </w:p>
              </w:tc>
              <w:tc>
                <w:tcPr>
                  <w:tcW w:w="602" w:type="pct"/>
                  <w:tcBorders>
                    <w:tl2br w:val="nil"/>
                    <w:tr2bl w:val="nil"/>
                  </w:tcBorders>
                  <w:vAlign w:val="center"/>
                </w:tcPr>
                <w:p w14:paraId="19ED58D2">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0.015</w:t>
                  </w:r>
                </w:p>
              </w:tc>
              <w:tc>
                <w:tcPr>
                  <w:tcW w:w="403" w:type="pct"/>
                  <w:tcBorders>
                    <w:tl2br w:val="nil"/>
                    <w:tr2bl w:val="nil"/>
                  </w:tcBorders>
                  <w:vAlign w:val="center"/>
                </w:tcPr>
                <w:p w14:paraId="70E78CE9">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30</w:t>
                  </w:r>
                </w:p>
              </w:tc>
              <w:tc>
                <w:tcPr>
                  <w:tcW w:w="489" w:type="pct"/>
                  <w:tcBorders>
                    <w:tl2br w:val="nil"/>
                    <w:tr2bl w:val="nil"/>
                  </w:tcBorders>
                  <w:vAlign w:val="center"/>
                </w:tcPr>
                <w:p w14:paraId="42E36973">
                  <w:pPr>
                    <w:jc w:val="center"/>
                    <w:rPr>
                      <w:rFonts w:hint="default" w:cs="Times New Roman"/>
                      <w:b w:val="0"/>
                      <w:bCs/>
                      <w:color w:val="0000FF"/>
                      <w:sz w:val="21"/>
                      <w:szCs w:val="21"/>
                      <w:lang w:val="en-US" w:eastAsia="zh-CN"/>
                    </w:rPr>
                  </w:pPr>
                  <w:r>
                    <w:rPr>
                      <w:rFonts w:hint="eastAsia" w:cs="Times New Roman"/>
                      <w:b w:val="0"/>
                      <w:bCs/>
                      <w:color w:val="0000FF"/>
                      <w:sz w:val="21"/>
                      <w:szCs w:val="21"/>
                      <w:lang w:val="en-US" w:eastAsia="zh-CN"/>
                    </w:rPr>
                    <w:t>0.003</w:t>
                  </w:r>
                </w:p>
              </w:tc>
              <w:tc>
                <w:tcPr>
                  <w:tcW w:w="559" w:type="pct"/>
                  <w:tcBorders>
                    <w:tl2br w:val="nil"/>
                    <w:tr2bl w:val="nil"/>
                  </w:tcBorders>
                  <w:vAlign w:val="center"/>
                </w:tcPr>
                <w:p w14:paraId="7C2CB2E1">
                  <w:pPr>
                    <w:jc w:val="center"/>
                    <w:rPr>
                      <w:rFonts w:hint="eastAsia" w:ascii="Times New Roman" w:hAnsi="Times New Roman" w:eastAsia="宋体" w:cs="Times New Roman"/>
                      <w:b w:val="0"/>
                      <w:bCs/>
                      <w:color w:val="0000FF"/>
                      <w:kern w:val="2"/>
                      <w:sz w:val="21"/>
                      <w:szCs w:val="21"/>
                      <w:lang w:val="en-US" w:eastAsia="zh-CN" w:bidi="ar-SA"/>
                    </w:rPr>
                  </w:pPr>
                  <w:r>
                    <w:rPr>
                      <w:rFonts w:hint="eastAsia" w:cs="Times New Roman"/>
                      <w:b w:val="0"/>
                      <w:bCs/>
                      <w:color w:val="0000FF"/>
                      <w:sz w:val="21"/>
                      <w:szCs w:val="21"/>
                      <w:lang w:val="en-US" w:eastAsia="zh-CN"/>
                    </w:rPr>
                    <w:t>/</w:t>
                  </w:r>
                </w:p>
              </w:tc>
              <w:tc>
                <w:tcPr>
                  <w:tcW w:w="225" w:type="pct"/>
                  <w:tcBorders>
                    <w:tl2br w:val="nil"/>
                    <w:tr2bl w:val="nil"/>
                  </w:tcBorders>
                  <w:vAlign w:val="center"/>
                </w:tcPr>
                <w:p w14:paraId="749B12F7">
                  <w:pPr>
                    <w:jc w:val="center"/>
                    <w:rPr>
                      <w:rFonts w:hint="eastAsia" w:ascii="Times New Roman" w:hAnsi="Times New Roman" w:eastAsia="宋体" w:cs="Times New Roman"/>
                      <w:b w:val="0"/>
                      <w:bCs/>
                      <w:color w:val="0000FF"/>
                      <w:kern w:val="2"/>
                      <w:sz w:val="21"/>
                      <w:szCs w:val="21"/>
                      <w:lang w:val="en-US" w:eastAsia="zh-CN" w:bidi="ar-SA"/>
                    </w:rPr>
                  </w:pPr>
                  <w:r>
                    <w:rPr>
                      <w:rFonts w:hint="eastAsia" w:cs="Times New Roman"/>
                      <w:b w:val="0"/>
                      <w:bCs/>
                      <w:color w:val="0000FF"/>
                      <w:sz w:val="21"/>
                      <w:szCs w:val="21"/>
                      <w:lang w:val="en-US" w:eastAsia="zh-CN"/>
                    </w:rPr>
                    <w:t>/</w:t>
                  </w:r>
                </w:p>
              </w:tc>
            </w:tr>
          </w:tbl>
          <w:p w14:paraId="704FE126">
            <w:pPr>
              <w:pStyle w:val="6"/>
              <w:numPr>
                <w:ilvl w:val="1"/>
                <w:numId w:val="0"/>
              </w:numPr>
              <w:jc w:val="both"/>
              <w:outlineLvl w:val="2"/>
              <w:rPr>
                <w:rFonts w:hint="default" w:ascii="Times New Roman" w:hAnsi="Times New Roman" w:eastAsia="宋体" w:cs="Times New Roman"/>
                <w:color w:val="0000FF"/>
                <w:lang w:val="en-US" w:eastAsia="zh-CN"/>
              </w:rPr>
            </w:pPr>
            <w:r>
              <w:rPr>
                <w:rFonts w:hint="default" w:ascii="Times New Roman" w:hAnsi="Times New Roman" w:eastAsia="宋体" w:cs="Times New Roman"/>
                <w:b/>
                <w:color w:val="0000FF"/>
                <w:kern w:val="2"/>
                <w:sz w:val="24"/>
                <w:szCs w:val="24"/>
                <w:lang w:val="en-US" w:eastAsia="zh-CN" w:bidi="ar-SA"/>
              </w:rPr>
              <w:t>2.2</w:t>
            </w:r>
            <w:r>
              <w:rPr>
                <w:rFonts w:hint="eastAsia" w:cs="Times New Roman"/>
                <w:b/>
                <w:color w:val="0000FF"/>
                <w:kern w:val="2"/>
                <w:sz w:val="24"/>
                <w:szCs w:val="24"/>
                <w:lang w:val="en-US" w:eastAsia="zh-CN" w:bidi="ar-SA"/>
              </w:rPr>
              <w:t xml:space="preserve"> </w:t>
            </w:r>
            <w:r>
              <w:rPr>
                <w:rFonts w:hint="default" w:ascii="Times New Roman" w:hAnsi="Times New Roman" w:eastAsia="宋体" w:cs="Times New Roman"/>
                <w:b/>
                <w:color w:val="0000FF"/>
                <w:kern w:val="2"/>
                <w:sz w:val="24"/>
                <w:szCs w:val="24"/>
                <w:lang w:val="en-US" w:eastAsia="zh-CN" w:bidi="ar-SA"/>
              </w:rPr>
              <w:t>废水污染防治措施可行性分析</w:t>
            </w:r>
          </w:p>
          <w:p w14:paraId="17EDCE51">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本项目废水主要为生活污水、清洁废水、宠物洗澡废水、诊疗废水（诊疗废水产生于手术室、化验区、住院室。项目配备有一台一体化污水处理设备处理诊疗废水）。</w:t>
            </w:r>
          </w:p>
          <w:p w14:paraId="1E2EFE1B">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根据《综合医院建筑设计规范》（局部修订征求意见稿）中“6.给水排水、消防和污水处理、7.6手术部”，应满足一下要求：</w:t>
            </w:r>
          </w:p>
          <w:p w14:paraId="5ECC811C">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①一般规定：卫生器具应采用节水器具，但大便器的冲洗水量应满足排泄物输送排放的要求；给水排水设备、器材应采用安全可靠的产品，以减少维修的风险。</w:t>
            </w:r>
          </w:p>
          <w:p w14:paraId="038A7EE7">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②给水：诊室、检验科等房间的洗手盆采用非手动开关，并应采取防止污水 外溅的措施。</w:t>
            </w:r>
          </w:p>
          <w:p w14:paraId="7F9F9DCF">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③排水：医院排水系统的设计应防止管道污废水泄漏、防止管道的堵塞和防止排水系统内的有毒有害、非毒性气体和臭味溢出进入建筑物内。</w:t>
            </w:r>
          </w:p>
          <w:p w14:paraId="28FE794B">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④污水处理：污水处理池应密闭，尾气应统一收集消毒处理后排放。</w:t>
            </w:r>
          </w:p>
          <w:p w14:paraId="59648AE3">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⑤手术部：一般手术室室内温度冬季不宜低于20℃，夏季不宜高于26℃；室内相对湿度冬季不宜低于30%，夏季不宜高于65%；应在送风口采用过滤器效率不低于高中效过滤器的上送下回空调系统或全新风通风系统。室内不应有局部 气流干扰定向流，应保持正压，换气次数不得低于6次/h。噪声不应大于50dB(A)。</w:t>
            </w:r>
          </w:p>
          <w:p w14:paraId="1284833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参照《医疗机构水污染物排放标准》(GB18466-2005)相关规定，“4.1.3县级以下或20张床位以下的综合医疗机构和其他所有医疗机构污水经消毒处理后方可排放”，项目采用接触消毒的方式进行消毒处理，一体化污水处理设备由液位感应系统、储药箱、混合器等组成，污水处理设备体积约为30×30×30cm，，每15天在污水消毒箱投料口投入氯片3片，10g/片，每片有效氯含量1.6×103mg，保证接触时间大于1.5h。</w:t>
            </w:r>
          </w:p>
          <w:p w14:paraId="3F0D98D7">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诊疗废水可能含病原体，因此，项目诊疗废水采用一体化污水处理设备消毒处理满足《医疗机构水污染物排放标准》（GB18466-2005）表2中的预处理标准后，再与生活污水进入市政污水管网排至污水处理厂处理。</w:t>
            </w:r>
          </w:p>
          <w:p w14:paraId="573A36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kern w:val="2"/>
                <w:sz w:val="24"/>
                <w:szCs w:val="21"/>
                <w:lang w:val="en-US" w:eastAsia="zh-CN" w:bidi="ar-SA"/>
              </w:rPr>
              <w:t>（1）</w:t>
            </w:r>
            <w:r>
              <w:rPr>
                <w:rFonts w:hint="eastAsia" w:ascii="Times New Roman" w:hAnsi="Times New Roman" w:eastAsia="宋体" w:cs="Times New Roman"/>
                <w:b w:val="0"/>
                <w:bCs/>
                <w:color w:val="0000FF"/>
                <w:szCs w:val="21"/>
                <w:lang w:val="en-US" w:eastAsia="zh-CN"/>
              </w:rPr>
              <w:t>本项目生活污水、清洁废水、宠物洗澡废水处理满足《医疗机构水污染物排放标准》（GB18466-2005）表2中的预处理标准要求，直接排入市政下水管网，最终排放到污水处理厂处理达标排放。因此，本项目废水对周边环境影响较小。</w:t>
            </w:r>
          </w:p>
          <w:p w14:paraId="75F75E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kern w:val="2"/>
                <w:sz w:val="24"/>
                <w:szCs w:val="21"/>
                <w:lang w:val="en-US" w:eastAsia="zh-CN" w:bidi="ar-SA"/>
              </w:rPr>
              <w:t>（2）</w:t>
            </w:r>
            <w:r>
              <w:rPr>
                <w:rFonts w:hint="eastAsia" w:ascii="Times New Roman" w:hAnsi="Times New Roman" w:eastAsia="宋体" w:cs="Times New Roman"/>
                <w:b w:val="0"/>
                <w:bCs/>
                <w:color w:val="0000FF"/>
                <w:szCs w:val="21"/>
                <w:lang w:val="en-US" w:eastAsia="zh-CN"/>
              </w:rPr>
              <w:t>医疗废水处理措施</w:t>
            </w:r>
          </w:p>
          <w:p w14:paraId="6DDAE8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医疗废水来自手术室、化验区、住院区。本项目在处置台设置一台一体化污水处理设备，处理设备处理能为0.5m</w:t>
            </w:r>
            <w:r>
              <w:rPr>
                <w:rFonts w:hint="eastAsia" w:ascii="Times New Roman" w:hAnsi="Times New Roman" w:eastAsia="宋体" w:cs="Times New Roman"/>
                <w:b w:val="0"/>
                <w:bCs/>
                <w:color w:val="0000FF"/>
                <w:szCs w:val="21"/>
                <w:vertAlign w:val="superscript"/>
                <w:lang w:val="en-US" w:eastAsia="zh-CN"/>
              </w:rPr>
              <w:t>3</w:t>
            </w:r>
            <w:r>
              <w:rPr>
                <w:rFonts w:hint="eastAsia" w:ascii="Times New Roman" w:hAnsi="Times New Roman" w:eastAsia="宋体" w:cs="Times New Roman"/>
                <w:b w:val="0"/>
                <w:bCs/>
                <w:color w:val="0000FF"/>
                <w:szCs w:val="21"/>
                <w:lang w:val="en-US" w:eastAsia="zh-CN"/>
              </w:rPr>
              <w:t>/h，处理能力均远大于区域废水产生量，处理能力满足要求。</w:t>
            </w:r>
          </w:p>
          <w:p w14:paraId="2460C1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二氧化氯处理医院污水的机理：二氧化氯是一种黄绿色的气体，易溶于水，在水中的溶解度约为2900mg/L。二氧化氯中的氯以正四价存在，其活性可为氯的2.5倍，经科学研究证实，二氧化氯对大肠杆菌、细菌、芽孢、病毒及藻类均 有极好的杀灭作用。其机理是：二氧化氯对细胞壁有较好的吸附和穿透作用，可 有效地氧化细胞内含巯氢的酶，抑制微生物蛋白质的合成。二氧化氯的杀菌能力 和在水中的稳定性均优于氯气等其它消剂，二 氧化氯对医院污水中的某些化学 物质可以有效地氧化，如 酚、氰、硫及产生臭味的物质硫醇、仲胺、叔胺等， 改善水质及除臭除味。</w:t>
            </w:r>
          </w:p>
          <w:p w14:paraId="64DE1B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HB标准型二氧化氯发生器消毒设备说明:</w:t>
            </w:r>
          </w:p>
          <w:p w14:paraId="71CC05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①污水首先通过自流或者通过提升泵提升进入设备主体然后通过反应内胆与内部氯片发生反应；</w:t>
            </w:r>
          </w:p>
          <w:p w14:paraId="19C72C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②通过人工检测出水余氯，控制出水速度，使污水在箱体内停留，与氯片发生充分反应；</w:t>
            </w:r>
          </w:p>
          <w:p w14:paraId="2F7FEF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③污水经消毒设备消毒杀菌处理后达标排放；</w:t>
            </w:r>
          </w:p>
          <w:p w14:paraId="7BBE2D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④设备内部的反应内胆采用耐高温、耐腐蚀的材料，保证设备使用寿命达10年以上。(而传统的采用铸铁加搪瓷工艺，因搪瓷的耐冷热性能差，搪瓷反应釜内冷热交替快，温差梯度高，温差产生的内应力和应力集中容易爆瓷，使用寿命短，一股寿命为3~5年)；</w:t>
            </w:r>
          </w:p>
          <w:p w14:paraId="6BA9D4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⑤设各采用缓释氯片作为原料，提高了原料的转化率，比传统的单级反应器 提高35%，大大降低了产品的运行成本；</w:t>
            </w:r>
          </w:p>
          <w:p w14:paraId="60B10A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⑥可在出水口加三通、阀门、检测余氯值；</w:t>
            </w:r>
          </w:p>
          <w:p w14:paraId="2A9CEF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⑦设备不需要通电，大大节约成本；</w:t>
            </w:r>
          </w:p>
          <w:p w14:paraId="134D5C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⑧控制运行操作部分，具有防腐、耐用、可靠性强的特点。在污水处理设备闸的腐蚀环境下，空气中迷散着腐蚀性的气体，常规的低压电器无法在此环境下长期正常工作。</w:t>
            </w:r>
          </w:p>
          <w:p w14:paraId="679A6E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项目使用二氧化氯片进行消毒，主要有效成分为二氧化氯，具有速效、缓释 作用的特点，作为新型高效消毒剂，常用于医院、护理等场所。该产品在一定量 水中，能均匀缓慢释放有效氯，维持一定的有限浓度，以保持长效消毒效果。在 水中释放时间可达20~30d，可杀灭细菌繁殖体和真菌等各种微生物。项目废水处理工艺流程见图4-1。</w:t>
            </w:r>
          </w:p>
          <w:p w14:paraId="0DC3CC3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val="0"/>
                <w:bCs/>
                <w:color w:val="0000FF"/>
                <w:szCs w:val="21"/>
                <w:lang w:val="en-US" w:eastAsia="zh-CN"/>
              </w:rPr>
            </w:pPr>
            <w:r>
              <w:rPr>
                <w:color w:val="0000FF"/>
                <w:sz w:val="24"/>
              </w:rPr>
              <mc:AlternateContent>
                <mc:Choice Requires="wps">
                  <w:drawing>
                    <wp:anchor distT="0" distB="0" distL="114300" distR="114300" simplePos="0" relativeHeight="251660288" behindDoc="0" locked="0" layoutInCell="1" allowOverlap="1">
                      <wp:simplePos x="0" y="0"/>
                      <wp:positionH relativeFrom="column">
                        <wp:posOffset>3880485</wp:posOffset>
                      </wp:positionH>
                      <wp:positionV relativeFrom="paragraph">
                        <wp:posOffset>2011045</wp:posOffset>
                      </wp:positionV>
                      <wp:extent cx="802640" cy="386715"/>
                      <wp:effectExtent l="0" t="0" r="10160" b="6985"/>
                      <wp:wrapNone/>
                      <wp:docPr id="27" name="文本框 27"/>
                      <wp:cNvGraphicFramePr/>
                      <a:graphic xmlns:a="http://schemas.openxmlformats.org/drawingml/2006/main">
                        <a:graphicData uri="http://schemas.microsoft.com/office/word/2010/wordprocessingShape">
                          <wps:wsp>
                            <wps:cNvSpPr txBox="1"/>
                            <wps:spPr>
                              <a:xfrm>
                                <a:off x="5300980" y="6207125"/>
                                <a:ext cx="802640" cy="3867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03C30FB">
                                  <w:pPr>
                                    <w:jc w:val="center"/>
                                    <w:rPr>
                                      <w:rFonts w:hint="eastAsia" w:eastAsia="宋体"/>
                                      <w:b w:val="0"/>
                                      <w:bCs/>
                                      <w:sz w:val="16"/>
                                      <w:szCs w:val="16"/>
                                      <w:lang w:val="en-US" w:eastAsia="zh-CN"/>
                                    </w:rPr>
                                  </w:pPr>
                                  <w:r>
                                    <w:rPr>
                                      <w:rFonts w:hint="eastAsia"/>
                                      <w:b w:val="0"/>
                                      <w:bCs/>
                                      <w:sz w:val="16"/>
                                      <w:szCs w:val="16"/>
                                      <w:lang w:val="en-US" w:eastAsia="zh-CN"/>
                                    </w:rPr>
                                    <w:t>市政管网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55pt;margin-top:158.35pt;height:30.45pt;width:63.2pt;z-index:251660288;mso-width-relative:page;mso-height-relative:page;" fillcolor="#FFFFFF [3201]" filled="t" stroked="f" coordsize="21600,21600" o:gfxdata="UEsDBAoAAAAAAIdO4kAAAAAAAAAAAAAAAAAEAAAAZHJzL1BLAwQUAAAACACHTuJAKegnvtYAAAAL&#10;AQAADwAAAGRycy9kb3ducmV2LnhtbE2Py07DMBBF90j8gzVI7KhjWmIU4nSBxBaJvtZuPMQR9jiy&#10;3efX16xgOTNHd85tl2fv2BFjGgMpELMKGFIfzEiDgs364+kVWMqajHaBUMEFEyy7+7tWNyac6AuP&#10;qzywEkKp0QpszlPDeeotep1mYUIqt+8Qvc5ljAM3UZ9KuHf8uapq7vVI5YPVE75b7H9WB69gN/jr&#10;biumaI13C/q8XtabMCr1+CCqN2AZz/kPhl/9og5dcdqHA5nEnIJaCFFQBXNRS2CFkHP5AmxfNlLW&#10;wLuW/+/Q3QBQSwMEFAAAAAgAh07iQBLkPrxeAgAAnAQAAA4AAABkcnMvZTJvRG9jLnhtbK1UzW7b&#10;MAy+D9g7CLqvdpzmp0GcImuRYUCxFuiGnRVZjgVIoiYpsbsH2N6gp11233PlOUbJSdt1O/SwHBxK&#10;/Ezy+0h6ft5pRXbCeQmmpIOTnBJhOFTSbEr66ePqzZQSH5ipmAIjSnonPD1fvH41b+1MFNCAqoQj&#10;GMT4WWtL2oRgZ1nmeSM08ydghUFnDU6zgEe3ySrHWoyuVVbk+ThrwVXWARfe4+1l76SHiO4lAaGu&#10;JReXwLdamNBHdUKxgJR8I62ni1RtXQseruvai0BUSZFpSE9MgvY6PrPFnM02jtlG8kMJ7CUlPOOk&#10;mTSY9CHUJQuMbJ38K5SW3IGHOpxw0FlPJCmCLAb5M21uG2ZF4oJSe/sguv9/YfmH3Y0jsippMaHE&#10;MI0d399/3//4tf/5jeAdCtRaP0PcrUVk6N5Ch2NzvPd4GXl3tdPxHxkR9I+GeX42RZHvSjou8smg&#10;GPVSiy4QjoBpXoxP0c8RMJyOJ4Pkzx4DWefDOwGaRKOkDjuZBGa7Kx+wKIQeITGvByWrlVQqHdxm&#10;faEc2THs+ir9YnZ85Q+YMqTF8oajPEU2EN/vccogPPLu+UUrdOvuIMYaqjvUwkE/Tt7ylcQqr5gP&#10;N8zh/CAx3LBwjY9aASaBg0VJA+7rv+4jHtuKXkpanMeS+i9b5gQl6r3Bhp8NTqNeIR1OR5MCD+6p&#10;Z/3UY7b6ApD8AHfZ8mRGfFBHs3agP+MiLmNWdDHDMXdJw9G8CP2W4CJzsVwmEI6sZeHK3FoeQ0ep&#10;DSy3AWqZWhJl6rU5qIdDm2Q/LFjciqfnhHr8qC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no&#10;J77WAAAACwEAAA8AAAAAAAAAAQAgAAAAIgAAAGRycy9kb3ducmV2LnhtbFBLAQIUABQAAAAIAIdO&#10;4kAS5D68XgIAAJwEAAAOAAAAAAAAAAEAIAAAACUBAABkcnMvZTJvRG9jLnhtbFBLBQYAAAAABgAG&#10;AFkBAAD1BQAAAAA=&#10;">
                      <v:fill on="t" focussize="0,0"/>
                      <v:stroke on="f" weight="0.5pt"/>
                      <v:imagedata o:title=""/>
                      <o:lock v:ext="edit" aspectratio="f"/>
                      <v:textbox>
                        <w:txbxContent>
                          <w:p w14:paraId="003C30FB">
                            <w:pPr>
                              <w:jc w:val="center"/>
                              <w:rPr>
                                <w:rFonts w:hint="eastAsia" w:eastAsia="宋体"/>
                                <w:b w:val="0"/>
                                <w:bCs/>
                                <w:sz w:val="16"/>
                                <w:szCs w:val="16"/>
                                <w:lang w:val="en-US" w:eastAsia="zh-CN"/>
                              </w:rPr>
                            </w:pPr>
                            <w:r>
                              <w:rPr>
                                <w:rFonts w:hint="eastAsia"/>
                                <w:b w:val="0"/>
                                <w:bCs/>
                                <w:sz w:val="16"/>
                                <w:szCs w:val="16"/>
                                <w:lang w:val="en-US" w:eastAsia="zh-CN"/>
                              </w:rPr>
                              <w:t>市政管网</w:t>
                            </w:r>
                          </w:p>
                        </w:txbxContent>
                      </v:textbox>
                    </v:shape>
                  </w:pict>
                </mc:Fallback>
              </mc:AlternateContent>
            </w:r>
            <w:r>
              <w:rPr>
                <w:color w:val="0000FF"/>
              </w:rPr>
              <w:drawing>
                <wp:inline distT="0" distB="0" distL="114300" distR="114300">
                  <wp:extent cx="4992370" cy="2674620"/>
                  <wp:effectExtent l="0" t="0" r="11430" b="508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0"/>
                          <a:stretch>
                            <a:fillRect/>
                          </a:stretch>
                        </pic:blipFill>
                        <pic:spPr>
                          <a:xfrm>
                            <a:off x="0" y="0"/>
                            <a:ext cx="4992370" cy="2674620"/>
                          </a:xfrm>
                          <a:prstGeom prst="rect">
                            <a:avLst/>
                          </a:prstGeom>
                          <a:noFill/>
                          <a:ln>
                            <a:noFill/>
                          </a:ln>
                        </pic:spPr>
                      </pic:pic>
                    </a:graphicData>
                  </a:graphic>
                </wp:inline>
              </w:drawing>
            </w:r>
          </w:p>
          <w:p w14:paraId="604C0E8C">
            <w:pPr>
              <w:pStyle w:val="34"/>
              <w:rPr>
                <w:rFonts w:hint="eastAsia"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图</w:t>
            </w:r>
            <w:r>
              <w:rPr>
                <w:rFonts w:hint="eastAsia" w:ascii="Times New Roman" w:hAnsi="Times New Roman" w:eastAsia="宋体" w:cs="Times New Roman"/>
                <w:color w:val="0000FF"/>
                <w:sz w:val="21"/>
                <w:szCs w:val="21"/>
                <w:lang w:val="en-US" w:eastAsia="zh-CN"/>
              </w:rPr>
              <w:t>4-1</w:t>
            </w:r>
            <w:r>
              <w:rPr>
                <w:rFonts w:hint="default" w:ascii="Times New Roman" w:hAnsi="Times New Roman" w:eastAsia="宋体" w:cs="Times New Roman"/>
                <w:color w:val="0000FF"/>
                <w:sz w:val="21"/>
                <w:szCs w:val="21"/>
                <w:lang w:val="en-US" w:eastAsia="zh-CN"/>
              </w:rPr>
              <w:t xml:space="preserve">   </w:t>
            </w:r>
            <w:r>
              <w:rPr>
                <w:rFonts w:hint="eastAsia" w:ascii="Times New Roman" w:hAnsi="Times New Roman" w:eastAsia="宋体" w:cs="Times New Roman"/>
                <w:color w:val="0000FF"/>
                <w:sz w:val="21"/>
                <w:szCs w:val="21"/>
                <w:lang w:val="en-US" w:eastAsia="zh-CN"/>
              </w:rPr>
              <w:t>医疗废水处理工艺流程图</w:t>
            </w:r>
          </w:p>
          <w:p w14:paraId="35B1DC97">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FF"/>
                <w:szCs w:val="21"/>
                <w:lang w:val="en-US" w:eastAsia="zh-CN"/>
              </w:rPr>
            </w:pPr>
            <w:r>
              <w:rPr>
                <w:rFonts w:hint="eastAsia" w:ascii="Times New Roman" w:hAnsi="Times New Roman" w:eastAsia="宋体" w:cs="Times New Roman"/>
                <w:b w:val="0"/>
                <w:bCs/>
                <w:color w:val="0000FF"/>
                <w:szCs w:val="21"/>
                <w:lang w:val="en-US" w:eastAsia="zh-CN"/>
              </w:rPr>
              <w:t>经上文可知，本项目消毒装置出水符合《医疗机构水污染物排放标准》(GB18466-2005)中的“综合医疗机构和其他医疗机构水污染排放限值（日均值）”中的预处理排放要求。只要企业加强废水处理设施运行管理，强化环保意识，保证院内废水进管前预处理达标排放，本项目产生的废水对水环境影响较小。</w:t>
            </w:r>
          </w:p>
          <w:p w14:paraId="7685D3B4">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eastAsia" w:ascii="Times New Roman" w:hAnsi="Times New Roman" w:eastAsia="宋体" w:cs="Times New Roman"/>
                <w:color w:val="0000FF"/>
                <w:kern w:val="0"/>
                <w:sz w:val="24"/>
                <w:lang w:val="en-US" w:eastAsia="zh-CN"/>
              </w:rPr>
              <w:t>参考使用同类型项目，本项目污水处理设施满足《医疗机构水污染物排放标准》（GB18466-2005）表2中的预处理标准。综上所述，本项目诊疗废水采用一体化污水处理设备预处理措施可行。</w:t>
            </w:r>
          </w:p>
          <w:p w14:paraId="12C252D5">
            <w:pPr>
              <w:pStyle w:val="6"/>
              <w:numPr>
                <w:ilvl w:val="1"/>
                <w:numId w:val="0"/>
              </w:numPr>
              <w:jc w:val="both"/>
              <w:outlineLvl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2.</w:t>
            </w:r>
            <w:r>
              <w:rPr>
                <w:rFonts w:hint="eastAsia" w:cs="Times New Roman"/>
                <w:b/>
                <w:color w:val="000000" w:themeColor="text1"/>
                <w:kern w:val="2"/>
                <w:sz w:val="24"/>
                <w:szCs w:val="24"/>
                <w:lang w:val="en-US" w:eastAsia="zh-CN" w:bidi="ar-SA"/>
                <w14:textFill>
                  <w14:solidFill>
                    <w14:schemeClr w14:val="tx1"/>
                  </w14:solidFill>
                </w14:textFill>
              </w:rPr>
              <w:t>3 监测计划</w:t>
            </w:r>
          </w:p>
          <w:p w14:paraId="731B51B2">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Times New Roman" w:hAnsi="Times New Roman" w:cs="Times New Roman"/>
                <w:b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b w:val="0"/>
                <w:color w:val="000000" w:themeColor="text1"/>
                <w:kern w:val="2"/>
                <w:sz w:val="24"/>
                <w:szCs w:val="24"/>
                <w:lang w:val="en-US" w:eastAsia="zh-CN" w:bidi="ar-SA"/>
                <w14:textFill>
                  <w14:solidFill>
                    <w14:schemeClr w14:val="tx1"/>
                  </w14:solidFill>
                </w14:textFill>
              </w:rPr>
              <w:t>由于本项目未纳入《固定污染源排污许可分类管理名录（2019年版）》因此本项目监测项目及频次依据《排污单位自行监测技术指南 总则》（HJ819-2017）要求确定，本项目废水监测点位、监测因子及监测频次见下表。</w:t>
            </w:r>
          </w:p>
          <w:p w14:paraId="781B6D24">
            <w:pPr>
              <w:pStyle w:val="3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表4-</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废</w:t>
            </w:r>
            <w:r>
              <w:rPr>
                <w:rFonts w:hint="eastAsia" w:cs="Times New Roman"/>
                <w:color w:val="000000" w:themeColor="text1"/>
                <w:sz w:val="21"/>
                <w:szCs w:val="21"/>
                <w:lang w:val="en-US" w:eastAsia="zh-CN"/>
                <w14:textFill>
                  <w14:solidFill>
                    <w14:schemeClr w14:val="tx1"/>
                  </w14:solidFill>
                </w14:textFill>
              </w:rPr>
              <w:t>水</w:t>
            </w:r>
            <w:r>
              <w:rPr>
                <w:rFonts w:hint="default" w:ascii="Times New Roman" w:hAnsi="Times New Roman" w:cs="Times New Roman"/>
                <w:color w:val="000000" w:themeColor="text1"/>
                <w:sz w:val="21"/>
                <w:szCs w:val="21"/>
                <w14:textFill>
                  <w14:solidFill>
                    <w14:schemeClr w14:val="tx1"/>
                  </w14:solidFill>
                </w14:textFill>
              </w:rPr>
              <w:t>监测内容及计划</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2332"/>
              <w:gridCol w:w="2356"/>
              <w:gridCol w:w="1326"/>
            </w:tblGrid>
            <w:tr w14:paraId="401D2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tcBorders>
                    <w:bottom w:val="single" w:color="auto" w:sz="12" w:space="0"/>
                  </w:tcBorders>
                  <w:vAlign w:val="center"/>
                </w:tcPr>
                <w:p w14:paraId="7FBBA942">
                  <w:pPr>
                    <w:pStyle w:val="35"/>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监测位置</w:t>
                  </w:r>
                </w:p>
              </w:tc>
              <w:tc>
                <w:tcPr>
                  <w:tcW w:w="1482" w:type="pct"/>
                  <w:tcBorders>
                    <w:bottom w:val="single" w:color="auto" w:sz="12" w:space="0"/>
                  </w:tcBorders>
                  <w:vAlign w:val="center"/>
                </w:tcPr>
                <w:p w14:paraId="5C80ADAD">
                  <w:pPr>
                    <w:pStyle w:val="35"/>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监测指标</w:t>
                  </w:r>
                </w:p>
              </w:tc>
              <w:tc>
                <w:tcPr>
                  <w:tcW w:w="1497" w:type="pct"/>
                  <w:tcBorders>
                    <w:bottom w:val="single" w:color="auto" w:sz="12" w:space="0"/>
                  </w:tcBorders>
                  <w:vAlign w:val="center"/>
                </w:tcPr>
                <w:p w14:paraId="6DD1C46F">
                  <w:pPr>
                    <w:pStyle w:val="35"/>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监测频次</w:t>
                  </w:r>
                </w:p>
              </w:tc>
              <w:tc>
                <w:tcPr>
                  <w:tcW w:w="842" w:type="pct"/>
                  <w:tcBorders>
                    <w:bottom w:val="single" w:color="auto" w:sz="12" w:space="0"/>
                  </w:tcBorders>
                  <w:vAlign w:val="center"/>
                </w:tcPr>
                <w:p w14:paraId="516A59A8">
                  <w:pPr>
                    <w:pStyle w:val="35"/>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备注</w:t>
                  </w:r>
                </w:p>
              </w:tc>
            </w:tr>
            <w:tr w14:paraId="751B6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tcBorders>
                    <w:tl2br w:val="nil"/>
                    <w:tr2bl w:val="nil"/>
                  </w:tcBorders>
                  <w:vAlign w:val="center"/>
                </w:tcPr>
                <w:p w14:paraId="5F4F91A4">
                  <w:pPr>
                    <w:pStyle w:val="35"/>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综合废水预处理排放口</w:t>
                  </w:r>
                </w:p>
              </w:tc>
              <w:tc>
                <w:tcPr>
                  <w:tcW w:w="1482" w:type="pct"/>
                  <w:tcBorders>
                    <w:tl2br w:val="nil"/>
                    <w:tr2bl w:val="nil"/>
                  </w:tcBorders>
                  <w:vAlign w:val="center"/>
                </w:tcPr>
                <w:p w14:paraId="5E84AED9">
                  <w:pPr>
                    <w:pStyle w:val="35"/>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pH值、悬浮物、化学需氧量、五日生化需氧量、氨氮、粪大肠菌群</w:t>
                  </w:r>
                </w:p>
              </w:tc>
              <w:tc>
                <w:tcPr>
                  <w:tcW w:w="1497" w:type="pct"/>
                  <w:tcBorders>
                    <w:tl2br w:val="nil"/>
                    <w:tr2bl w:val="nil"/>
                  </w:tcBorders>
                  <w:vAlign w:val="center"/>
                </w:tcPr>
                <w:p w14:paraId="087ABCDE">
                  <w:pPr>
                    <w:pStyle w:val="35"/>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1次/</w:t>
                  </w:r>
                  <w:r>
                    <w:rPr>
                      <w:rFonts w:hint="eastAsia" w:cs="Times New Roman"/>
                      <w:b w:val="0"/>
                      <w:bCs w:val="0"/>
                      <w:color w:val="000000" w:themeColor="text1"/>
                      <w:sz w:val="21"/>
                      <w:szCs w:val="21"/>
                      <w:lang w:val="en-US" w:eastAsia="zh-CN"/>
                      <w14:textFill>
                        <w14:solidFill>
                          <w14:schemeClr w14:val="tx1"/>
                        </w14:solidFill>
                      </w14:textFill>
                    </w:rPr>
                    <w:t>年</w:t>
                  </w:r>
                </w:p>
              </w:tc>
              <w:tc>
                <w:tcPr>
                  <w:tcW w:w="842" w:type="pct"/>
                  <w:tcBorders>
                    <w:tl2br w:val="nil"/>
                    <w:tr2bl w:val="nil"/>
                  </w:tcBorders>
                  <w:vAlign w:val="center"/>
                </w:tcPr>
                <w:p w14:paraId="0B68119E">
                  <w:pPr>
                    <w:pStyle w:val="35"/>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bl>
          <w:p w14:paraId="4A8746BF">
            <w:pPr>
              <w:pStyle w:val="6"/>
              <w:numPr>
                <w:ilvl w:val="1"/>
                <w:numId w:val="0"/>
              </w:numPr>
              <w:jc w:val="both"/>
              <w:outlineLvl w:val="2"/>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2.4 依托可行性分析</w:t>
            </w:r>
          </w:p>
          <w:p w14:paraId="1D8D2D71">
            <w:pPr>
              <w:pStyle w:val="3"/>
              <w:ind w:firstLine="480"/>
              <w:jc w:val="both"/>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奇台县科发再生水有限公司污水处理厂</w:t>
            </w:r>
            <w:r>
              <w:rPr>
                <w:rFonts w:hint="eastAsia" w:ascii="Times New Roman" w:hAnsi="Times New Roman" w:cs="Times New Roman"/>
                <w:color w:val="000000" w:themeColor="text1"/>
                <w:lang w:val="en-US" w:eastAsia="zh-CN"/>
                <w14:textFill>
                  <w14:solidFill>
                    <w14:schemeClr w14:val="tx1"/>
                  </w14:solidFill>
                </w14:textFill>
              </w:rPr>
              <w:t>于</w:t>
            </w:r>
            <w:r>
              <w:rPr>
                <w:rFonts w:hint="default" w:ascii="Times New Roman" w:hAnsi="Times New Roman" w:cs="Times New Roman"/>
                <w:color w:val="000000" w:themeColor="text1"/>
                <w14:textFill>
                  <w14:solidFill>
                    <w14:schemeClr w14:val="tx1"/>
                  </w14:solidFill>
                </w14:textFill>
              </w:rPr>
              <w:t>2010年10月开工建设</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2016年8月开始提标改造，2016年12月，</w:t>
            </w:r>
            <w:r>
              <w:rPr>
                <w:rFonts w:hint="eastAsia" w:ascii="Times New Roman" w:hAnsi="Times New Roman" w:cs="Times New Roman"/>
                <w:color w:val="000000" w:themeColor="text1"/>
                <w:lang w:val="en-US" w:eastAsia="zh-CN"/>
                <w14:textFill>
                  <w14:solidFill>
                    <w14:schemeClr w14:val="tx1"/>
                  </w14:solidFill>
                </w14:textFill>
              </w:rPr>
              <w:t>全面竣工投入使用，污水处理工艺为</w:t>
            </w:r>
            <w:r>
              <w:rPr>
                <w:rFonts w:hint="default" w:ascii="Times New Roman" w:hAnsi="Times New Roman" w:cs="Times New Roman"/>
                <w:color w:val="000000" w:themeColor="text1"/>
                <w14:textFill>
                  <w14:solidFill>
                    <w14:schemeClr w14:val="tx1"/>
                  </w14:solidFill>
                </w14:textFill>
              </w:rPr>
              <w:t>格栅+氧化沟+MBR膜池工艺</w:t>
            </w:r>
            <w:r>
              <w:rPr>
                <w:rFonts w:hint="eastAsia" w:ascii="Times New Roman" w:hAnsi="Times New Roman" w:cs="Times New Roman"/>
                <w:color w:val="000000" w:themeColor="text1"/>
                <w:lang w:val="en-US" w:eastAsia="zh-CN"/>
                <w14:textFill>
                  <w14:solidFill>
                    <w14:schemeClr w14:val="tx1"/>
                  </w14:solidFill>
                </w14:textFill>
              </w:rPr>
              <w:t>方式，污泥处理工艺采用</w:t>
            </w:r>
            <w:r>
              <w:rPr>
                <w:rFonts w:hint="default" w:ascii="Times New Roman" w:hAnsi="Times New Roman" w:cs="Times New Roman"/>
                <w:color w:val="000000" w:themeColor="text1"/>
                <w14:textFill>
                  <w14:solidFill>
                    <w14:schemeClr w14:val="tx1"/>
                  </w14:solidFill>
                </w14:textFill>
              </w:rPr>
              <w:t>叠螺式脱水+低温干化，</w:t>
            </w:r>
            <w:r>
              <w:rPr>
                <w:rFonts w:hint="eastAsia" w:ascii="Times New Roman" w:hAnsi="Times New Roman" w:cs="Times New Roman"/>
                <w:color w:val="000000" w:themeColor="text1"/>
                <w:lang w:val="en-US" w:eastAsia="zh-CN"/>
                <w14:textFill>
                  <w14:solidFill>
                    <w14:schemeClr w14:val="tx1"/>
                  </w14:solidFill>
                </w14:textFill>
              </w:rPr>
              <w:t>，处置规模为2.5万立方米/天，排放标准执行《城镇污水处理厂污染物排放标准》（GB 18918-2002）中一级A标准。</w:t>
            </w:r>
          </w:p>
          <w:p w14:paraId="2A75B4B2">
            <w:pPr>
              <w:pStyle w:val="3"/>
              <w:ind w:firstLine="480"/>
              <w:jc w:val="both"/>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本项目污水排放量为</w:t>
            </w:r>
            <w:r>
              <w:rPr>
                <w:rFonts w:hint="eastAsia" w:ascii="Times New Roman" w:hAnsi="Times New Roman" w:cs="Times New Roman"/>
                <w:color w:val="auto"/>
                <w:lang w:val="en-US" w:eastAsia="zh-CN"/>
              </w:rPr>
              <w:t>0.</w:t>
            </w:r>
            <w:r>
              <w:rPr>
                <w:rFonts w:hint="eastAsia" w:cs="Times New Roman"/>
                <w:color w:val="auto"/>
                <w:lang w:val="en-US" w:eastAsia="zh-CN"/>
              </w:rPr>
              <w:t>32</w:t>
            </w:r>
            <w:r>
              <w:rPr>
                <w:rFonts w:hint="eastAsia" w:ascii="Times New Roman" w:hAnsi="Times New Roman" w:cs="Times New Roman"/>
                <w:color w:val="auto"/>
                <w:lang w:val="en-US" w:eastAsia="zh-CN"/>
              </w:rPr>
              <w:t>立方</w:t>
            </w:r>
            <w:r>
              <w:rPr>
                <w:rFonts w:hint="eastAsia" w:ascii="Times New Roman" w:hAnsi="Times New Roman" w:cs="Times New Roman"/>
                <w:color w:val="000000" w:themeColor="text1"/>
                <w:lang w:val="en-US" w:eastAsia="zh-CN"/>
                <w14:textFill>
                  <w14:solidFill>
                    <w14:schemeClr w14:val="tx1"/>
                  </w14:solidFill>
                </w14:textFill>
              </w:rPr>
              <w:t>米/天，污水产生量较小，通过联合调度、合理分配，</w:t>
            </w:r>
            <w:r>
              <w:rPr>
                <w:rFonts w:hint="eastAsia" w:cs="Times New Roman"/>
                <w:color w:val="000000" w:themeColor="text1"/>
                <w:lang w:eastAsia="zh-CN"/>
                <w14:textFill>
                  <w14:solidFill>
                    <w14:schemeClr w14:val="tx1"/>
                  </w14:solidFill>
                </w14:textFill>
              </w:rPr>
              <w:t>奇台县科发再生水有限公司污水处理厂</w:t>
            </w:r>
            <w:r>
              <w:rPr>
                <w:rFonts w:hint="eastAsia" w:ascii="Times New Roman" w:hAnsi="Times New Roman" w:cs="Times New Roman"/>
                <w:color w:val="000000" w:themeColor="text1"/>
                <w:lang w:val="en-US" w:eastAsia="zh-CN"/>
                <w14:textFill>
                  <w14:solidFill>
                    <w14:schemeClr w14:val="tx1"/>
                  </w14:solidFill>
                </w14:textFill>
              </w:rPr>
              <w:t>有能力接纳项目污水。</w:t>
            </w:r>
          </w:p>
          <w:p w14:paraId="396A7AD9">
            <w:pPr>
              <w:pStyle w:val="3"/>
              <w:ind w:firstLine="480"/>
              <w:jc w:val="both"/>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综上所述，项目生产废水进入</w:t>
            </w:r>
            <w:r>
              <w:rPr>
                <w:rFonts w:hint="eastAsia" w:cs="Times New Roman"/>
                <w:color w:val="000000" w:themeColor="text1"/>
                <w:lang w:eastAsia="zh-CN"/>
                <w14:textFill>
                  <w14:solidFill>
                    <w14:schemeClr w14:val="tx1"/>
                  </w14:solidFill>
                </w14:textFill>
              </w:rPr>
              <w:t>奇台县科发再生水有限公司污水处理厂</w:t>
            </w:r>
            <w:r>
              <w:rPr>
                <w:rFonts w:hint="default" w:ascii="Times New Roman" w:hAnsi="Times New Roman" w:cs="Times New Roman"/>
                <w:color w:val="000000" w:themeColor="text1"/>
                <w:lang w:val="en-US" w:eastAsia="zh-CN"/>
                <w14:textFill>
                  <w14:solidFill>
                    <w14:schemeClr w14:val="tx1"/>
                  </w14:solidFill>
                </w14:textFill>
              </w:rPr>
              <w:t>处理是可行的，项目排放的废水不会对区域水环境产生影响</w:t>
            </w:r>
            <w:r>
              <w:rPr>
                <w:rFonts w:hint="eastAsia" w:ascii="Times New Roman" w:hAnsi="Times New Roman" w:cs="Times New Roman"/>
                <w:color w:val="000000" w:themeColor="text1"/>
                <w:lang w:val="en-US" w:eastAsia="zh-CN"/>
                <w14:textFill>
                  <w14:solidFill>
                    <w14:schemeClr w14:val="tx1"/>
                  </w14:solidFill>
                </w14:textFill>
              </w:rPr>
              <w:t>。</w:t>
            </w:r>
          </w:p>
          <w:p w14:paraId="371ACB78">
            <w:pPr>
              <w:pStyle w:val="6"/>
              <w:jc w:val="both"/>
              <w:outlineLvl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噪声影响分析及减缓措施</w:t>
            </w:r>
          </w:p>
          <w:p w14:paraId="391E93A7">
            <w:pPr>
              <w:pStyle w:val="6"/>
              <w:jc w:val="both"/>
              <w:outlineLvl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3.1 </w:t>
            </w:r>
            <w:r>
              <w:rPr>
                <w:rFonts w:hint="default" w:ascii="Times New Roman" w:hAnsi="Times New Roman" w:cs="Times New Roman"/>
                <w:bCs/>
                <w:color w:val="000000" w:themeColor="text1"/>
                <w14:textFill>
                  <w14:solidFill>
                    <w14:schemeClr w14:val="tx1"/>
                  </w14:solidFill>
                </w14:textFill>
              </w:rPr>
              <w:t>噪声源</w:t>
            </w:r>
          </w:p>
          <w:p w14:paraId="42A5D7AA">
            <w:pPr>
              <w:pStyle w:val="3"/>
              <w:ind w:firstLine="48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本项目运营过程中噪声源主要来自宠物的叫声、医疗设备的噪声等，具有不定时性和突发性。动物的叫声最高强度一般为60~75dB</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医疗设备噪声源强一般为60~70dB</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A</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医疗</w:t>
            </w:r>
            <w:r>
              <w:rPr>
                <w:rFonts w:hint="default" w:ascii="Times New Roman" w:hAnsi="Times New Roman" w:cs="Times New Roman"/>
                <w:color w:val="000000" w:themeColor="text1"/>
                <w14:textFill>
                  <w14:solidFill>
                    <w14:schemeClr w14:val="tx1"/>
                  </w14:solidFill>
                </w14:textFill>
              </w:rPr>
              <w:t>设备</w:t>
            </w:r>
            <w:r>
              <w:rPr>
                <w:rFonts w:hint="default" w:ascii="Times New Roman" w:hAnsi="Times New Roman" w:cs="Times New Roman"/>
                <w:color w:val="000000" w:themeColor="text1"/>
                <w:lang w:val="en-US" w:eastAsia="zh-CN"/>
                <w14:textFill>
                  <w14:solidFill>
                    <w14:schemeClr w14:val="tx1"/>
                  </w14:solidFill>
                </w14:textFill>
              </w:rPr>
              <w:t>采取基础减振、墙体隔声等降噪措施</w:t>
            </w:r>
            <w:r>
              <w:rPr>
                <w:rFonts w:hint="default" w:ascii="Times New Roman" w:hAnsi="Times New Roman" w:cs="Times New Roman"/>
                <w:color w:val="000000" w:themeColor="text1"/>
                <w14:textFill>
                  <w14:solidFill>
                    <w14:schemeClr w14:val="tx1"/>
                  </w14:solidFill>
                </w14:textFill>
              </w:rPr>
              <w:t>。</w:t>
            </w:r>
          </w:p>
          <w:p w14:paraId="61EBD357">
            <w:pPr>
              <w:pStyle w:val="3"/>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项目各设备噪声及治理措施见表</w:t>
            </w:r>
            <w:r>
              <w:rPr>
                <w:rFonts w:hint="default" w:ascii="Times New Roman" w:hAnsi="Times New Roman" w:cs="Times New Roman"/>
                <w:color w:val="000000" w:themeColor="text1"/>
                <w:lang w:val="en-US" w:eastAsia="zh-CN"/>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t>。</w:t>
            </w:r>
          </w:p>
          <w:p w14:paraId="3BF2ADE7">
            <w:pPr>
              <w:pStyle w:val="34"/>
              <w:bidi w:val="0"/>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0000FF"/>
                <w:sz w:val="21"/>
                <w:szCs w:val="21"/>
              </w:rPr>
              <w:t>表</w:t>
            </w:r>
            <w:r>
              <w:rPr>
                <w:rFonts w:hint="default" w:ascii="Times New Roman" w:hAnsi="Times New Roman" w:cs="Times New Roman"/>
                <w:color w:val="0000FF"/>
                <w:sz w:val="21"/>
                <w:szCs w:val="21"/>
                <w:lang w:val="en-US" w:eastAsia="zh-CN"/>
              </w:rPr>
              <w:t>4-</w:t>
            </w:r>
            <w:r>
              <w:rPr>
                <w:rFonts w:hint="eastAsia" w:cs="Times New Roman"/>
                <w:color w:val="0000FF"/>
                <w:sz w:val="21"/>
                <w:szCs w:val="21"/>
                <w:lang w:val="en-US" w:eastAsia="zh-CN"/>
              </w:rPr>
              <w:t>4</w:t>
            </w:r>
            <w:r>
              <w:rPr>
                <w:rFonts w:hint="default" w:ascii="Times New Roman" w:hAnsi="Times New Roman" w:cs="Times New Roman"/>
                <w:color w:val="0000FF"/>
                <w:sz w:val="21"/>
                <w:szCs w:val="21"/>
                <w:lang w:val="en-US" w:eastAsia="zh-CN"/>
              </w:rPr>
              <w:t xml:space="preserve"> </w:t>
            </w:r>
            <w:r>
              <w:rPr>
                <w:rFonts w:hint="default" w:ascii="Times New Roman" w:hAnsi="Times New Roman" w:cs="Times New Roman"/>
                <w:color w:val="0000FF"/>
                <w:sz w:val="21"/>
                <w:szCs w:val="21"/>
              </w:rPr>
              <w:t xml:space="preserve">  本项目噪声源强一览表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64"/>
              <w:gridCol w:w="573"/>
              <w:gridCol w:w="890"/>
              <w:gridCol w:w="546"/>
              <w:gridCol w:w="500"/>
              <w:gridCol w:w="2336"/>
              <w:gridCol w:w="775"/>
              <w:gridCol w:w="889"/>
            </w:tblGrid>
            <w:tr w14:paraId="473F5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bottom w:val="single" w:color="000000" w:sz="12" w:space="0"/>
                    <w:tl2br w:val="nil"/>
                    <w:tr2bl w:val="nil"/>
                  </w:tcBorders>
                  <w:noWrap w:val="0"/>
                  <w:vAlign w:val="center"/>
                </w:tcPr>
                <w:p w14:paraId="7FDE373D">
                  <w:pPr>
                    <w:pStyle w:val="35"/>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建筑物名称</w:t>
                  </w:r>
                </w:p>
              </w:tc>
              <w:tc>
                <w:tcPr>
                  <w:tcW w:w="422" w:type="pct"/>
                  <w:tcBorders>
                    <w:bottom w:val="single" w:color="000000" w:sz="12" w:space="0"/>
                    <w:tl2br w:val="nil"/>
                    <w:tr2bl w:val="nil"/>
                  </w:tcBorders>
                  <w:noWrap w:val="0"/>
                  <w:vAlign w:val="center"/>
                </w:tcPr>
                <w:p w14:paraId="3F38401B">
                  <w:pPr>
                    <w:pStyle w:val="35"/>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声源</w:t>
                  </w:r>
                  <w:r>
                    <w:rPr>
                      <w:rFonts w:hint="default" w:ascii="Times New Roman" w:hAnsi="Times New Roman" w:cs="Times New Roman"/>
                      <w:b/>
                      <w:bCs/>
                      <w:color w:val="0000FF"/>
                    </w:rPr>
                    <w:t>名称</w:t>
                  </w:r>
                </w:p>
              </w:tc>
              <w:tc>
                <w:tcPr>
                  <w:tcW w:w="364" w:type="pct"/>
                  <w:tcBorders>
                    <w:bottom w:val="single" w:color="000000" w:sz="12" w:space="0"/>
                    <w:tl2br w:val="nil"/>
                    <w:tr2bl w:val="nil"/>
                  </w:tcBorders>
                  <w:noWrap w:val="0"/>
                  <w:vAlign w:val="center"/>
                </w:tcPr>
                <w:p w14:paraId="26050545">
                  <w:pPr>
                    <w:pStyle w:val="35"/>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声源</w:t>
                  </w:r>
                  <w:r>
                    <w:rPr>
                      <w:rFonts w:hint="eastAsia" w:cs="Times New Roman"/>
                      <w:b/>
                      <w:bCs/>
                      <w:color w:val="0000FF"/>
                      <w:lang w:val="en-US" w:eastAsia="zh-CN"/>
                    </w:rPr>
                    <w:t>类型</w:t>
                  </w:r>
                </w:p>
              </w:tc>
              <w:tc>
                <w:tcPr>
                  <w:tcW w:w="565" w:type="pct"/>
                  <w:tcBorders>
                    <w:bottom w:val="single" w:color="000000" w:sz="12" w:space="0"/>
                    <w:tl2br w:val="nil"/>
                    <w:tr2bl w:val="nil"/>
                  </w:tcBorders>
                  <w:noWrap w:val="0"/>
                  <w:vAlign w:val="center"/>
                </w:tcPr>
                <w:p w14:paraId="6A5AEFF3">
                  <w:pPr>
                    <w:pStyle w:val="35"/>
                    <w:bidi w:val="0"/>
                    <w:rPr>
                      <w:rFonts w:hint="default" w:ascii="Times New Roman" w:hAnsi="Times New Roman" w:cs="Times New Roman"/>
                      <w:b/>
                      <w:bCs/>
                      <w:color w:val="0000FF"/>
                    </w:rPr>
                  </w:pPr>
                  <w:r>
                    <w:rPr>
                      <w:rFonts w:hint="default" w:ascii="Times New Roman" w:hAnsi="Times New Roman" w:cs="Times New Roman"/>
                      <w:b/>
                      <w:bCs/>
                      <w:color w:val="0000FF"/>
                    </w:rPr>
                    <w:t>源强dB（A）</w:t>
                  </w:r>
                </w:p>
              </w:tc>
              <w:tc>
                <w:tcPr>
                  <w:tcW w:w="347" w:type="pct"/>
                  <w:tcBorders>
                    <w:bottom w:val="single" w:color="000000" w:sz="12" w:space="0"/>
                    <w:tl2br w:val="nil"/>
                    <w:tr2bl w:val="nil"/>
                  </w:tcBorders>
                  <w:noWrap w:val="0"/>
                  <w:vAlign w:val="center"/>
                </w:tcPr>
                <w:p w14:paraId="323DDF9C">
                  <w:pPr>
                    <w:pStyle w:val="35"/>
                    <w:bidi w:val="0"/>
                    <w:rPr>
                      <w:rFonts w:hint="default" w:ascii="Times New Roman" w:hAnsi="Times New Roman" w:cs="Times New Roman"/>
                      <w:b/>
                      <w:bCs/>
                      <w:color w:val="0000FF"/>
                    </w:rPr>
                  </w:pPr>
                  <w:r>
                    <w:rPr>
                      <w:rFonts w:hint="default" w:ascii="Times New Roman" w:hAnsi="Times New Roman" w:cs="Times New Roman"/>
                      <w:b/>
                      <w:bCs/>
                      <w:color w:val="0000FF"/>
                    </w:rPr>
                    <w:t>数量</w:t>
                  </w:r>
                </w:p>
              </w:tc>
              <w:tc>
                <w:tcPr>
                  <w:tcW w:w="317" w:type="pct"/>
                  <w:tcBorders>
                    <w:bottom w:val="single" w:color="000000" w:sz="12" w:space="0"/>
                    <w:tl2br w:val="nil"/>
                    <w:tr2bl w:val="nil"/>
                  </w:tcBorders>
                  <w:noWrap w:val="0"/>
                  <w:vAlign w:val="center"/>
                </w:tcPr>
                <w:p w14:paraId="7BC1D933">
                  <w:pPr>
                    <w:pStyle w:val="35"/>
                    <w:bidi w:val="0"/>
                    <w:rPr>
                      <w:rFonts w:hint="eastAsia" w:ascii="Times New Roman" w:hAnsi="Times New Roman" w:eastAsia="宋体" w:cs="Times New Roman"/>
                      <w:b/>
                      <w:bCs/>
                      <w:color w:val="0000FF"/>
                      <w:lang w:val="en-US" w:eastAsia="zh-CN"/>
                    </w:rPr>
                  </w:pPr>
                  <w:r>
                    <w:rPr>
                      <w:rFonts w:hint="eastAsia" w:cs="Times New Roman"/>
                      <w:b/>
                      <w:bCs/>
                      <w:color w:val="0000FF"/>
                      <w:lang w:val="en-US" w:eastAsia="zh-CN"/>
                    </w:rPr>
                    <w:t>持续时间</w:t>
                  </w:r>
                </w:p>
              </w:tc>
              <w:tc>
                <w:tcPr>
                  <w:tcW w:w="1485" w:type="pct"/>
                  <w:tcBorders>
                    <w:bottom w:val="single" w:color="000000" w:sz="12" w:space="0"/>
                    <w:tl2br w:val="nil"/>
                    <w:tr2bl w:val="nil"/>
                  </w:tcBorders>
                  <w:noWrap w:val="0"/>
                  <w:vAlign w:val="center"/>
                </w:tcPr>
                <w:p w14:paraId="31D5F263">
                  <w:pPr>
                    <w:pStyle w:val="35"/>
                    <w:bidi w:val="0"/>
                    <w:rPr>
                      <w:rFonts w:hint="default" w:ascii="Times New Roman" w:hAnsi="Times New Roman" w:cs="Times New Roman"/>
                      <w:b/>
                      <w:bCs/>
                      <w:color w:val="0000FF"/>
                    </w:rPr>
                  </w:pPr>
                  <w:r>
                    <w:rPr>
                      <w:rFonts w:hint="default" w:ascii="Times New Roman" w:hAnsi="Times New Roman" w:cs="Times New Roman"/>
                      <w:b/>
                      <w:bCs/>
                      <w:color w:val="0000FF"/>
                      <w:lang w:val="en-US" w:eastAsia="zh-CN"/>
                    </w:rPr>
                    <w:t>声源控制</w:t>
                  </w:r>
                  <w:r>
                    <w:rPr>
                      <w:rFonts w:hint="default" w:ascii="Times New Roman" w:hAnsi="Times New Roman" w:cs="Times New Roman"/>
                      <w:b/>
                      <w:bCs/>
                      <w:color w:val="0000FF"/>
                    </w:rPr>
                    <w:t>措施</w:t>
                  </w:r>
                </w:p>
              </w:tc>
              <w:tc>
                <w:tcPr>
                  <w:tcW w:w="492" w:type="pct"/>
                  <w:tcBorders>
                    <w:bottom w:val="single" w:color="000000" w:sz="12" w:space="0"/>
                    <w:tl2br w:val="nil"/>
                    <w:tr2bl w:val="nil"/>
                  </w:tcBorders>
                  <w:noWrap w:val="0"/>
                  <w:vAlign w:val="center"/>
                </w:tcPr>
                <w:p w14:paraId="2D9A27D5">
                  <w:pPr>
                    <w:pStyle w:val="35"/>
                    <w:bidi w:val="0"/>
                    <w:rPr>
                      <w:rFonts w:hint="default" w:ascii="Times New Roman" w:hAnsi="Times New Roman" w:cs="Times New Roman"/>
                      <w:b/>
                      <w:bCs/>
                      <w:color w:val="0000FF"/>
                      <w:lang w:val="en-US" w:eastAsia="zh-CN"/>
                    </w:rPr>
                  </w:pPr>
                  <w:r>
                    <w:rPr>
                      <w:rFonts w:hint="eastAsia" w:cs="Times New Roman"/>
                      <w:b/>
                      <w:bCs/>
                      <w:color w:val="0000FF"/>
                      <w:lang w:val="en-US" w:eastAsia="zh-CN"/>
                    </w:rPr>
                    <w:t>降噪效果dB(A)</w:t>
                  </w:r>
                </w:p>
              </w:tc>
              <w:tc>
                <w:tcPr>
                  <w:tcW w:w="565" w:type="pct"/>
                  <w:tcBorders>
                    <w:bottom w:val="single" w:color="000000" w:sz="12" w:space="0"/>
                    <w:tl2br w:val="nil"/>
                    <w:tr2bl w:val="nil"/>
                  </w:tcBorders>
                  <w:noWrap w:val="0"/>
                  <w:vAlign w:val="center"/>
                </w:tcPr>
                <w:p w14:paraId="4E9E12B8">
                  <w:pPr>
                    <w:pStyle w:val="35"/>
                    <w:bidi w:val="0"/>
                    <w:rPr>
                      <w:rFonts w:hint="default" w:ascii="Times New Roman" w:hAnsi="Times New Roman" w:eastAsia="宋体" w:cs="Times New Roman"/>
                      <w:b/>
                      <w:bCs/>
                      <w:color w:val="0000FF"/>
                      <w:lang w:val="en-US" w:eastAsia="zh-CN"/>
                    </w:rPr>
                  </w:pPr>
                  <w:r>
                    <w:rPr>
                      <w:rFonts w:hint="default" w:ascii="Times New Roman" w:hAnsi="Times New Roman" w:eastAsia="宋体" w:cs="Times New Roman"/>
                      <w:b/>
                      <w:bCs/>
                      <w:color w:val="0000FF"/>
                      <w:lang w:val="en-US" w:eastAsia="zh-CN"/>
                    </w:rPr>
                    <w:t>治理后噪声级</w:t>
                  </w:r>
                  <w:r>
                    <w:rPr>
                      <w:rFonts w:hint="eastAsia" w:cs="Times New Roman"/>
                      <w:b/>
                      <w:bCs/>
                      <w:color w:val="0000FF"/>
                      <w:lang w:val="en-US" w:eastAsia="zh-CN"/>
                    </w:rPr>
                    <w:t>dB（A）</w:t>
                  </w:r>
                </w:p>
              </w:tc>
            </w:tr>
            <w:tr w14:paraId="52DE9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38" w:type="pct"/>
                  <w:vMerge w:val="restart"/>
                  <w:tcBorders>
                    <w:top w:val="single" w:color="000000" w:sz="12" w:space="0"/>
                    <w:tl2br w:val="nil"/>
                    <w:tr2bl w:val="nil"/>
                  </w:tcBorders>
                  <w:noWrap w:val="0"/>
                  <w:vAlign w:val="center"/>
                </w:tcPr>
                <w:p w14:paraId="09E6B229">
                  <w:pPr>
                    <w:pStyle w:val="35"/>
                    <w:bidi w:val="0"/>
                    <w:rPr>
                      <w:rFonts w:hint="default" w:ascii="Times New Roman" w:hAnsi="Times New Roman" w:cs="Times New Roman"/>
                      <w:color w:val="0000FF"/>
                      <w:lang w:val="en-US" w:eastAsia="zh-CN"/>
                    </w:rPr>
                  </w:pPr>
                  <w:r>
                    <w:rPr>
                      <w:rFonts w:hint="eastAsia" w:cs="Times New Roman"/>
                      <w:color w:val="0000FF"/>
                      <w:lang w:val="en-US" w:eastAsia="zh-CN"/>
                    </w:rPr>
                    <w:t>动物医院</w:t>
                  </w:r>
                </w:p>
              </w:tc>
              <w:tc>
                <w:tcPr>
                  <w:tcW w:w="422" w:type="pct"/>
                  <w:tcBorders>
                    <w:top w:val="single" w:color="000000" w:sz="12" w:space="0"/>
                    <w:tl2br w:val="nil"/>
                    <w:tr2bl w:val="nil"/>
                  </w:tcBorders>
                  <w:noWrap w:val="0"/>
                  <w:vAlign w:val="center"/>
                </w:tcPr>
                <w:p w14:paraId="0DC59CB0">
                  <w:pPr>
                    <w:pStyle w:val="35"/>
                    <w:bidi w:val="0"/>
                    <w:rPr>
                      <w:rFonts w:hint="eastAsia" w:cs="Times New Roman"/>
                      <w:color w:val="0000FF"/>
                      <w:lang w:val="en-US" w:eastAsia="zh-CN"/>
                    </w:rPr>
                  </w:pPr>
                  <w:r>
                    <w:rPr>
                      <w:rFonts w:hint="eastAsia" w:cs="Times New Roman"/>
                      <w:color w:val="0000FF"/>
                      <w:lang w:val="en-US" w:eastAsia="zh-CN"/>
                    </w:rPr>
                    <w:t>动物叫声</w:t>
                  </w:r>
                </w:p>
              </w:tc>
              <w:tc>
                <w:tcPr>
                  <w:tcW w:w="364" w:type="pct"/>
                  <w:tcBorders>
                    <w:top w:val="single" w:color="000000" w:sz="12" w:space="0"/>
                    <w:tl2br w:val="nil"/>
                    <w:tr2bl w:val="nil"/>
                  </w:tcBorders>
                  <w:noWrap w:val="0"/>
                  <w:vAlign w:val="center"/>
                </w:tcPr>
                <w:p w14:paraId="47037799">
                  <w:pPr>
                    <w:pStyle w:val="35"/>
                    <w:bidi w:val="0"/>
                    <w:rPr>
                      <w:rFonts w:hint="default" w:ascii="Times New Roman" w:hAnsi="Times New Roman" w:eastAsia="宋体" w:cs="Times New Roman"/>
                      <w:color w:val="0000FF"/>
                      <w:lang w:val="en-US" w:eastAsia="zh-CN"/>
                    </w:rPr>
                  </w:pPr>
                  <w:r>
                    <w:rPr>
                      <w:rFonts w:hint="eastAsia" w:cs="Times New Roman"/>
                      <w:color w:val="0000FF"/>
                      <w:lang w:val="en-US" w:eastAsia="zh-CN"/>
                    </w:rPr>
                    <w:t>偶发</w:t>
                  </w:r>
                </w:p>
              </w:tc>
              <w:tc>
                <w:tcPr>
                  <w:tcW w:w="565" w:type="pct"/>
                  <w:tcBorders>
                    <w:top w:val="single" w:color="000000" w:sz="12" w:space="0"/>
                    <w:tl2br w:val="nil"/>
                    <w:tr2bl w:val="nil"/>
                  </w:tcBorders>
                  <w:noWrap w:val="0"/>
                  <w:vAlign w:val="center"/>
                </w:tcPr>
                <w:p w14:paraId="2C27A09B">
                  <w:pPr>
                    <w:pStyle w:val="35"/>
                    <w:bidi w:val="0"/>
                    <w:rPr>
                      <w:rFonts w:hint="default" w:ascii="Times New Roman" w:hAnsi="Times New Roman" w:eastAsia="宋体" w:cs="Times New Roman"/>
                      <w:color w:val="0000FF"/>
                      <w:lang w:val="en-US" w:eastAsia="zh-CN"/>
                    </w:rPr>
                  </w:pPr>
                  <w:r>
                    <w:rPr>
                      <w:rFonts w:hint="eastAsia" w:cs="Times New Roman"/>
                      <w:color w:val="0000FF"/>
                      <w:highlight w:val="none"/>
                      <w:lang w:val="en-US" w:eastAsia="zh-CN"/>
                    </w:rPr>
                    <w:t>65</w:t>
                  </w:r>
                </w:p>
              </w:tc>
              <w:tc>
                <w:tcPr>
                  <w:tcW w:w="347" w:type="pct"/>
                  <w:tcBorders>
                    <w:top w:val="single" w:color="000000" w:sz="12" w:space="0"/>
                    <w:tl2br w:val="nil"/>
                    <w:tr2bl w:val="nil"/>
                  </w:tcBorders>
                  <w:noWrap w:val="0"/>
                  <w:vAlign w:val="center"/>
                </w:tcPr>
                <w:p w14:paraId="09D61625">
                  <w:pPr>
                    <w:pStyle w:val="35"/>
                    <w:bidi w:val="0"/>
                    <w:rPr>
                      <w:rFonts w:hint="default" w:ascii="Times New Roman" w:hAnsi="Times New Roman" w:eastAsia="宋体" w:cs="Times New Roman"/>
                      <w:color w:val="0000FF"/>
                      <w:lang w:val="en-US" w:eastAsia="zh-CN"/>
                    </w:rPr>
                  </w:pPr>
                  <w:r>
                    <w:rPr>
                      <w:rFonts w:hint="eastAsia" w:cs="Times New Roman"/>
                      <w:color w:val="0000FF"/>
                      <w:lang w:val="en-US" w:eastAsia="zh-CN"/>
                    </w:rPr>
                    <w:t>/</w:t>
                  </w:r>
                </w:p>
              </w:tc>
              <w:tc>
                <w:tcPr>
                  <w:tcW w:w="317" w:type="pct"/>
                  <w:tcBorders>
                    <w:top w:val="single" w:color="000000" w:sz="12" w:space="0"/>
                    <w:tl2br w:val="nil"/>
                    <w:tr2bl w:val="nil"/>
                  </w:tcBorders>
                  <w:noWrap w:val="0"/>
                  <w:vAlign w:val="center"/>
                </w:tcPr>
                <w:p w14:paraId="0DDFD854">
                  <w:pPr>
                    <w:pStyle w:val="35"/>
                    <w:bidi w:val="0"/>
                    <w:rPr>
                      <w:rFonts w:hint="default" w:cs="Times New Roman"/>
                      <w:color w:val="0000FF"/>
                      <w:lang w:val="en-US" w:eastAsia="zh-CN"/>
                    </w:rPr>
                  </w:pPr>
                  <w:r>
                    <w:rPr>
                      <w:rFonts w:hint="eastAsia" w:cs="Times New Roman"/>
                      <w:color w:val="0000FF"/>
                      <w:lang w:val="en-US" w:eastAsia="zh-CN"/>
                    </w:rPr>
                    <w:t>/</w:t>
                  </w:r>
                </w:p>
              </w:tc>
              <w:tc>
                <w:tcPr>
                  <w:tcW w:w="1485" w:type="pct"/>
                  <w:tcBorders>
                    <w:top w:val="single" w:color="000000" w:sz="12" w:space="0"/>
                    <w:tl2br w:val="nil"/>
                    <w:tr2bl w:val="nil"/>
                  </w:tcBorders>
                  <w:noWrap w:val="0"/>
                  <w:vAlign w:val="center"/>
                </w:tcPr>
                <w:p w14:paraId="25B86B6C">
                  <w:pPr>
                    <w:pStyle w:val="35"/>
                    <w:bidi w:val="0"/>
                    <w:rPr>
                      <w:rFonts w:hint="default" w:ascii="Times New Roman" w:hAnsi="Times New Roman" w:eastAsia="宋体" w:cs="Times New Roman"/>
                      <w:color w:val="0000FF"/>
                      <w:lang w:val="en-US" w:eastAsia="zh-CN"/>
                    </w:rPr>
                  </w:pPr>
                  <w:r>
                    <w:rPr>
                      <w:rFonts w:hint="eastAsia" w:cs="Times New Roman"/>
                      <w:color w:val="0000FF"/>
                      <w:lang w:val="en-US" w:eastAsia="zh-CN"/>
                    </w:rPr>
                    <w:t>隔声、合理喂食、加强管理、宠物嘴套等</w:t>
                  </w:r>
                </w:p>
              </w:tc>
              <w:tc>
                <w:tcPr>
                  <w:tcW w:w="492" w:type="pct"/>
                  <w:tcBorders>
                    <w:top w:val="single" w:color="000000" w:sz="12" w:space="0"/>
                    <w:tl2br w:val="nil"/>
                    <w:tr2bl w:val="nil"/>
                  </w:tcBorders>
                  <w:noWrap w:val="0"/>
                  <w:vAlign w:val="center"/>
                </w:tcPr>
                <w:p w14:paraId="658B3BA5">
                  <w:pPr>
                    <w:pStyle w:val="35"/>
                    <w:bidi w:val="0"/>
                    <w:rPr>
                      <w:rFonts w:hint="default" w:ascii="Times New Roman" w:hAnsi="Times New Roman" w:eastAsia="宋体" w:cs="Times New Roman"/>
                      <w:color w:val="0000FF"/>
                      <w:lang w:val="en-US" w:eastAsia="zh-CN"/>
                    </w:rPr>
                  </w:pPr>
                  <w:r>
                    <w:rPr>
                      <w:rFonts w:hint="eastAsia" w:cs="Times New Roman"/>
                      <w:color w:val="0000FF"/>
                      <w:lang w:val="en-US" w:eastAsia="zh-CN"/>
                    </w:rPr>
                    <w:t>10</w:t>
                  </w:r>
                </w:p>
              </w:tc>
              <w:tc>
                <w:tcPr>
                  <w:tcW w:w="565" w:type="pct"/>
                  <w:tcBorders>
                    <w:top w:val="single" w:color="000000" w:sz="12" w:space="0"/>
                    <w:tl2br w:val="nil"/>
                    <w:tr2bl w:val="nil"/>
                  </w:tcBorders>
                  <w:noWrap w:val="0"/>
                  <w:vAlign w:val="center"/>
                </w:tcPr>
                <w:p w14:paraId="5D8B47C5">
                  <w:pPr>
                    <w:pStyle w:val="35"/>
                    <w:bidi w:val="0"/>
                    <w:rPr>
                      <w:rFonts w:hint="default" w:ascii="Times New Roman" w:hAnsi="Times New Roman" w:eastAsia="宋体" w:cs="Times New Roman"/>
                      <w:color w:val="0000FF"/>
                      <w:lang w:val="en-US" w:eastAsia="zh-CN"/>
                    </w:rPr>
                  </w:pPr>
                  <w:r>
                    <w:rPr>
                      <w:rFonts w:hint="eastAsia" w:cs="Times New Roman"/>
                      <w:color w:val="0000FF"/>
                      <w:lang w:val="en-US" w:eastAsia="zh-CN"/>
                    </w:rPr>
                    <w:t>55</w:t>
                  </w:r>
                </w:p>
              </w:tc>
            </w:tr>
            <w:tr w14:paraId="16770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38" w:type="pct"/>
                  <w:vMerge w:val="continue"/>
                  <w:tcBorders>
                    <w:tl2br w:val="nil"/>
                    <w:tr2bl w:val="nil"/>
                  </w:tcBorders>
                  <w:noWrap w:val="0"/>
                  <w:vAlign w:val="center"/>
                </w:tcPr>
                <w:p w14:paraId="132BB6E5">
                  <w:pPr>
                    <w:pStyle w:val="35"/>
                    <w:bidi w:val="0"/>
                    <w:rPr>
                      <w:rFonts w:hint="default" w:ascii="Times New Roman" w:hAnsi="Times New Roman" w:cs="Times New Roman"/>
                      <w:color w:val="0000FF"/>
                      <w:lang w:val="en-US" w:eastAsia="zh-CN"/>
                    </w:rPr>
                  </w:pPr>
                </w:p>
              </w:tc>
              <w:tc>
                <w:tcPr>
                  <w:tcW w:w="422" w:type="pct"/>
                  <w:tcBorders>
                    <w:tl2br w:val="nil"/>
                    <w:tr2bl w:val="nil"/>
                  </w:tcBorders>
                  <w:noWrap w:val="0"/>
                  <w:vAlign w:val="center"/>
                </w:tcPr>
                <w:p w14:paraId="71B1ABA2">
                  <w:pPr>
                    <w:pStyle w:val="35"/>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医疗设备</w:t>
                  </w:r>
                </w:p>
              </w:tc>
              <w:tc>
                <w:tcPr>
                  <w:tcW w:w="364" w:type="pct"/>
                  <w:tcBorders>
                    <w:tl2br w:val="nil"/>
                    <w:tr2bl w:val="nil"/>
                  </w:tcBorders>
                  <w:noWrap w:val="0"/>
                  <w:vAlign w:val="center"/>
                </w:tcPr>
                <w:p w14:paraId="2FE89B28">
                  <w:pPr>
                    <w:pStyle w:val="35"/>
                    <w:bidi w:val="0"/>
                    <w:rPr>
                      <w:rFonts w:hint="default" w:ascii="Times New Roman" w:hAnsi="Times New Roman" w:cs="Times New Roman"/>
                      <w:color w:val="0000FF"/>
                      <w:lang w:val="en-US" w:eastAsia="zh-CN"/>
                    </w:rPr>
                  </w:pPr>
                  <w:r>
                    <w:rPr>
                      <w:rFonts w:hint="eastAsia" w:cs="Times New Roman"/>
                      <w:color w:val="0000FF"/>
                      <w:lang w:val="en-US" w:eastAsia="zh-CN"/>
                    </w:rPr>
                    <w:t>频发</w:t>
                  </w:r>
                </w:p>
              </w:tc>
              <w:tc>
                <w:tcPr>
                  <w:tcW w:w="565" w:type="pct"/>
                  <w:tcBorders>
                    <w:tl2br w:val="nil"/>
                    <w:tr2bl w:val="nil"/>
                  </w:tcBorders>
                  <w:noWrap w:val="0"/>
                  <w:vAlign w:val="center"/>
                </w:tcPr>
                <w:p w14:paraId="78BC35F9">
                  <w:pPr>
                    <w:pStyle w:val="35"/>
                    <w:bidi w:val="0"/>
                    <w:rPr>
                      <w:rFonts w:hint="default" w:ascii="Times New Roman" w:hAnsi="Times New Roman" w:cs="Times New Roman"/>
                      <w:color w:val="0000FF"/>
                      <w:highlight w:val="none"/>
                      <w:lang w:val="en-US"/>
                    </w:rPr>
                  </w:pPr>
                  <w:r>
                    <w:rPr>
                      <w:rFonts w:hint="eastAsia" w:cs="Times New Roman"/>
                      <w:color w:val="0000FF"/>
                      <w:highlight w:val="none"/>
                      <w:lang w:val="en-US" w:eastAsia="zh-CN"/>
                    </w:rPr>
                    <w:t>65</w:t>
                  </w:r>
                </w:p>
              </w:tc>
              <w:tc>
                <w:tcPr>
                  <w:tcW w:w="347" w:type="pct"/>
                  <w:tcBorders>
                    <w:tl2br w:val="nil"/>
                    <w:tr2bl w:val="nil"/>
                  </w:tcBorders>
                  <w:noWrap w:val="0"/>
                  <w:vAlign w:val="center"/>
                </w:tcPr>
                <w:p w14:paraId="41140534">
                  <w:pPr>
                    <w:pStyle w:val="35"/>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1台</w:t>
                  </w:r>
                </w:p>
              </w:tc>
              <w:tc>
                <w:tcPr>
                  <w:tcW w:w="317" w:type="pct"/>
                  <w:tcBorders>
                    <w:tl2br w:val="nil"/>
                    <w:tr2bl w:val="nil"/>
                  </w:tcBorders>
                  <w:noWrap w:val="0"/>
                  <w:vAlign w:val="center"/>
                </w:tcPr>
                <w:p w14:paraId="499FA725">
                  <w:pPr>
                    <w:pStyle w:val="35"/>
                    <w:bidi w:val="0"/>
                    <w:rPr>
                      <w:rFonts w:hint="default" w:ascii="Times New Roman" w:hAnsi="Times New Roman" w:cs="Times New Roman"/>
                      <w:color w:val="0000FF"/>
                      <w:lang w:val="en-US" w:eastAsia="zh-CN"/>
                    </w:rPr>
                  </w:pPr>
                  <w:r>
                    <w:rPr>
                      <w:rFonts w:hint="eastAsia" w:cs="Times New Roman"/>
                      <w:color w:val="0000FF"/>
                      <w:lang w:val="en-US" w:eastAsia="zh-CN"/>
                    </w:rPr>
                    <w:t>2h</w:t>
                  </w:r>
                </w:p>
              </w:tc>
              <w:tc>
                <w:tcPr>
                  <w:tcW w:w="1485" w:type="pct"/>
                  <w:tcBorders>
                    <w:tl2br w:val="nil"/>
                    <w:tr2bl w:val="nil"/>
                  </w:tcBorders>
                  <w:noWrap w:val="0"/>
                  <w:vAlign w:val="center"/>
                </w:tcPr>
                <w:p w14:paraId="55778BD0">
                  <w:pPr>
                    <w:pStyle w:val="35"/>
                    <w:bidi w:val="0"/>
                    <w:rPr>
                      <w:rFonts w:hint="default" w:ascii="Times New Roman" w:hAnsi="Times New Roman" w:cs="Times New Roman"/>
                      <w:color w:val="0000FF"/>
                      <w:lang w:val="en-US"/>
                    </w:rPr>
                  </w:pPr>
                  <w:r>
                    <w:rPr>
                      <w:rFonts w:hint="default" w:ascii="Times New Roman" w:hAnsi="Times New Roman" w:eastAsia="宋体" w:cs="Times New Roman"/>
                      <w:color w:val="0000FF"/>
                      <w:lang w:val="en-US" w:eastAsia="zh-CN"/>
                    </w:rPr>
                    <w:t>基础减振、墙体隔声</w:t>
                  </w:r>
                  <w:r>
                    <w:rPr>
                      <w:rFonts w:hint="eastAsia" w:cs="Times New Roman"/>
                      <w:color w:val="0000FF"/>
                      <w:lang w:val="en-US" w:eastAsia="zh-CN"/>
                    </w:rPr>
                    <w:t>、选用低噪声合格设备等</w:t>
                  </w:r>
                </w:p>
              </w:tc>
              <w:tc>
                <w:tcPr>
                  <w:tcW w:w="492" w:type="pct"/>
                  <w:tcBorders>
                    <w:tl2br w:val="nil"/>
                    <w:tr2bl w:val="nil"/>
                  </w:tcBorders>
                  <w:noWrap w:val="0"/>
                  <w:vAlign w:val="center"/>
                </w:tcPr>
                <w:p w14:paraId="4828A70D">
                  <w:pPr>
                    <w:pStyle w:val="35"/>
                    <w:bidi w:val="0"/>
                    <w:rPr>
                      <w:rFonts w:hint="default" w:ascii="Times New Roman" w:hAnsi="Times New Roman" w:eastAsia="宋体" w:cs="Times New Roman"/>
                      <w:color w:val="0000FF"/>
                      <w:lang w:val="en-US" w:eastAsia="zh-CN"/>
                    </w:rPr>
                  </w:pPr>
                  <w:r>
                    <w:rPr>
                      <w:rFonts w:hint="eastAsia" w:cs="Times New Roman"/>
                      <w:color w:val="0000FF"/>
                      <w:lang w:val="en-US" w:eastAsia="zh-CN"/>
                    </w:rPr>
                    <w:t>10</w:t>
                  </w:r>
                </w:p>
              </w:tc>
              <w:tc>
                <w:tcPr>
                  <w:tcW w:w="565" w:type="pct"/>
                  <w:tcBorders>
                    <w:tl2br w:val="nil"/>
                    <w:tr2bl w:val="nil"/>
                  </w:tcBorders>
                  <w:noWrap w:val="0"/>
                  <w:vAlign w:val="center"/>
                </w:tcPr>
                <w:p w14:paraId="2C23D84A">
                  <w:pPr>
                    <w:pStyle w:val="35"/>
                    <w:bidi w:val="0"/>
                    <w:rPr>
                      <w:rFonts w:hint="default" w:ascii="Times New Roman" w:hAnsi="Times New Roman" w:eastAsia="宋体" w:cs="Times New Roman"/>
                      <w:color w:val="0000FF"/>
                      <w:lang w:val="en-US" w:eastAsia="zh-CN"/>
                    </w:rPr>
                  </w:pPr>
                  <w:r>
                    <w:rPr>
                      <w:rFonts w:hint="eastAsia" w:cs="Times New Roman"/>
                      <w:color w:val="0000FF"/>
                      <w:lang w:val="en-US" w:eastAsia="zh-CN"/>
                    </w:rPr>
                    <w:t>55</w:t>
                  </w:r>
                </w:p>
              </w:tc>
            </w:tr>
          </w:tbl>
          <w:p w14:paraId="1C85945E">
            <w:pPr>
              <w:pStyle w:val="6"/>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2 </w:t>
            </w:r>
            <w:r>
              <w:rPr>
                <w:rFonts w:hint="default" w:ascii="Times New Roman" w:hAnsi="Times New Roman" w:cs="Times New Roman"/>
                <w:color w:val="000000" w:themeColor="text1"/>
                <w14:textFill>
                  <w14:solidFill>
                    <w14:schemeClr w14:val="tx1"/>
                  </w14:solidFill>
                </w14:textFill>
              </w:rPr>
              <w:t>预测方法</w:t>
            </w:r>
          </w:p>
          <w:p w14:paraId="3F2D5785">
            <w:pPr>
              <w:pStyle w:val="3"/>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噪声源布置较为集中，其对厂界</w:t>
            </w:r>
            <w:r>
              <w:rPr>
                <w:rFonts w:hint="eastAsia" w:cs="Times New Roman"/>
                <w:color w:val="000000" w:themeColor="text1"/>
                <w:lang w:val="en-US" w:eastAsia="zh-CN"/>
                <w14:textFill>
                  <w14:solidFill>
                    <w14:schemeClr w14:val="tx1"/>
                  </w14:solidFill>
                </w14:textFill>
              </w:rPr>
              <w:t>及声环境敏感目标</w:t>
            </w:r>
            <w:r>
              <w:rPr>
                <w:rFonts w:hint="default" w:ascii="Times New Roman" w:hAnsi="Times New Roman" w:cs="Times New Roman"/>
                <w:color w:val="000000" w:themeColor="text1"/>
                <w14:textFill>
                  <w14:solidFill>
                    <w14:schemeClr w14:val="tx1"/>
                  </w14:solidFill>
                </w14:textFill>
              </w:rPr>
              <w:t>的声环境影响采取《环境影响评价技术导则 声环境》（HJ2.4-2021）中的噪声预测模式。</w:t>
            </w:r>
          </w:p>
          <w:p w14:paraId="62A8D4F4">
            <w:pPr>
              <w:pStyle w:val="3"/>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由于在声波传播的过程中，通过距离衰减到达厂界外，故实际衰减量要低于其预测衰减量，即实际噪声值将略低于其预测值。</w:t>
            </w:r>
          </w:p>
          <w:p w14:paraId="0B0D5BCD">
            <w:pPr>
              <w:pStyle w:val="6"/>
              <w:bidi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3.3 噪声影响预测模式</w:t>
            </w:r>
          </w:p>
          <w:p w14:paraId="652645B0">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jc w:val="both"/>
              <w:textAlignment w:val="auto"/>
              <w:rPr>
                <w:b w:val="0"/>
                <w:bCs/>
                <w:color w:val="000000" w:themeColor="text1"/>
                <w14:textFill>
                  <w14:solidFill>
                    <w14:schemeClr w14:val="tx1"/>
                  </w14:solidFill>
                </w14:textFill>
              </w:rPr>
            </w:pPr>
            <w:r>
              <w:rPr>
                <w:b w:val="0"/>
                <w:bCs/>
                <w:color w:val="000000" w:themeColor="text1"/>
                <w:spacing w:val="-5"/>
                <w14:textFill>
                  <w14:solidFill>
                    <w14:schemeClr w14:val="tx1"/>
                  </w14:solidFill>
                </w14:textFill>
              </w:rPr>
              <w:t>（</w:t>
            </w:r>
            <w:r>
              <w:rPr>
                <w:rFonts w:ascii="Times New Roman" w:hAnsi="Times New Roman" w:eastAsia="Times New Roman" w:cs="Times New Roman"/>
                <w:b w:val="0"/>
                <w:bCs/>
                <w:color w:val="000000" w:themeColor="text1"/>
                <w:spacing w:val="-5"/>
                <w14:textFill>
                  <w14:solidFill>
                    <w14:schemeClr w14:val="tx1"/>
                  </w14:solidFill>
                </w14:textFill>
              </w:rPr>
              <w:t>1</w:t>
            </w:r>
            <w:r>
              <w:rPr>
                <w:b w:val="0"/>
                <w:bCs/>
                <w:color w:val="000000" w:themeColor="text1"/>
                <w:spacing w:val="-5"/>
                <w14:textFill>
                  <w14:solidFill>
                    <w14:schemeClr w14:val="tx1"/>
                  </w14:solidFill>
                </w14:textFill>
              </w:rPr>
              <w:t>）预测模型</w:t>
            </w:r>
          </w:p>
          <w:p w14:paraId="1B09A76F">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jc w:val="both"/>
              <w:textAlignment w:val="auto"/>
              <w:rPr>
                <w:b w:val="0"/>
                <w:bCs/>
                <w:color w:val="000000" w:themeColor="text1"/>
                <w:sz w:val="24"/>
                <w:szCs w:val="24"/>
                <w14:textFill>
                  <w14:solidFill>
                    <w14:schemeClr w14:val="tx1"/>
                  </w14:solidFill>
                </w14:textFill>
              </w:rPr>
            </w:pPr>
            <w:r>
              <w:rPr>
                <w:b w:val="0"/>
                <w:bCs/>
                <w:color w:val="000000" w:themeColor="text1"/>
                <w:spacing w:val="1"/>
                <w:sz w:val="24"/>
                <w:szCs w:val="24"/>
                <w14:textFill>
                  <w14:solidFill>
                    <w14:schemeClr w14:val="tx1"/>
                  </w14:solidFill>
                </w14:textFill>
              </w:rPr>
              <w:t>本次评价采用《环境影响评价技术导则 声环境》（</w:t>
            </w:r>
            <w:r>
              <w:rPr>
                <w:rFonts w:ascii="Times New Roman" w:hAnsi="Times New Roman" w:eastAsia="Times New Roman" w:cs="Times New Roman"/>
                <w:b w:val="0"/>
                <w:bCs/>
                <w:color w:val="000000" w:themeColor="text1"/>
                <w:sz w:val="24"/>
                <w:szCs w:val="24"/>
                <w14:textFill>
                  <w14:solidFill>
                    <w14:schemeClr w14:val="tx1"/>
                  </w14:solidFill>
                </w14:textFill>
              </w:rPr>
              <w:t>HJ</w:t>
            </w:r>
            <w:r>
              <w:rPr>
                <w:rFonts w:ascii="Times New Roman" w:hAnsi="Times New Roman" w:eastAsia="Times New Roman" w:cs="Times New Roman"/>
                <w:b w:val="0"/>
                <w:bCs/>
                <w:color w:val="000000" w:themeColor="text1"/>
                <w:spacing w:val="1"/>
                <w:sz w:val="24"/>
                <w:szCs w:val="24"/>
                <w14:textFill>
                  <w14:solidFill>
                    <w14:schemeClr w14:val="tx1"/>
                  </w14:solidFill>
                </w14:textFill>
              </w:rPr>
              <w:t>2.4-2</w:t>
            </w:r>
            <w:r>
              <w:rPr>
                <w:rFonts w:ascii="Times New Roman" w:hAnsi="Times New Roman" w:eastAsia="Times New Roman" w:cs="Times New Roman"/>
                <w:b w:val="0"/>
                <w:bCs/>
                <w:color w:val="000000" w:themeColor="text1"/>
                <w:sz w:val="24"/>
                <w:szCs w:val="24"/>
                <w14:textFill>
                  <w14:solidFill>
                    <w14:schemeClr w14:val="tx1"/>
                  </w14:solidFill>
                </w14:textFill>
              </w:rPr>
              <w:t>021</w:t>
            </w:r>
            <w:r>
              <w:rPr>
                <w:b w:val="0"/>
                <w:bCs/>
                <w:color w:val="000000" w:themeColor="text1"/>
                <w:sz w:val="24"/>
                <w:szCs w:val="24"/>
                <w14:textFill>
                  <w14:solidFill>
                    <w14:schemeClr w14:val="tx1"/>
                  </w14:solidFill>
                </w14:textFill>
              </w:rPr>
              <w:t>）中推</w:t>
            </w:r>
            <w:r>
              <w:rPr>
                <w:b w:val="0"/>
                <w:bCs/>
                <w:color w:val="000000" w:themeColor="text1"/>
                <w:spacing w:val="-1"/>
                <w:sz w:val="24"/>
                <w:szCs w:val="24"/>
                <w14:textFill>
                  <w14:solidFill>
                    <w14:schemeClr w14:val="tx1"/>
                  </w14:solidFill>
                </w14:textFill>
              </w:rPr>
              <w:t>荐的模式进行预测，用</w:t>
            </w:r>
            <w:r>
              <w:rPr>
                <w:b w:val="0"/>
                <w:bCs/>
                <w:color w:val="000000" w:themeColor="text1"/>
                <w:spacing w:val="-50"/>
                <w:sz w:val="24"/>
                <w:szCs w:val="24"/>
                <w14:textFill>
                  <w14:solidFill>
                    <w14:schemeClr w14:val="tx1"/>
                  </w14:solidFill>
                </w14:textFill>
              </w:rPr>
              <w:t xml:space="preserve"> </w:t>
            </w:r>
            <w:r>
              <w:rPr>
                <w:rFonts w:ascii="Times New Roman" w:hAnsi="Times New Roman" w:eastAsia="Times New Roman" w:cs="Times New Roman"/>
                <w:b w:val="0"/>
                <w:bCs/>
                <w:color w:val="000000" w:themeColor="text1"/>
                <w:spacing w:val="-1"/>
                <w:sz w:val="24"/>
                <w:szCs w:val="24"/>
                <w14:textFill>
                  <w14:solidFill>
                    <w14:schemeClr w14:val="tx1"/>
                  </w14:solidFill>
                </w14:textFill>
              </w:rPr>
              <w:t>A</w:t>
            </w:r>
            <w:r>
              <w:rPr>
                <w:b w:val="0"/>
                <w:bCs/>
                <w:color w:val="000000" w:themeColor="text1"/>
                <w:spacing w:val="-1"/>
                <w:sz w:val="24"/>
                <w:szCs w:val="24"/>
                <w14:textFill>
                  <w14:solidFill>
                    <w14:schemeClr w14:val="tx1"/>
                  </w14:solidFill>
                </w14:textFill>
              </w:rPr>
              <w:t>声级计算，模式如下：</w:t>
            </w:r>
          </w:p>
          <w:p w14:paraId="3E2EC995">
            <w:pPr>
              <w:pStyle w:val="83"/>
              <w:spacing w:before="2" w:line="332" w:lineRule="auto"/>
              <w:ind w:left="114" w:right="100" w:firstLine="474"/>
              <w:jc w:val="both"/>
              <w:rPr>
                <w:b w:val="0"/>
                <w:bCs/>
                <w:color w:val="000000" w:themeColor="text1"/>
                <w:spacing w:val="-3"/>
                <w:sz w:val="24"/>
                <w:szCs w:val="24"/>
                <w14:textFill>
                  <w14:solidFill>
                    <w14:schemeClr w14:val="tx1"/>
                  </w14:solidFill>
                </w14:textFill>
              </w:rPr>
            </w:pPr>
            <w:r>
              <w:rPr>
                <w:rFonts w:hint="eastAsia"/>
                <w:b w:val="0"/>
                <w:bCs/>
                <w:color w:val="000000" w:themeColor="text1"/>
                <w:spacing w:val="-3"/>
                <w:sz w:val="24"/>
                <w:szCs w:val="24"/>
                <w:lang w:val="en-US" w:eastAsia="zh-CN"/>
                <w14:textFill>
                  <w14:solidFill>
                    <w14:schemeClr w14:val="tx1"/>
                  </w14:solidFill>
                </w14:textFill>
              </w:rPr>
              <w:t>①</w:t>
            </w:r>
            <w:r>
              <w:rPr>
                <w:rFonts w:hint="eastAsia"/>
                <w:b w:val="0"/>
                <w:bCs/>
                <w:color w:val="000000" w:themeColor="text1"/>
                <w:spacing w:val="-3"/>
                <w:sz w:val="24"/>
                <w:szCs w:val="24"/>
                <w14:textFill>
                  <w14:solidFill>
                    <w14:schemeClr w14:val="tx1"/>
                  </w14:solidFill>
                </w14:textFill>
              </w:rPr>
              <w:t>按照无指向性点声源几何发散衰减进行计算:</w:t>
            </w:r>
          </w:p>
          <w:p w14:paraId="42CDCBA0">
            <w:pPr>
              <w:keepNext w:val="0"/>
              <w:keepLines w:val="0"/>
              <w:pageBreakBefore w:val="0"/>
              <w:widowControl w:val="0"/>
              <w:numPr>
                <w:ilvl w:val="0"/>
                <w:numId w:val="0"/>
              </w:numPr>
              <w:shd w:val="clear" w:color="auto" w:fill="auto"/>
              <w:kinsoku/>
              <w:wordWrap w:val="0"/>
              <w:overflowPunct/>
              <w:topLinePunct w:val="0"/>
              <w:autoSpaceDE/>
              <w:autoSpaceDN/>
              <w:bidi w:val="0"/>
              <w:snapToGrid w:val="0"/>
              <w:spacing w:beforeAutospacing="0" w:line="360" w:lineRule="auto"/>
              <w:ind w:left="0" w:leftChars="0" w:right="0" w:rightChars="0"/>
              <w:jc w:val="cente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905125" cy="428625"/>
                  <wp:effectExtent l="0" t="0" r="952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1"/>
                          <a:stretch>
                            <a:fillRect/>
                          </a:stretch>
                        </pic:blipFill>
                        <pic:spPr>
                          <a:xfrm>
                            <a:off x="0" y="0"/>
                            <a:ext cx="2905125" cy="428625"/>
                          </a:xfrm>
                          <a:prstGeom prst="rect">
                            <a:avLst/>
                          </a:prstGeom>
                          <a:noFill/>
                          <a:ln>
                            <a:noFill/>
                          </a:ln>
                        </pic:spPr>
                      </pic:pic>
                    </a:graphicData>
                  </a:graphic>
                </wp:inline>
              </w:drawing>
            </w:r>
          </w:p>
          <w:p w14:paraId="6C20E899">
            <w:pPr>
              <w:keepNext w:val="0"/>
              <w:keepLines w:val="0"/>
              <w:pageBreakBefore w:val="0"/>
              <w:widowControl w:val="0"/>
              <w:shd w:val="clear" w:color="auto" w:fill="auto"/>
              <w:kinsoku/>
              <w:wordWrap w:val="0"/>
              <w:overflowPunct/>
              <w:topLinePunct w:val="0"/>
              <w:autoSpaceDE/>
              <w:autoSpaceDN/>
              <w:bidi w:val="0"/>
              <w:adjustRightInd w:val="0"/>
              <w:snapToGrid w:val="0"/>
              <w:spacing w:beforeAutospacing="0" w:line="360" w:lineRule="auto"/>
              <w:ind w:left="0" w:leftChars="0" w:right="0" w:rightChars="0" w:firstLine="480" w:firstLineChars="200"/>
              <w:jc w:val="both"/>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式中</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（r）</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——预测点处声压级，dB</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A</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07ABDB70">
            <w:pPr>
              <w:keepNext w:val="0"/>
              <w:keepLines w:val="0"/>
              <w:pageBreakBefore w:val="0"/>
              <w:widowControl w:val="0"/>
              <w:shd w:val="clear" w:color="auto" w:fill="auto"/>
              <w:kinsoku/>
              <w:wordWrap w:val="0"/>
              <w:overflowPunct/>
              <w:topLinePunct w:val="0"/>
              <w:autoSpaceDE/>
              <w:autoSpaceDN/>
              <w:bidi w:val="0"/>
              <w:adjustRightInd w:val="0"/>
              <w:snapToGrid w:val="0"/>
              <w:spacing w:beforeAutospacing="0" w:line="360" w:lineRule="auto"/>
              <w:ind w:left="0" w:leftChars="0" w:right="0" w:rightChars="0" w:firstLine="480" w:firstLineChars="200"/>
              <w:jc w:val="both"/>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 xml:space="preserve">      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（r</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0</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——参考位置r</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处的声压级，dB</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A</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0D03FB49">
            <w:pPr>
              <w:keepNext w:val="0"/>
              <w:keepLines w:val="0"/>
              <w:pageBreakBefore w:val="0"/>
              <w:widowControl w:val="0"/>
              <w:shd w:val="clear" w:color="auto" w:fill="auto"/>
              <w:kinsoku/>
              <w:wordWrap w:val="0"/>
              <w:overflowPunct/>
              <w:topLinePunct w:val="0"/>
              <w:autoSpaceDE/>
              <w:autoSpaceDN/>
              <w:bidi w:val="0"/>
              <w:adjustRightInd w:val="0"/>
              <w:snapToGrid w:val="0"/>
              <w:spacing w:beforeAutospacing="0" w:line="360" w:lineRule="auto"/>
              <w:ind w:left="0" w:leftChars="0" w:right="0" w:rightChars="0" w:firstLine="480" w:firstLineChars="200"/>
              <w:jc w:val="both"/>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 xml:space="preserve">      r ——预测点距声源的距离，</w:t>
            </w:r>
            <w:r>
              <w:rPr>
                <w:rFonts w:hint="eastAsia" w:cs="Times New Roman"/>
                <w:b w:val="0"/>
                <w:bCs/>
                <w:color w:val="000000" w:themeColor="text1"/>
                <w:sz w:val="24"/>
                <w:szCs w:val="24"/>
                <w:highlight w:val="none"/>
                <w:lang w:val="en-US" w:eastAsia="zh-CN"/>
                <w14:textFill>
                  <w14:solidFill>
                    <w14:schemeClr w14:val="tx1"/>
                  </w14:solidFill>
                </w14:textFill>
              </w:rPr>
              <w:t>米</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542EA0BA">
            <w:pPr>
              <w:pStyle w:val="83"/>
              <w:keepNext w:val="0"/>
              <w:keepLines w:val="0"/>
              <w:pageBreakBefore w:val="0"/>
              <w:widowControl w:val="0"/>
              <w:kinsoku/>
              <w:overflowPunct/>
              <w:topLinePunct w:val="0"/>
              <w:autoSpaceDE/>
              <w:autoSpaceDN/>
              <w:bidi w:val="0"/>
              <w:spacing w:line="360" w:lineRule="auto"/>
              <w:ind w:left="0" w:right="0" w:firstLine="480" w:firstLineChars="200"/>
              <w:jc w:val="both"/>
              <w:textAlignment w:val="auto"/>
              <w:rPr>
                <w:b w:val="0"/>
                <w:bCs/>
                <w:color w:val="000000" w:themeColor="text1"/>
                <w:spacing w:val="-3"/>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r</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——参考位置距声源的距离，</w:t>
            </w:r>
            <w:r>
              <w:rPr>
                <w:rFonts w:hint="eastAsia" w:cs="Times New Roman"/>
                <w:b w:val="0"/>
                <w:bCs/>
                <w:color w:val="000000" w:themeColor="text1"/>
                <w:sz w:val="24"/>
                <w:szCs w:val="24"/>
                <w:highlight w:val="none"/>
                <w:lang w:val="en-US" w:eastAsia="zh-CN"/>
                <w14:textFill>
                  <w14:solidFill>
                    <w14:schemeClr w14:val="tx1"/>
                  </w14:solidFill>
                </w14:textFill>
              </w:rPr>
              <w:t>米</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7C9E8644">
            <w:pPr>
              <w:pStyle w:val="83"/>
              <w:spacing w:before="2" w:line="332" w:lineRule="auto"/>
              <w:ind w:left="114" w:right="100" w:firstLine="474"/>
              <w:jc w:val="both"/>
              <w:rPr>
                <w:b w:val="0"/>
                <w:bCs/>
                <w:color w:val="000000" w:themeColor="text1"/>
                <w:spacing w:val="-8"/>
                <w:sz w:val="24"/>
                <w:szCs w:val="24"/>
                <w14:textFill>
                  <w14:solidFill>
                    <w14:schemeClr w14:val="tx1"/>
                  </w14:solidFill>
                </w14:textFill>
              </w:rPr>
            </w:pPr>
            <w:r>
              <w:rPr>
                <w:rFonts w:hint="eastAsia"/>
                <w:b w:val="0"/>
                <w:bCs/>
                <w:color w:val="000000" w:themeColor="text1"/>
                <w:spacing w:val="-3"/>
                <w:sz w:val="24"/>
                <w:szCs w:val="24"/>
                <w:lang w:val="en-US" w:eastAsia="zh-CN"/>
                <w14:textFill>
                  <w14:solidFill>
                    <w14:schemeClr w14:val="tx1"/>
                  </w14:solidFill>
                </w14:textFill>
              </w:rPr>
              <w:t>②</w:t>
            </w:r>
            <w:r>
              <w:rPr>
                <w:b w:val="0"/>
                <w:bCs/>
                <w:color w:val="000000" w:themeColor="text1"/>
                <w:spacing w:val="-3"/>
                <w:sz w:val="24"/>
                <w:szCs w:val="24"/>
                <w14:textFill>
                  <w14:solidFill>
                    <w14:schemeClr w14:val="tx1"/>
                  </w14:solidFill>
                </w14:textFill>
              </w:rPr>
              <w:t>由建设项目自身声源在预测点产生的声级，噪声贡献值</w:t>
            </w:r>
            <w:r>
              <w:rPr>
                <w:rFonts w:hint="eastAsia" w:ascii="Times New Roman" w:hAnsi="Times New Roman" w:eastAsia="宋体" w:cs="Times New Roman"/>
                <w:b w:val="0"/>
                <w:bCs/>
                <w:color w:val="000000" w:themeColor="text1"/>
                <w:spacing w:val="-3"/>
                <w:sz w:val="24"/>
                <w:szCs w:val="24"/>
                <w:lang w:eastAsia="zh-CN"/>
                <w14:textFill>
                  <w14:solidFill>
                    <w14:schemeClr w14:val="tx1"/>
                  </w14:solidFill>
                </w14:textFill>
              </w:rPr>
              <w:t>（</w:t>
            </w:r>
            <w:r>
              <w:rPr>
                <w:rFonts w:ascii="Times New Roman" w:hAnsi="Times New Roman" w:eastAsia="Times New Roman" w:cs="Times New Roman"/>
                <w:b w:val="0"/>
                <w:bCs/>
                <w:color w:val="000000" w:themeColor="text1"/>
                <w:spacing w:val="-3"/>
                <w:sz w:val="24"/>
                <w:szCs w:val="24"/>
                <w14:textFill>
                  <w14:solidFill>
                    <w14:schemeClr w14:val="tx1"/>
                  </w14:solidFill>
                </w14:textFill>
              </w:rPr>
              <w:t>Leqg</w:t>
            </w:r>
            <w:r>
              <w:rPr>
                <w:rFonts w:hint="eastAsia" w:ascii="Times New Roman" w:hAnsi="Times New Roman" w:eastAsia="宋体" w:cs="Times New Roman"/>
                <w:b w:val="0"/>
                <w:bCs/>
                <w:color w:val="000000" w:themeColor="text1"/>
                <w:spacing w:val="-3"/>
                <w:sz w:val="24"/>
                <w:szCs w:val="24"/>
                <w:lang w:eastAsia="zh-CN"/>
                <w14:textFill>
                  <w14:solidFill>
                    <w14:schemeClr w14:val="tx1"/>
                  </w14:solidFill>
                </w14:textFill>
              </w:rPr>
              <w:t>）</w:t>
            </w:r>
            <w:r>
              <w:rPr>
                <w:b w:val="0"/>
                <w:bCs/>
                <w:color w:val="000000" w:themeColor="text1"/>
                <w:spacing w:val="-3"/>
                <w:sz w:val="24"/>
                <w:szCs w:val="24"/>
                <w14:textFill>
                  <w14:solidFill>
                    <w14:schemeClr w14:val="tx1"/>
                  </w14:solidFill>
                </w14:textFill>
              </w:rPr>
              <w:t>计算公</w:t>
            </w:r>
            <w:r>
              <w:rPr>
                <w:b w:val="0"/>
                <w:bCs/>
                <w:color w:val="000000" w:themeColor="text1"/>
                <w:spacing w:val="-8"/>
                <w:sz w:val="24"/>
                <w:szCs w:val="24"/>
                <w14:textFill>
                  <w14:solidFill>
                    <w14:schemeClr w14:val="tx1"/>
                  </w14:solidFill>
                </w14:textFill>
              </w:rPr>
              <w:t>式：</w:t>
            </w:r>
          </w:p>
          <w:p w14:paraId="595F8CD0">
            <w:pPr>
              <w:spacing w:before="69" w:line="240" w:lineRule="auto"/>
              <w:jc w:val="center"/>
              <w:rPr>
                <w:b w:val="0"/>
                <w:bCs/>
                <w:color w:val="000000" w:themeColor="text1"/>
                <w14:textFill>
                  <w14:solidFill>
                    <w14:schemeClr w14:val="tx1"/>
                  </w14:solidFill>
                </w14:textFill>
              </w:rPr>
            </w:pPr>
            <w:r>
              <w:rPr>
                <w:b w:val="0"/>
                <w:bCs/>
                <w:color w:val="000000" w:themeColor="text1"/>
                <w:position w:val="-9"/>
                <w14:textFill>
                  <w14:solidFill>
                    <w14:schemeClr w14:val="tx1"/>
                  </w14:solidFill>
                </w14:textFill>
              </w:rPr>
              <w:drawing>
                <wp:inline distT="0" distB="0" distL="0" distR="0">
                  <wp:extent cx="2747010" cy="603250"/>
                  <wp:effectExtent l="0" t="0" r="15240" b="635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2"/>
                          <a:stretch>
                            <a:fillRect/>
                          </a:stretch>
                        </pic:blipFill>
                        <pic:spPr>
                          <a:xfrm>
                            <a:off x="0" y="0"/>
                            <a:ext cx="2747010" cy="603250"/>
                          </a:xfrm>
                          <a:prstGeom prst="rect">
                            <a:avLst/>
                          </a:prstGeom>
                        </pic:spPr>
                      </pic:pic>
                    </a:graphicData>
                  </a:graphic>
                </wp:inline>
              </w:drawing>
            </w:r>
          </w:p>
          <w:p w14:paraId="437B2D35">
            <w:pPr>
              <w:pStyle w:val="83"/>
              <w:spacing w:before="138" w:line="343" w:lineRule="exact"/>
              <w:ind w:left="594"/>
              <w:jc w:val="both"/>
              <w:rPr>
                <w:b w:val="0"/>
                <w:bCs/>
                <w:color w:val="000000" w:themeColor="text1"/>
                <w:sz w:val="24"/>
                <w:szCs w:val="24"/>
                <w14:textFill>
                  <w14:solidFill>
                    <w14:schemeClr w14:val="tx1"/>
                  </w14:solidFill>
                </w14:textFill>
              </w:rPr>
            </w:pPr>
            <w:r>
              <w:rPr>
                <w:b w:val="0"/>
                <w:bCs/>
                <w:color w:val="000000" w:themeColor="text1"/>
                <w:spacing w:val="-1"/>
                <w:position w:val="3"/>
                <w:sz w:val="24"/>
                <w:szCs w:val="24"/>
                <w14:textFill>
                  <w14:solidFill>
                    <w14:schemeClr w14:val="tx1"/>
                  </w14:solidFill>
                </w14:textFill>
              </w:rPr>
              <w:t>式中：</w:t>
            </w:r>
            <w:r>
              <w:rPr>
                <w:rFonts w:ascii="Times New Roman" w:hAnsi="Times New Roman" w:eastAsia="Times New Roman" w:cs="Times New Roman"/>
                <w:b w:val="0"/>
                <w:bCs/>
                <w:color w:val="000000" w:themeColor="text1"/>
                <w:spacing w:val="-1"/>
                <w:position w:val="3"/>
                <w:sz w:val="24"/>
                <w:szCs w:val="24"/>
                <w14:textFill>
                  <w14:solidFill>
                    <w14:schemeClr w14:val="tx1"/>
                  </w14:solidFill>
                </w14:textFill>
              </w:rPr>
              <w:t>L</w:t>
            </w:r>
            <w:r>
              <w:rPr>
                <w:rFonts w:ascii="Times New Roman" w:hAnsi="Times New Roman" w:eastAsia="Times New Roman" w:cs="Times New Roman"/>
                <w:b w:val="0"/>
                <w:bCs/>
                <w:color w:val="000000" w:themeColor="text1"/>
                <w:spacing w:val="-1"/>
                <w:position w:val="2"/>
                <w:sz w:val="15"/>
                <w:szCs w:val="15"/>
                <w14:textFill>
                  <w14:solidFill>
                    <w14:schemeClr w14:val="tx1"/>
                  </w14:solidFill>
                </w14:textFill>
              </w:rPr>
              <w:t>eqg</w:t>
            </w:r>
            <w:r>
              <w:rPr>
                <w:rFonts w:ascii="Times New Roman" w:hAnsi="Times New Roman" w:eastAsia="Times New Roman" w:cs="Times New Roman"/>
                <w:b w:val="0"/>
                <w:bCs/>
                <w:color w:val="000000" w:themeColor="text1"/>
                <w:spacing w:val="-1"/>
                <w:position w:val="3"/>
                <w:sz w:val="24"/>
                <w:szCs w:val="24"/>
                <w14:textFill>
                  <w14:solidFill>
                    <w14:schemeClr w14:val="tx1"/>
                  </w14:solidFill>
                </w14:textFill>
              </w:rPr>
              <w:t>——</w:t>
            </w:r>
            <w:r>
              <w:rPr>
                <w:b w:val="0"/>
                <w:bCs/>
                <w:color w:val="000000" w:themeColor="text1"/>
                <w:spacing w:val="-1"/>
                <w:position w:val="3"/>
                <w:sz w:val="24"/>
                <w:szCs w:val="24"/>
                <w14:textFill>
                  <w14:solidFill>
                    <w14:schemeClr w14:val="tx1"/>
                  </w14:solidFill>
                </w14:textFill>
              </w:rPr>
              <w:t>噪声贡献值，</w:t>
            </w:r>
            <w:r>
              <w:rPr>
                <w:rFonts w:ascii="Times New Roman" w:hAnsi="Times New Roman" w:eastAsia="Times New Roman" w:cs="Times New Roman"/>
                <w:b w:val="0"/>
                <w:bCs/>
                <w:color w:val="000000" w:themeColor="text1"/>
                <w:spacing w:val="-1"/>
                <w:position w:val="3"/>
                <w:sz w:val="24"/>
                <w:szCs w:val="24"/>
                <w14:textFill>
                  <w14:solidFill>
                    <w14:schemeClr w14:val="tx1"/>
                  </w14:solidFill>
                </w14:textFill>
              </w:rPr>
              <w:t>dB</w:t>
            </w:r>
            <w:r>
              <w:rPr>
                <w:b w:val="0"/>
                <w:bCs/>
                <w:color w:val="000000" w:themeColor="text1"/>
                <w:spacing w:val="-1"/>
                <w:position w:val="3"/>
                <w:sz w:val="24"/>
                <w:szCs w:val="24"/>
                <w14:textFill>
                  <w14:solidFill>
                    <w14:schemeClr w14:val="tx1"/>
                  </w14:solidFill>
                </w14:textFill>
              </w:rPr>
              <w:t>；</w:t>
            </w:r>
          </w:p>
          <w:p w14:paraId="18B79FA6">
            <w:pPr>
              <w:pStyle w:val="3"/>
              <w:bidi w:val="0"/>
              <w:ind w:firstLine="1190" w:firstLineChars="500"/>
              <w:jc w:val="both"/>
              <w:rPr>
                <w:rFonts w:hint="eastAsia" w:eastAsia="宋体"/>
                <w:b w:val="0"/>
                <w:bCs/>
                <w:color w:val="000000" w:themeColor="text1"/>
                <w:spacing w:val="2"/>
                <w:lang w:eastAsia="zh-CN"/>
                <w14:textFill>
                  <w14:solidFill>
                    <w14:schemeClr w14:val="tx1"/>
                  </w14:solidFill>
                </w14:textFill>
              </w:rPr>
            </w:pPr>
            <w:r>
              <w:rPr>
                <w:rFonts w:ascii="Times New Roman" w:hAnsi="Times New Roman" w:eastAsia="Times New Roman" w:cs="Times New Roman"/>
                <w:b w:val="0"/>
                <w:bCs/>
                <w:color w:val="000000" w:themeColor="text1"/>
                <w:spacing w:val="-1"/>
                <w:sz w:val="24"/>
                <w:szCs w:val="24"/>
                <w14:textFill>
                  <w14:solidFill>
                    <w14:schemeClr w14:val="tx1"/>
                  </w14:solidFill>
                </w14:textFill>
              </w:rPr>
              <w:t>T——</w:t>
            </w:r>
            <w:r>
              <w:rPr>
                <w:b w:val="0"/>
                <w:bCs/>
                <w:color w:val="000000" w:themeColor="text1"/>
                <w:spacing w:val="-1"/>
                <w:sz w:val="24"/>
                <w:szCs w:val="24"/>
                <w14:textFill>
                  <w14:solidFill>
                    <w14:schemeClr w14:val="tx1"/>
                  </w14:solidFill>
                </w14:textFill>
              </w:rPr>
              <w:t>预测计算的时间段，秒</w:t>
            </w:r>
            <w:r>
              <w:rPr>
                <w:rFonts w:hint="eastAsia"/>
                <w:b w:val="0"/>
                <w:bCs/>
                <w:color w:val="000000" w:themeColor="text1"/>
                <w:spacing w:val="-1"/>
                <w:sz w:val="24"/>
                <w:szCs w:val="24"/>
                <w:lang w:eastAsia="zh-CN"/>
                <w14:textFill>
                  <w14:solidFill>
                    <w14:schemeClr w14:val="tx1"/>
                  </w14:solidFill>
                </w14:textFill>
              </w:rPr>
              <w:t>；</w:t>
            </w:r>
          </w:p>
          <w:p w14:paraId="53E981A5">
            <w:pPr>
              <w:pStyle w:val="83"/>
              <w:spacing w:line="354" w:lineRule="exact"/>
              <w:ind w:left="1302"/>
              <w:jc w:val="both"/>
              <w:rPr>
                <w:b w:val="0"/>
                <w:bCs/>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pacing w:val="-3"/>
                <w:position w:val="2"/>
                <w:sz w:val="24"/>
                <w:szCs w:val="24"/>
                <w14:textFill>
                  <w14:solidFill>
                    <w14:schemeClr w14:val="tx1"/>
                  </w14:solidFill>
                </w14:textFill>
              </w:rPr>
              <w:t>t</w:t>
            </w:r>
            <w:r>
              <w:rPr>
                <w:rFonts w:ascii="Times New Roman" w:hAnsi="Times New Roman" w:eastAsia="Times New Roman" w:cs="Times New Roman"/>
                <w:b w:val="0"/>
                <w:bCs/>
                <w:color w:val="000000" w:themeColor="text1"/>
                <w:spacing w:val="-3"/>
                <w:position w:val="2"/>
                <w:sz w:val="15"/>
                <w:szCs w:val="15"/>
                <w14:textFill>
                  <w14:solidFill>
                    <w14:schemeClr w14:val="tx1"/>
                  </w14:solidFill>
                </w14:textFill>
              </w:rPr>
              <w:t>i</w:t>
            </w:r>
            <w:r>
              <w:rPr>
                <w:rFonts w:ascii="Times New Roman" w:hAnsi="Times New Roman" w:eastAsia="Times New Roman" w:cs="Times New Roman"/>
                <w:b w:val="0"/>
                <w:bCs/>
                <w:color w:val="000000" w:themeColor="text1"/>
                <w:spacing w:val="-3"/>
                <w:position w:val="2"/>
                <w:sz w:val="24"/>
                <w:szCs w:val="24"/>
                <w14:textFill>
                  <w14:solidFill>
                    <w14:schemeClr w14:val="tx1"/>
                  </w14:solidFill>
                </w14:textFill>
              </w:rPr>
              <w:t>——i</w:t>
            </w:r>
            <w:r>
              <w:rPr>
                <w:b w:val="0"/>
                <w:bCs/>
                <w:color w:val="000000" w:themeColor="text1"/>
                <w:spacing w:val="-3"/>
                <w:position w:val="2"/>
                <w:sz w:val="24"/>
                <w:szCs w:val="24"/>
                <w14:textFill>
                  <w14:solidFill>
                    <w14:schemeClr w14:val="tx1"/>
                  </w14:solidFill>
                </w14:textFill>
              </w:rPr>
              <w:t>声源在</w:t>
            </w:r>
            <w:r>
              <w:rPr>
                <w:b w:val="0"/>
                <w:bCs/>
                <w:color w:val="000000" w:themeColor="text1"/>
                <w:spacing w:val="-53"/>
                <w:position w:val="2"/>
                <w:sz w:val="24"/>
                <w:szCs w:val="24"/>
                <w14:textFill>
                  <w14:solidFill>
                    <w14:schemeClr w14:val="tx1"/>
                  </w14:solidFill>
                </w14:textFill>
              </w:rPr>
              <w:t xml:space="preserve"> </w:t>
            </w:r>
            <w:r>
              <w:rPr>
                <w:rFonts w:ascii="Times New Roman" w:hAnsi="Times New Roman" w:eastAsia="Times New Roman" w:cs="Times New Roman"/>
                <w:b w:val="0"/>
                <w:bCs/>
                <w:color w:val="000000" w:themeColor="text1"/>
                <w:spacing w:val="-3"/>
                <w:position w:val="2"/>
                <w:sz w:val="24"/>
                <w:szCs w:val="24"/>
                <w14:textFill>
                  <w14:solidFill>
                    <w14:schemeClr w14:val="tx1"/>
                  </w14:solidFill>
                </w14:textFill>
              </w:rPr>
              <w:t>T</w:t>
            </w:r>
            <w:r>
              <w:rPr>
                <w:b w:val="0"/>
                <w:bCs/>
                <w:color w:val="000000" w:themeColor="text1"/>
                <w:spacing w:val="-3"/>
                <w:position w:val="2"/>
                <w:sz w:val="24"/>
                <w:szCs w:val="24"/>
                <w14:textFill>
                  <w14:solidFill>
                    <w14:schemeClr w14:val="tx1"/>
                  </w14:solidFill>
                </w14:textFill>
              </w:rPr>
              <w:t>时段内的运行时间，秒；</w:t>
            </w:r>
          </w:p>
          <w:p w14:paraId="633C4497">
            <w:pPr>
              <w:pStyle w:val="83"/>
              <w:spacing w:before="106" w:line="353" w:lineRule="auto"/>
              <w:ind w:left="587" w:right="947" w:firstLine="717"/>
              <w:jc w:val="both"/>
              <w:rPr>
                <w:rFonts w:hint="eastAsia" w:ascii="Times New Roman" w:hAnsi="Times New Roman" w:eastAsia="宋体" w:cs="Times New Roman"/>
                <w:b w:val="0"/>
                <w:bCs/>
                <w:color w:val="000000" w:themeColor="text1"/>
                <w:spacing w:val="-26"/>
                <w:sz w:val="24"/>
                <w:szCs w:val="24"/>
                <w:lang w:eastAsia="zh-CN"/>
                <w14:textFill>
                  <w14:solidFill>
                    <w14:schemeClr w14:val="tx1"/>
                  </w14:solidFill>
                </w14:textFill>
              </w:rPr>
            </w:pPr>
            <w:r>
              <w:rPr>
                <w:rFonts w:ascii="Times New Roman" w:hAnsi="Times New Roman" w:eastAsia="Times New Roman" w:cs="Times New Roman"/>
                <w:b w:val="0"/>
                <w:bCs/>
                <w:color w:val="000000" w:themeColor="text1"/>
                <w:spacing w:val="-1"/>
                <w:sz w:val="24"/>
                <w:szCs w:val="24"/>
                <w14:textFill>
                  <w14:solidFill>
                    <w14:schemeClr w14:val="tx1"/>
                  </w14:solidFill>
                </w14:textFill>
              </w:rPr>
              <w:t>LA</w:t>
            </w:r>
            <w:r>
              <w:rPr>
                <w:rFonts w:ascii="Times New Roman" w:hAnsi="Times New Roman" w:eastAsia="Times New Roman" w:cs="Times New Roman"/>
                <w:b w:val="0"/>
                <w:bCs/>
                <w:color w:val="000000" w:themeColor="text1"/>
                <w:spacing w:val="-1"/>
                <w:sz w:val="15"/>
                <w:szCs w:val="15"/>
                <w14:textFill>
                  <w14:solidFill>
                    <w14:schemeClr w14:val="tx1"/>
                  </w14:solidFill>
                </w14:textFill>
              </w:rPr>
              <w:t>i</w:t>
            </w:r>
            <w:r>
              <w:rPr>
                <w:rFonts w:ascii="Times New Roman" w:hAnsi="Times New Roman" w:eastAsia="Times New Roman" w:cs="Times New Roman"/>
                <w:b w:val="0"/>
                <w:bCs/>
                <w:color w:val="000000" w:themeColor="text1"/>
                <w:spacing w:val="-1"/>
                <w:sz w:val="24"/>
                <w:szCs w:val="24"/>
                <w14:textFill>
                  <w14:solidFill>
                    <w14:schemeClr w14:val="tx1"/>
                  </w14:solidFill>
                </w14:textFill>
              </w:rPr>
              <w:t>——i</w:t>
            </w:r>
            <w:r>
              <w:rPr>
                <w:rFonts w:ascii="Times New Roman" w:hAnsi="Times New Roman" w:eastAsia="Times New Roman" w:cs="Times New Roman"/>
                <w:b w:val="0"/>
                <w:bCs/>
                <w:color w:val="000000" w:themeColor="text1"/>
                <w:spacing w:val="19"/>
                <w:w w:val="101"/>
                <w:sz w:val="24"/>
                <w:szCs w:val="24"/>
                <w14:textFill>
                  <w14:solidFill>
                    <w14:schemeClr w14:val="tx1"/>
                  </w14:solidFill>
                </w14:textFill>
              </w:rPr>
              <w:t xml:space="preserve"> </w:t>
            </w:r>
            <w:r>
              <w:rPr>
                <w:b w:val="0"/>
                <w:bCs/>
                <w:color w:val="000000" w:themeColor="text1"/>
                <w:spacing w:val="-1"/>
                <w:sz w:val="24"/>
                <w:szCs w:val="24"/>
                <w14:textFill>
                  <w14:solidFill>
                    <w14:schemeClr w14:val="tx1"/>
                  </w14:solidFill>
                </w14:textFill>
              </w:rPr>
              <w:t>声源在预测点产生的等效连续</w:t>
            </w:r>
            <w:r>
              <w:rPr>
                <w:b w:val="0"/>
                <w:bCs/>
                <w:color w:val="000000" w:themeColor="text1"/>
                <w:spacing w:val="-58"/>
                <w:sz w:val="24"/>
                <w:szCs w:val="24"/>
                <w14:textFill>
                  <w14:solidFill>
                    <w14:schemeClr w14:val="tx1"/>
                  </w14:solidFill>
                </w14:textFill>
              </w:rPr>
              <w:t xml:space="preserve"> </w:t>
            </w:r>
            <w:r>
              <w:rPr>
                <w:rFonts w:ascii="Times New Roman" w:hAnsi="Times New Roman" w:eastAsia="Times New Roman" w:cs="Times New Roman"/>
                <w:b w:val="0"/>
                <w:bCs/>
                <w:color w:val="000000" w:themeColor="text1"/>
                <w:spacing w:val="-1"/>
                <w:sz w:val="24"/>
                <w:szCs w:val="24"/>
                <w14:textFill>
                  <w14:solidFill>
                    <w14:schemeClr w14:val="tx1"/>
                  </w14:solidFill>
                </w14:textFill>
              </w:rPr>
              <w:t>A</w:t>
            </w:r>
            <w:r>
              <w:rPr>
                <w:b w:val="0"/>
                <w:bCs/>
                <w:color w:val="000000" w:themeColor="text1"/>
                <w:spacing w:val="-1"/>
                <w:sz w:val="24"/>
                <w:szCs w:val="24"/>
                <w14:textFill>
                  <w14:solidFill>
                    <w14:schemeClr w14:val="tx1"/>
                  </w14:solidFill>
                </w14:textFill>
              </w:rPr>
              <w:t>声级，</w:t>
            </w:r>
            <w:r>
              <w:rPr>
                <w:rFonts w:ascii="Times New Roman" w:hAnsi="Times New Roman" w:eastAsia="Times New Roman" w:cs="Times New Roman"/>
                <w:b w:val="0"/>
                <w:bCs/>
                <w:color w:val="000000" w:themeColor="text1"/>
                <w:spacing w:val="-1"/>
                <w:sz w:val="24"/>
                <w:szCs w:val="24"/>
                <w14:textFill>
                  <w14:solidFill>
                    <w14:schemeClr w14:val="tx1"/>
                  </w14:solidFill>
                </w14:textFill>
              </w:rPr>
              <w:t>dB</w:t>
            </w:r>
            <w:r>
              <w:rPr>
                <w:rFonts w:hint="eastAsia" w:ascii="Times New Roman" w:hAnsi="Times New Roman" w:eastAsia="宋体" w:cs="Times New Roman"/>
                <w:b w:val="0"/>
                <w:bCs/>
                <w:color w:val="000000" w:themeColor="text1"/>
                <w:spacing w:val="-1"/>
                <w:sz w:val="24"/>
                <w:szCs w:val="24"/>
                <w:lang w:eastAsia="zh-CN"/>
                <w14:textFill>
                  <w14:solidFill>
                    <w14:schemeClr w14:val="tx1"/>
                  </w14:solidFill>
                </w14:textFill>
              </w:rPr>
              <w:t>。</w:t>
            </w:r>
          </w:p>
          <w:p w14:paraId="38B0D0E2">
            <w:pPr>
              <w:pStyle w:val="83"/>
              <w:spacing w:before="106" w:line="353" w:lineRule="auto"/>
              <w:ind w:left="480" w:leftChars="200" w:right="947" w:firstLine="0" w:firstLineChars="0"/>
              <w:jc w:val="both"/>
              <w:rPr>
                <w:b w:val="0"/>
                <w:bCs/>
                <w:color w:val="000000" w:themeColor="text1"/>
                <w:spacing w:val="-1"/>
                <w:sz w:val="24"/>
                <w:szCs w:val="24"/>
                <w14:textFill>
                  <w14:solidFill>
                    <w14:schemeClr w14:val="tx1"/>
                  </w14:solidFill>
                </w14:textFill>
              </w:rPr>
            </w:pPr>
            <w:r>
              <w:rPr>
                <w:rFonts w:hint="eastAsia"/>
                <w:b w:val="0"/>
                <w:bCs/>
                <w:color w:val="000000" w:themeColor="text1"/>
                <w:spacing w:val="-2"/>
                <w:sz w:val="24"/>
                <w:szCs w:val="24"/>
                <w:lang w:val="en-US" w:eastAsia="zh-CN"/>
                <w14:textFill>
                  <w14:solidFill>
                    <w14:schemeClr w14:val="tx1"/>
                  </w14:solidFill>
                </w14:textFill>
              </w:rPr>
              <w:t>③</w:t>
            </w:r>
            <w:r>
              <w:rPr>
                <w:b w:val="0"/>
                <w:bCs/>
                <w:color w:val="000000" w:themeColor="text1"/>
                <w:spacing w:val="-2"/>
                <w:sz w:val="24"/>
                <w:szCs w:val="24"/>
                <w14:textFill>
                  <w14:solidFill>
                    <w14:schemeClr w14:val="tx1"/>
                  </w14:solidFill>
                </w14:textFill>
              </w:rPr>
              <w:t>预测点的贡献值和背景值按能量叠加方法计算得到的声级。</w:t>
            </w:r>
            <w:r>
              <w:rPr>
                <w:b w:val="0"/>
                <w:bCs/>
                <w:color w:val="000000" w:themeColor="text1"/>
                <w:spacing w:val="-1"/>
                <w:sz w:val="24"/>
                <w:szCs w:val="24"/>
                <w14:textFill>
                  <w14:solidFill>
                    <w14:schemeClr w14:val="tx1"/>
                  </w14:solidFill>
                </w14:textFill>
              </w:rPr>
              <w:t>噪声预测值</w:t>
            </w:r>
            <w:r>
              <w:rPr>
                <w:rFonts w:hint="eastAsia"/>
                <w:b w:val="0"/>
                <w:bCs/>
                <w:color w:val="000000" w:themeColor="text1"/>
                <w:spacing w:val="-1"/>
                <w:sz w:val="24"/>
                <w:szCs w:val="24"/>
                <w:lang w:eastAsia="zh-CN"/>
                <w14:textFill>
                  <w14:solidFill>
                    <w14:schemeClr w14:val="tx1"/>
                  </w14:solidFill>
                </w14:textFill>
              </w:rPr>
              <w:t>（</w:t>
            </w:r>
            <w:r>
              <w:rPr>
                <w:rFonts w:ascii="Times New Roman" w:hAnsi="Times New Roman" w:eastAsia="Times New Roman" w:cs="Times New Roman"/>
                <w:b w:val="0"/>
                <w:bCs/>
                <w:color w:val="000000" w:themeColor="text1"/>
                <w:spacing w:val="-1"/>
                <w:sz w:val="24"/>
                <w:szCs w:val="24"/>
                <w14:textFill>
                  <w14:solidFill>
                    <w14:schemeClr w14:val="tx1"/>
                  </w14:solidFill>
                </w14:textFill>
              </w:rPr>
              <w:t>Leq</w:t>
            </w:r>
            <w:r>
              <w:rPr>
                <w:rFonts w:hint="eastAsia" w:ascii="Times New Roman" w:hAnsi="Times New Roman" w:eastAsia="宋体" w:cs="Times New Roman"/>
                <w:b w:val="0"/>
                <w:bCs/>
                <w:color w:val="000000" w:themeColor="text1"/>
                <w:spacing w:val="-1"/>
                <w:sz w:val="24"/>
                <w:szCs w:val="24"/>
                <w:lang w:eastAsia="zh-CN"/>
                <w14:textFill>
                  <w14:solidFill>
                    <w14:schemeClr w14:val="tx1"/>
                  </w14:solidFill>
                </w14:textFill>
              </w:rPr>
              <w:t>）</w:t>
            </w:r>
            <w:r>
              <w:rPr>
                <w:b w:val="0"/>
                <w:bCs/>
                <w:color w:val="000000" w:themeColor="text1"/>
                <w:spacing w:val="-1"/>
                <w:sz w:val="24"/>
                <w:szCs w:val="24"/>
                <w14:textFill>
                  <w14:solidFill>
                    <w14:schemeClr w14:val="tx1"/>
                  </w14:solidFill>
                </w14:textFill>
              </w:rPr>
              <w:t>计算公式：</w:t>
            </w:r>
          </w:p>
          <w:p w14:paraId="2199E28C">
            <w:pPr>
              <w:spacing w:before="23" w:line="240" w:lineRule="auto"/>
              <w:jc w:val="center"/>
              <w:rPr>
                <w:b w:val="0"/>
                <w:bCs/>
                <w:color w:val="000000" w:themeColor="text1"/>
                <w14:textFill>
                  <w14:solidFill>
                    <w14:schemeClr w14:val="tx1"/>
                  </w14:solidFill>
                </w14:textFill>
              </w:rPr>
            </w:pPr>
            <w:r>
              <w:rPr>
                <w:b w:val="0"/>
                <w:bCs/>
                <w:color w:val="000000" w:themeColor="text1"/>
                <w:position w:val="-10"/>
                <w14:textFill>
                  <w14:solidFill>
                    <w14:schemeClr w14:val="tx1"/>
                  </w14:solidFill>
                </w14:textFill>
              </w:rPr>
              <w:drawing>
                <wp:inline distT="0" distB="0" distL="0" distR="0">
                  <wp:extent cx="2466340" cy="455295"/>
                  <wp:effectExtent l="0" t="0" r="10160" b="1905"/>
                  <wp:docPr id="32" name="IM 4"/>
                  <wp:cNvGraphicFramePr/>
                  <a:graphic xmlns:a="http://schemas.openxmlformats.org/drawingml/2006/main">
                    <a:graphicData uri="http://schemas.openxmlformats.org/drawingml/2006/picture">
                      <pic:pic xmlns:pic="http://schemas.openxmlformats.org/drawingml/2006/picture">
                        <pic:nvPicPr>
                          <pic:cNvPr id="32" name="IM 4"/>
                          <pic:cNvPicPr/>
                        </pic:nvPicPr>
                        <pic:blipFill>
                          <a:blip r:embed="rId23"/>
                          <a:stretch>
                            <a:fillRect/>
                          </a:stretch>
                        </pic:blipFill>
                        <pic:spPr>
                          <a:xfrm>
                            <a:off x="0" y="0"/>
                            <a:ext cx="2466340" cy="455295"/>
                          </a:xfrm>
                          <a:prstGeom prst="rect">
                            <a:avLst/>
                          </a:prstGeom>
                        </pic:spPr>
                      </pic:pic>
                    </a:graphicData>
                  </a:graphic>
                </wp:inline>
              </w:drawing>
            </w:r>
          </w:p>
          <w:p w14:paraId="17EE1B67">
            <w:pPr>
              <w:pStyle w:val="83"/>
              <w:spacing w:before="136" w:line="343" w:lineRule="exact"/>
              <w:ind w:left="594"/>
              <w:jc w:val="both"/>
              <w:rPr>
                <w:b w:val="0"/>
                <w:bCs/>
                <w:color w:val="000000" w:themeColor="text1"/>
                <w:sz w:val="24"/>
                <w:szCs w:val="24"/>
                <w14:textFill>
                  <w14:solidFill>
                    <w14:schemeClr w14:val="tx1"/>
                  </w14:solidFill>
                </w14:textFill>
              </w:rPr>
            </w:pPr>
            <w:r>
              <w:rPr>
                <w:b w:val="0"/>
                <w:bCs/>
                <w:color w:val="000000" w:themeColor="text1"/>
                <w:spacing w:val="-1"/>
                <w:position w:val="3"/>
                <w:sz w:val="24"/>
                <w:szCs w:val="24"/>
                <w14:textFill>
                  <w14:solidFill>
                    <w14:schemeClr w14:val="tx1"/>
                  </w14:solidFill>
                </w14:textFill>
              </w:rPr>
              <w:t>式中：</w:t>
            </w:r>
            <w:r>
              <w:rPr>
                <w:rFonts w:ascii="Times New Roman" w:hAnsi="Times New Roman" w:eastAsia="Times New Roman" w:cs="Times New Roman"/>
                <w:b w:val="0"/>
                <w:bCs/>
                <w:color w:val="000000" w:themeColor="text1"/>
                <w:spacing w:val="-1"/>
                <w:position w:val="3"/>
                <w:sz w:val="24"/>
                <w:szCs w:val="24"/>
                <w14:textFill>
                  <w14:solidFill>
                    <w14:schemeClr w14:val="tx1"/>
                  </w14:solidFill>
                </w14:textFill>
              </w:rPr>
              <w:t>L</w:t>
            </w:r>
            <w:r>
              <w:rPr>
                <w:rFonts w:ascii="Times New Roman" w:hAnsi="Times New Roman" w:eastAsia="Times New Roman" w:cs="Times New Roman"/>
                <w:b w:val="0"/>
                <w:bCs/>
                <w:color w:val="000000" w:themeColor="text1"/>
                <w:spacing w:val="-1"/>
                <w:position w:val="2"/>
                <w:sz w:val="15"/>
                <w:szCs w:val="15"/>
                <w14:textFill>
                  <w14:solidFill>
                    <w14:schemeClr w14:val="tx1"/>
                  </w14:solidFill>
                </w14:textFill>
              </w:rPr>
              <w:t>eq</w:t>
            </w:r>
            <w:r>
              <w:rPr>
                <w:rFonts w:ascii="Times New Roman" w:hAnsi="Times New Roman" w:eastAsia="Times New Roman" w:cs="Times New Roman"/>
                <w:b w:val="0"/>
                <w:bCs/>
                <w:color w:val="000000" w:themeColor="text1"/>
                <w:spacing w:val="-1"/>
                <w:position w:val="3"/>
                <w:sz w:val="24"/>
                <w:szCs w:val="24"/>
                <w14:textFill>
                  <w14:solidFill>
                    <w14:schemeClr w14:val="tx1"/>
                  </w14:solidFill>
                </w14:textFill>
              </w:rPr>
              <w:t>——</w:t>
            </w:r>
            <w:r>
              <w:rPr>
                <w:b w:val="0"/>
                <w:bCs/>
                <w:color w:val="000000" w:themeColor="text1"/>
                <w:spacing w:val="-1"/>
                <w:position w:val="3"/>
                <w:sz w:val="24"/>
                <w:szCs w:val="24"/>
                <w14:textFill>
                  <w14:solidFill>
                    <w14:schemeClr w14:val="tx1"/>
                  </w14:solidFill>
                </w14:textFill>
              </w:rPr>
              <w:t>预测点的噪声预测值，</w:t>
            </w:r>
            <w:r>
              <w:rPr>
                <w:rFonts w:ascii="Times New Roman" w:hAnsi="Times New Roman" w:eastAsia="Times New Roman" w:cs="Times New Roman"/>
                <w:b w:val="0"/>
                <w:bCs/>
                <w:color w:val="000000" w:themeColor="text1"/>
                <w:spacing w:val="-1"/>
                <w:position w:val="3"/>
                <w:sz w:val="24"/>
                <w:szCs w:val="24"/>
                <w14:textFill>
                  <w14:solidFill>
                    <w14:schemeClr w14:val="tx1"/>
                  </w14:solidFill>
                </w14:textFill>
              </w:rPr>
              <w:t>dB</w:t>
            </w:r>
            <w:r>
              <w:rPr>
                <w:b w:val="0"/>
                <w:bCs/>
                <w:color w:val="000000" w:themeColor="text1"/>
                <w:spacing w:val="-1"/>
                <w:position w:val="3"/>
                <w:sz w:val="24"/>
                <w:szCs w:val="24"/>
                <w14:textFill>
                  <w14:solidFill>
                    <w14:schemeClr w14:val="tx1"/>
                  </w14:solidFill>
                </w14:textFill>
              </w:rPr>
              <w:t>；</w:t>
            </w:r>
          </w:p>
          <w:p w14:paraId="1548CED6">
            <w:pPr>
              <w:pStyle w:val="83"/>
              <w:spacing w:before="126" w:line="328" w:lineRule="auto"/>
              <w:ind w:left="1304" w:right="798"/>
              <w:jc w:val="both"/>
              <w:rPr>
                <w:b w:val="0"/>
                <w:bCs/>
                <w:color w:val="000000" w:themeColor="text1"/>
                <w:sz w:val="24"/>
                <w:szCs w:val="24"/>
                <w14:textFill>
                  <w14:solidFill>
                    <w14:schemeClr w14:val="tx1"/>
                  </w14:solidFill>
                </w14:textFill>
              </w:rPr>
            </w:pPr>
            <w:r>
              <w:rPr>
                <w:rFonts w:ascii="Times New Roman" w:hAnsi="Times New Roman" w:eastAsia="Times New Roman" w:cs="Times New Roman"/>
                <w:b w:val="0"/>
                <w:bCs/>
                <w:color w:val="000000" w:themeColor="text1"/>
                <w:spacing w:val="-2"/>
                <w:sz w:val="24"/>
                <w:szCs w:val="24"/>
                <w14:textFill>
                  <w14:solidFill>
                    <w14:schemeClr w14:val="tx1"/>
                  </w14:solidFill>
                </w14:textFill>
              </w:rPr>
              <w:t>L</w:t>
            </w:r>
            <w:r>
              <w:rPr>
                <w:rFonts w:ascii="Times New Roman" w:hAnsi="Times New Roman" w:eastAsia="Times New Roman" w:cs="Times New Roman"/>
                <w:b w:val="0"/>
                <w:bCs/>
                <w:color w:val="000000" w:themeColor="text1"/>
                <w:spacing w:val="-2"/>
                <w:position w:val="-1"/>
                <w:sz w:val="15"/>
                <w:szCs w:val="15"/>
                <w14:textFill>
                  <w14:solidFill>
                    <w14:schemeClr w14:val="tx1"/>
                  </w14:solidFill>
                </w14:textFill>
              </w:rPr>
              <w:t>eqg</w:t>
            </w:r>
            <w:r>
              <w:rPr>
                <w:rFonts w:ascii="Times New Roman" w:hAnsi="Times New Roman" w:eastAsia="Times New Roman" w:cs="Times New Roman"/>
                <w:b w:val="0"/>
                <w:bCs/>
                <w:color w:val="000000" w:themeColor="text1"/>
                <w:spacing w:val="-2"/>
                <w:sz w:val="24"/>
                <w:szCs w:val="24"/>
                <w14:textFill>
                  <w14:solidFill>
                    <w14:schemeClr w14:val="tx1"/>
                  </w14:solidFill>
                </w14:textFill>
              </w:rPr>
              <w:t>——</w:t>
            </w:r>
            <w:r>
              <w:rPr>
                <w:b w:val="0"/>
                <w:bCs/>
                <w:color w:val="000000" w:themeColor="text1"/>
                <w:spacing w:val="-2"/>
                <w:sz w:val="24"/>
                <w:szCs w:val="24"/>
                <w14:textFill>
                  <w14:solidFill>
                    <w14:schemeClr w14:val="tx1"/>
                  </w14:solidFill>
                </w14:textFill>
              </w:rPr>
              <w:t>建设项目声源在预测点产生的噪声贡献值，</w:t>
            </w:r>
            <w:r>
              <w:rPr>
                <w:rFonts w:ascii="Times New Roman" w:hAnsi="Times New Roman" w:eastAsia="Times New Roman" w:cs="Times New Roman"/>
                <w:b w:val="0"/>
                <w:bCs/>
                <w:color w:val="000000" w:themeColor="text1"/>
                <w:spacing w:val="-3"/>
                <w:sz w:val="24"/>
                <w:szCs w:val="24"/>
                <w14:textFill>
                  <w14:solidFill>
                    <w14:schemeClr w14:val="tx1"/>
                  </w14:solidFill>
                </w14:textFill>
              </w:rPr>
              <w:t>dB</w:t>
            </w:r>
            <w:r>
              <w:rPr>
                <w:b w:val="0"/>
                <w:bCs/>
                <w:color w:val="000000" w:themeColor="text1"/>
                <w:spacing w:val="-3"/>
                <w:sz w:val="24"/>
                <w:szCs w:val="24"/>
                <w14:textFill>
                  <w14:solidFill>
                    <w14:schemeClr w14:val="tx1"/>
                  </w14:solidFill>
                </w14:textFill>
              </w:rPr>
              <w:t>；</w:t>
            </w:r>
            <w:r>
              <w:rPr>
                <w:rFonts w:ascii="Times New Roman" w:hAnsi="Times New Roman" w:eastAsia="Times New Roman" w:cs="Times New Roman"/>
                <w:b w:val="0"/>
                <w:bCs/>
                <w:color w:val="000000" w:themeColor="text1"/>
                <w:sz w:val="24"/>
                <w:szCs w:val="24"/>
                <w14:textFill>
                  <w14:solidFill>
                    <w14:schemeClr w14:val="tx1"/>
                  </w14:solidFill>
                </w14:textFill>
              </w:rPr>
              <w:t>L</w:t>
            </w:r>
            <w:r>
              <w:rPr>
                <w:rFonts w:ascii="Times New Roman" w:hAnsi="Times New Roman" w:eastAsia="Times New Roman" w:cs="Times New Roman"/>
                <w:b w:val="0"/>
                <w:bCs/>
                <w:color w:val="000000" w:themeColor="text1"/>
                <w:position w:val="-1"/>
                <w:sz w:val="15"/>
                <w:szCs w:val="15"/>
                <w14:textFill>
                  <w14:solidFill>
                    <w14:schemeClr w14:val="tx1"/>
                  </w14:solidFill>
                </w14:textFill>
              </w:rPr>
              <w:t>eq</w:t>
            </w:r>
            <w:r>
              <w:rPr>
                <w:rFonts w:ascii="Times New Roman" w:hAnsi="Times New Roman" w:eastAsia="Times New Roman" w:cs="Times New Roman"/>
                <w:b w:val="0"/>
                <w:bCs/>
                <w:color w:val="000000" w:themeColor="text1"/>
                <w:sz w:val="15"/>
                <w:szCs w:val="15"/>
                <w14:textFill>
                  <w14:solidFill>
                    <w14:schemeClr w14:val="tx1"/>
                  </w14:solidFill>
                </w14:textFill>
              </w:rPr>
              <w:t>b</w:t>
            </w:r>
            <w:r>
              <w:rPr>
                <w:rFonts w:ascii="Times New Roman" w:hAnsi="Times New Roman" w:eastAsia="Times New Roman" w:cs="Times New Roman"/>
                <w:b w:val="0"/>
                <w:bCs/>
                <w:color w:val="000000" w:themeColor="text1"/>
                <w:sz w:val="24"/>
                <w:szCs w:val="24"/>
                <w14:textFill>
                  <w14:solidFill>
                    <w14:schemeClr w14:val="tx1"/>
                  </w14:solidFill>
                </w14:textFill>
              </w:rPr>
              <w:t>——</w:t>
            </w:r>
            <w:r>
              <w:rPr>
                <w:b w:val="0"/>
                <w:bCs/>
                <w:color w:val="000000" w:themeColor="text1"/>
                <w:sz w:val="24"/>
                <w:szCs w:val="24"/>
                <w14:textFill>
                  <w14:solidFill>
                    <w14:schemeClr w14:val="tx1"/>
                  </w14:solidFill>
                </w14:textFill>
              </w:rPr>
              <w:t>预测点的背景噪声值，</w:t>
            </w:r>
            <w:r>
              <w:rPr>
                <w:rFonts w:ascii="Times New Roman" w:hAnsi="Times New Roman" w:eastAsia="Times New Roman" w:cs="Times New Roman"/>
                <w:b w:val="0"/>
                <w:bCs/>
                <w:color w:val="000000" w:themeColor="text1"/>
                <w:sz w:val="24"/>
                <w:szCs w:val="24"/>
                <w14:textFill>
                  <w14:solidFill>
                    <w14:schemeClr w14:val="tx1"/>
                  </w14:solidFill>
                </w14:textFill>
              </w:rPr>
              <w:t>dB</w:t>
            </w:r>
            <w:r>
              <w:rPr>
                <w:b w:val="0"/>
                <w:bCs/>
                <w:color w:val="000000" w:themeColor="text1"/>
                <w:sz w:val="24"/>
                <w:szCs w:val="24"/>
                <w14:textFill>
                  <w14:solidFill>
                    <w14:schemeClr w14:val="tx1"/>
                  </w14:solidFill>
                </w14:textFill>
              </w:rPr>
              <w:t>。</w:t>
            </w:r>
          </w:p>
          <w:p w14:paraId="25FF7167">
            <w:pPr>
              <w:pStyle w:val="3"/>
              <w:bidi w:val="0"/>
              <w:jc w:val="both"/>
              <w:rPr>
                <w:rFonts w:hint="eastAsia" w:eastAsia="宋体"/>
                <w:b w:val="0"/>
                <w:bCs/>
                <w:color w:val="000000" w:themeColor="text1"/>
                <w:spacing w:val="2"/>
                <w:lang w:eastAsia="zh-CN"/>
                <w14:textFill>
                  <w14:solidFill>
                    <w14:schemeClr w14:val="tx1"/>
                  </w14:solidFill>
                </w14:textFill>
              </w:rPr>
            </w:pPr>
            <w:r>
              <w:rPr>
                <w:rFonts w:hint="eastAsia"/>
                <w:b w:val="0"/>
                <w:bCs/>
                <w:color w:val="000000" w:themeColor="text1"/>
                <w:position w:val="2"/>
                <w:sz w:val="24"/>
                <w:szCs w:val="24"/>
                <w:lang w:eastAsia="zh-CN"/>
                <w14:textFill>
                  <w14:solidFill>
                    <w14:schemeClr w14:val="tx1"/>
                  </w14:solidFill>
                </w14:textFill>
              </w:rPr>
              <w:t>各噪声源距离厂界的距离如下表：</w:t>
            </w:r>
          </w:p>
          <w:p w14:paraId="5F359769">
            <w:pPr>
              <w:pStyle w:val="34"/>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 4-</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 xml:space="preserve">   本项目主要噪声源距离厂界及环境保护目标的距离</w:t>
            </w:r>
          </w:p>
          <w:tbl>
            <w:tblPr>
              <w:tblStyle w:val="84"/>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880"/>
              <w:gridCol w:w="2510"/>
              <w:gridCol w:w="2051"/>
              <w:gridCol w:w="2425"/>
            </w:tblGrid>
            <w:tr w14:paraId="326F6BE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559" w:type="pct"/>
                  <w:tcBorders>
                    <w:bottom w:val="single" w:color="000000" w:sz="12" w:space="0"/>
                  </w:tcBorders>
                  <w:vAlign w:val="top"/>
                </w:tcPr>
                <w:p w14:paraId="2D18EA31">
                  <w:pPr>
                    <w:pStyle w:val="83"/>
                    <w:spacing w:before="126" w:line="230" w:lineRule="auto"/>
                    <w:jc w:val="center"/>
                    <w:rPr>
                      <w:b/>
                      <w:bCs w:val="0"/>
                      <w:color w:val="000000" w:themeColor="text1"/>
                      <w:sz w:val="21"/>
                      <w:szCs w:val="21"/>
                      <w14:textFill>
                        <w14:solidFill>
                          <w14:schemeClr w14:val="tx1"/>
                        </w14:solidFill>
                      </w14:textFill>
                    </w:rPr>
                  </w:pPr>
                  <w:r>
                    <w:rPr>
                      <w:b/>
                      <w:bCs w:val="0"/>
                      <w:color w:val="000000" w:themeColor="text1"/>
                      <w:spacing w:val="5"/>
                      <w:sz w:val="21"/>
                      <w:szCs w:val="21"/>
                      <w14:textFill>
                        <w14:solidFill>
                          <w14:schemeClr w14:val="tx1"/>
                        </w14:solidFill>
                      </w14:textFill>
                    </w:rPr>
                    <w:t>序号</w:t>
                  </w:r>
                </w:p>
              </w:tc>
              <w:tc>
                <w:tcPr>
                  <w:tcW w:w="1595" w:type="pct"/>
                  <w:tcBorders>
                    <w:bottom w:val="single" w:color="000000" w:sz="12" w:space="0"/>
                  </w:tcBorders>
                  <w:vAlign w:val="top"/>
                </w:tcPr>
                <w:p w14:paraId="26D80606">
                  <w:pPr>
                    <w:pStyle w:val="83"/>
                    <w:spacing w:before="126" w:line="229" w:lineRule="auto"/>
                    <w:jc w:val="center"/>
                    <w:rPr>
                      <w:b/>
                      <w:bCs w:val="0"/>
                      <w:color w:val="000000" w:themeColor="text1"/>
                      <w:sz w:val="21"/>
                      <w:szCs w:val="21"/>
                      <w14:textFill>
                        <w14:solidFill>
                          <w14:schemeClr w14:val="tx1"/>
                        </w14:solidFill>
                      </w14:textFill>
                    </w:rPr>
                  </w:pPr>
                  <w:r>
                    <w:rPr>
                      <w:b/>
                      <w:bCs w:val="0"/>
                      <w:color w:val="000000" w:themeColor="text1"/>
                      <w:spacing w:val="3"/>
                      <w:sz w:val="21"/>
                      <w:szCs w:val="21"/>
                      <w14:textFill>
                        <w14:solidFill>
                          <w14:schemeClr w14:val="tx1"/>
                        </w14:solidFill>
                      </w14:textFill>
                    </w:rPr>
                    <w:t>噪声源</w:t>
                  </w:r>
                </w:p>
              </w:tc>
              <w:tc>
                <w:tcPr>
                  <w:tcW w:w="1303" w:type="pct"/>
                  <w:tcBorders>
                    <w:bottom w:val="single" w:color="000000" w:sz="12" w:space="0"/>
                  </w:tcBorders>
                  <w:vAlign w:val="top"/>
                </w:tcPr>
                <w:p w14:paraId="3AE995C2">
                  <w:pPr>
                    <w:pStyle w:val="83"/>
                    <w:spacing w:before="95" w:line="274" w:lineRule="exact"/>
                    <w:jc w:val="center"/>
                    <w:rPr>
                      <w:rFonts w:hint="eastAsia" w:ascii="Times New Roman" w:hAnsi="Times New Roman" w:eastAsia="宋体" w:cs="Times New Roman"/>
                      <w:b/>
                      <w:bCs w:val="0"/>
                      <w:color w:val="000000" w:themeColor="text1"/>
                      <w:sz w:val="21"/>
                      <w:szCs w:val="21"/>
                      <w:lang w:eastAsia="zh-CN"/>
                      <w14:textFill>
                        <w14:solidFill>
                          <w14:schemeClr w14:val="tx1"/>
                        </w14:solidFill>
                      </w14:textFill>
                    </w:rPr>
                  </w:pPr>
                  <w:r>
                    <w:rPr>
                      <w:b/>
                      <w:bCs w:val="0"/>
                      <w:color w:val="000000" w:themeColor="text1"/>
                      <w:spacing w:val="5"/>
                      <w:position w:val="2"/>
                      <w:sz w:val="21"/>
                      <w:szCs w:val="21"/>
                      <w14:textFill>
                        <w14:solidFill>
                          <w14:schemeClr w14:val="tx1"/>
                        </w14:solidFill>
                      </w14:textFill>
                    </w:rPr>
                    <w:t>厂界</w:t>
                  </w:r>
                  <w:r>
                    <w:rPr>
                      <w:rFonts w:hint="eastAsia" w:ascii="Times New Roman" w:hAnsi="Times New Roman" w:eastAsia="宋体" w:cs="Times New Roman"/>
                      <w:b/>
                      <w:bCs w:val="0"/>
                      <w:color w:val="000000" w:themeColor="text1"/>
                      <w:spacing w:val="5"/>
                      <w:position w:val="2"/>
                      <w:sz w:val="21"/>
                      <w:szCs w:val="21"/>
                      <w:lang w:eastAsia="zh-CN"/>
                      <w14:textFill>
                        <w14:solidFill>
                          <w14:schemeClr w14:val="tx1"/>
                        </w14:solidFill>
                      </w14:textFill>
                    </w:rPr>
                    <w:t>（</w:t>
                  </w:r>
                  <w:r>
                    <w:rPr>
                      <w:b/>
                      <w:bCs w:val="0"/>
                      <w:color w:val="000000" w:themeColor="text1"/>
                      <w:spacing w:val="5"/>
                      <w:position w:val="2"/>
                      <w:sz w:val="21"/>
                      <w:szCs w:val="21"/>
                      <w14:textFill>
                        <w14:solidFill>
                          <w14:schemeClr w14:val="tx1"/>
                        </w14:solidFill>
                      </w14:textFill>
                    </w:rPr>
                    <w:t>米</w:t>
                  </w:r>
                  <w:r>
                    <w:rPr>
                      <w:rFonts w:hint="eastAsia" w:ascii="Times New Roman" w:hAnsi="Times New Roman" w:eastAsia="宋体" w:cs="Times New Roman"/>
                      <w:b/>
                      <w:bCs w:val="0"/>
                      <w:color w:val="000000" w:themeColor="text1"/>
                      <w:spacing w:val="5"/>
                      <w:position w:val="2"/>
                      <w:sz w:val="21"/>
                      <w:szCs w:val="21"/>
                      <w:lang w:eastAsia="zh-CN"/>
                      <w14:textFill>
                        <w14:solidFill>
                          <w14:schemeClr w14:val="tx1"/>
                        </w14:solidFill>
                      </w14:textFill>
                    </w:rPr>
                    <w:t>）</w:t>
                  </w:r>
                </w:p>
              </w:tc>
              <w:tc>
                <w:tcPr>
                  <w:tcW w:w="1541" w:type="pct"/>
                  <w:tcBorders>
                    <w:bottom w:val="single" w:color="000000" w:sz="12" w:space="0"/>
                  </w:tcBorders>
                  <w:vAlign w:val="top"/>
                </w:tcPr>
                <w:p w14:paraId="3CEDED71">
                  <w:pPr>
                    <w:pStyle w:val="83"/>
                    <w:spacing w:before="95" w:line="274" w:lineRule="exact"/>
                    <w:jc w:val="center"/>
                    <w:rPr>
                      <w:rFonts w:hint="eastAsia" w:ascii="Times New Roman" w:hAnsi="Times New Roman" w:eastAsia="宋体" w:cs="Times New Roman"/>
                      <w:b/>
                      <w:bCs w:val="0"/>
                      <w:color w:val="000000" w:themeColor="text1"/>
                      <w:sz w:val="21"/>
                      <w:szCs w:val="21"/>
                      <w:lang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圣水华庭住宅楼（米）</w:t>
                  </w:r>
                </w:p>
              </w:tc>
            </w:tr>
            <w:tr w14:paraId="54C32EB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559" w:type="pct"/>
                  <w:tcBorders>
                    <w:top w:val="single" w:color="000000" w:sz="12" w:space="0"/>
                    <w:tl2br w:val="nil"/>
                    <w:tr2bl w:val="nil"/>
                  </w:tcBorders>
                  <w:vAlign w:val="top"/>
                </w:tcPr>
                <w:p w14:paraId="12C34BDA">
                  <w:pPr>
                    <w:spacing w:before="160" w:line="195" w:lineRule="auto"/>
                    <w:jc w:val="center"/>
                    <w:rPr>
                      <w:rFonts w:ascii="Times New Roman" w:hAnsi="Times New Roman" w:eastAsia="Times New Roman" w:cs="Times New Roman"/>
                      <w:b w:val="0"/>
                      <w:bCs/>
                      <w:color w:val="000000" w:themeColor="text1"/>
                      <w:sz w:val="21"/>
                      <w:szCs w:val="21"/>
                      <w14:textFill>
                        <w14:solidFill>
                          <w14:schemeClr w14:val="tx1"/>
                        </w14:solidFill>
                      </w14:textFill>
                    </w:rPr>
                  </w:pPr>
                  <w:r>
                    <w:rPr>
                      <w:rFonts w:ascii="Times New Roman" w:hAnsi="Times New Roman" w:eastAsia="Times New Roman" w:cs="Times New Roman"/>
                      <w:b w:val="0"/>
                      <w:bCs/>
                      <w:color w:val="000000" w:themeColor="text1"/>
                      <w:sz w:val="21"/>
                      <w:szCs w:val="21"/>
                      <w14:textFill>
                        <w14:solidFill>
                          <w14:schemeClr w14:val="tx1"/>
                        </w14:solidFill>
                      </w14:textFill>
                    </w:rPr>
                    <w:t>1</w:t>
                  </w:r>
                </w:p>
              </w:tc>
              <w:tc>
                <w:tcPr>
                  <w:tcW w:w="1595" w:type="pct"/>
                  <w:tcBorders>
                    <w:top w:val="single" w:color="000000" w:sz="12" w:space="0"/>
                    <w:tl2br w:val="nil"/>
                    <w:tr2bl w:val="nil"/>
                  </w:tcBorders>
                  <w:vAlign w:val="top"/>
                </w:tcPr>
                <w:p w14:paraId="20B37F5B">
                  <w:pPr>
                    <w:pStyle w:val="83"/>
                    <w:spacing w:before="122" w:line="229" w:lineRule="auto"/>
                    <w:jc w:val="center"/>
                    <w:rPr>
                      <w:b w:val="0"/>
                      <w:bCs/>
                      <w:color w:val="000000" w:themeColor="text1"/>
                      <w:sz w:val="21"/>
                      <w:szCs w:val="21"/>
                      <w14:textFill>
                        <w14:solidFill>
                          <w14:schemeClr w14:val="tx1"/>
                        </w14:solidFill>
                      </w14:textFill>
                    </w:rPr>
                  </w:pPr>
                  <w:r>
                    <w:rPr>
                      <w:b w:val="0"/>
                      <w:bCs/>
                      <w:color w:val="000000" w:themeColor="text1"/>
                      <w:spacing w:val="7"/>
                      <w:sz w:val="21"/>
                      <w:szCs w:val="21"/>
                      <w14:textFill>
                        <w14:solidFill>
                          <w14:schemeClr w14:val="tx1"/>
                        </w14:solidFill>
                      </w14:textFill>
                    </w:rPr>
                    <w:t>动物叫声</w:t>
                  </w:r>
                </w:p>
              </w:tc>
              <w:tc>
                <w:tcPr>
                  <w:tcW w:w="1303" w:type="pct"/>
                  <w:tcBorders>
                    <w:top w:val="single" w:color="000000" w:sz="12" w:space="0"/>
                    <w:tl2br w:val="nil"/>
                    <w:tr2bl w:val="nil"/>
                  </w:tcBorders>
                  <w:vAlign w:val="top"/>
                </w:tcPr>
                <w:p w14:paraId="55B86E91">
                  <w:pPr>
                    <w:spacing w:before="160" w:line="195" w:lineRule="auto"/>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spacing w:val="3"/>
                      <w:sz w:val="21"/>
                      <w:szCs w:val="21"/>
                      <w:lang w:val="en-US" w:eastAsia="zh-CN"/>
                      <w14:textFill>
                        <w14:solidFill>
                          <w14:schemeClr w14:val="tx1"/>
                        </w14:solidFill>
                      </w14:textFill>
                    </w:rPr>
                    <w:t>3</w:t>
                  </w:r>
                </w:p>
              </w:tc>
              <w:tc>
                <w:tcPr>
                  <w:tcW w:w="1541" w:type="pct"/>
                  <w:tcBorders>
                    <w:top w:val="single" w:color="000000" w:sz="12" w:space="0"/>
                    <w:tl2br w:val="nil"/>
                    <w:tr2bl w:val="nil"/>
                  </w:tcBorders>
                  <w:vAlign w:val="top"/>
                </w:tcPr>
                <w:p w14:paraId="15C82407">
                  <w:pPr>
                    <w:spacing w:before="160" w:line="195" w:lineRule="auto"/>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spacing w:val="-4"/>
                      <w:sz w:val="21"/>
                      <w:szCs w:val="21"/>
                      <w:lang w:val="en-US" w:eastAsia="zh-CN"/>
                      <w14:textFill>
                        <w14:solidFill>
                          <w14:schemeClr w14:val="tx1"/>
                        </w14:solidFill>
                      </w14:textFill>
                    </w:rPr>
                    <w:t>5</w:t>
                  </w:r>
                </w:p>
              </w:tc>
            </w:tr>
            <w:tr w14:paraId="3B52C94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8" w:hRule="atLeast"/>
              </w:trPr>
              <w:tc>
                <w:tcPr>
                  <w:tcW w:w="559" w:type="pct"/>
                  <w:tcBorders>
                    <w:tl2br w:val="nil"/>
                    <w:tr2bl w:val="nil"/>
                  </w:tcBorders>
                  <w:vAlign w:val="top"/>
                </w:tcPr>
                <w:p w14:paraId="4B2990C2">
                  <w:pPr>
                    <w:spacing w:before="161" w:line="195" w:lineRule="auto"/>
                    <w:jc w:val="center"/>
                    <w:rPr>
                      <w:rFonts w:ascii="Times New Roman" w:hAnsi="Times New Roman" w:eastAsia="Times New Roman" w:cs="Times New Roman"/>
                      <w:b w:val="0"/>
                      <w:bCs/>
                      <w:color w:val="000000" w:themeColor="text1"/>
                      <w:sz w:val="21"/>
                      <w:szCs w:val="21"/>
                      <w14:textFill>
                        <w14:solidFill>
                          <w14:schemeClr w14:val="tx1"/>
                        </w14:solidFill>
                      </w14:textFill>
                    </w:rPr>
                  </w:pPr>
                  <w:r>
                    <w:rPr>
                      <w:rFonts w:ascii="Times New Roman" w:hAnsi="Times New Roman" w:eastAsia="Times New Roman" w:cs="Times New Roman"/>
                      <w:b w:val="0"/>
                      <w:bCs/>
                      <w:color w:val="000000" w:themeColor="text1"/>
                      <w:sz w:val="21"/>
                      <w:szCs w:val="21"/>
                      <w14:textFill>
                        <w14:solidFill>
                          <w14:schemeClr w14:val="tx1"/>
                        </w14:solidFill>
                      </w14:textFill>
                    </w:rPr>
                    <w:t>2</w:t>
                  </w:r>
                </w:p>
              </w:tc>
              <w:tc>
                <w:tcPr>
                  <w:tcW w:w="1595" w:type="pct"/>
                  <w:tcBorders>
                    <w:tl2br w:val="nil"/>
                    <w:tr2bl w:val="nil"/>
                  </w:tcBorders>
                  <w:vAlign w:val="top"/>
                </w:tcPr>
                <w:p w14:paraId="1C75586D">
                  <w:pPr>
                    <w:pStyle w:val="83"/>
                    <w:spacing w:before="124" w:line="228" w:lineRule="auto"/>
                    <w:jc w:val="center"/>
                    <w:rPr>
                      <w:b w:val="0"/>
                      <w:bCs/>
                      <w:color w:val="000000" w:themeColor="text1"/>
                      <w:sz w:val="21"/>
                      <w:szCs w:val="21"/>
                      <w14:textFill>
                        <w14:solidFill>
                          <w14:schemeClr w14:val="tx1"/>
                        </w14:solidFill>
                      </w14:textFill>
                    </w:rPr>
                  </w:pPr>
                  <w:r>
                    <w:rPr>
                      <w:rFonts w:hint="default"/>
                      <w:b w:val="0"/>
                      <w:bCs/>
                      <w:color w:val="000000" w:themeColor="text1"/>
                      <w:sz w:val="21"/>
                      <w:szCs w:val="21"/>
                      <w:lang w:val="en-US" w:eastAsia="zh-CN"/>
                      <w14:textFill>
                        <w14:solidFill>
                          <w14:schemeClr w14:val="tx1"/>
                        </w14:solidFill>
                      </w14:textFill>
                    </w:rPr>
                    <w:t>医疗设备</w:t>
                  </w:r>
                </w:p>
              </w:tc>
              <w:tc>
                <w:tcPr>
                  <w:tcW w:w="1303" w:type="pct"/>
                  <w:tcBorders>
                    <w:tl2br w:val="nil"/>
                    <w:tr2bl w:val="nil"/>
                  </w:tcBorders>
                  <w:vAlign w:val="top"/>
                </w:tcPr>
                <w:p w14:paraId="1F563884">
                  <w:pPr>
                    <w:spacing w:before="160" w:line="195" w:lineRule="auto"/>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w:t>
                  </w:r>
                </w:p>
              </w:tc>
              <w:tc>
                <w:tcPr>
                  <w:tcW w:w="1541" w:type="pct"/>
                  <w:tcBorders>
                    <w:tl2br w:val="nil"/>
                    <w:tr2bl w:val="nil"/>
                  </w:tcBorders>
                  <w:vAlign w:val="top"/>
                </w:tcPr>
                <w:p w14:paraId="4FC05ECC">
                  <w:pPr>
                    <w:spacing w:before="160" w:line="195" w:lineRule="auto"/>
                    <w:jc w:val="cente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color w:val="000000" w:themeColor="text1"/>
                      <w:spacing w:val="1"/>
                      <w:sz w:val="21"/>
                      <w:szCs w:val="21"/>
                      <w:lang w:val="en-US" w:eastAsia="zh-CN"/>
                      <w14:textFill>
                        <w14:solidFill>
                          <w14:schemeClr w14:val="tx1"/>
                        </w14:solidFill>
                      </w14:textFill>
                    </w:rPr>
                    <w:t>5</w:t>
                  </w:r>
                </w:p>
              </w:tc>
            </w:tr>
          </w:tbl>
          <w:p w14:paraId="55CD4C7D">
            <w:pPr>
              <w:pStyle w:val="3"/>
              <w:bidi w:val="0"/>
              <w:jc w:val="both"/>
              <w:rPr>
                <w:rFonts w:hint="default" w:ascii="Times New Roman" w:hAnsi="Times New Roman" w:eastAsia="宋体" w:cs="Times New Roman"/>
                <w:color w:val="0000FF"/>
                <w:lang w:val="en-US" w:eastAsia="zh-CN"/>
              </w:rPr>
            </w:pPr>
            <w:r>
              <w:rPr>
                <w:rFonts w:hint="eastAsia" w:cs="Times New Roman"/>
                <w:color w:val="0000FF"/>
                <w:lang w:eastAsia="zh-CN"/>
              </w:rPr>
              <w:t>（</w:t>
            </w:r>
            <w:r>
              <w:rPr>
                <w:rFonts w:hint="eastAsia" w:cs="Times New Roman"/>
                <w:color w:val="0000FF"/>
                <w:lang w:val="en-US" w:eastAsia="zh-CN"/>
              </w:rPr>
              <w:t>2</w:t>
            </w:r>
            <w:r>
              <w:rPr>
                <w:rFonts w:hint="eastAsia" w:cs="Times New Roman"/>
                <w:color w:val="0000FF"/>
                <w:lang w:eastAsia="zh-CN"/>
              </w:rPr>
              <w:t>）</w:t>
            </w:r>
            <w:r>
              <w:rPr>
                <w:rFonts w:hint="eastAsia" w:cs="Times New Roman"/>
                <w:color w:val="0000FF"/>
                <w:lang w:val="en-US" w:eastAsia="zh-CN"/>
              </w:rPr>
              <w:t>预测结果</w:t>
            </w:r>
          </w:p>
          <w:p w14:paraId="058A317A">
            <w:pPr>
              <w:pStyle w:val="83"/>
              <w:keepNext w:val="0"/>
              <w:keepLines w:val="0"/>
              <w:pageBreakBefore w:val="0"/>
              <w:widowControl w:val="0"/>
              <w:kinsoku/>
              <w:wordWrap/>
              <w:overflowPunct/>
              <w:topLinePunct w:val="0"/>
              <w:autoSpaceDE/>
              <w:autoSpaceDN/>
              <w:bidi w:val="0"/>
              <w:adjustRightInd w:val="0"/>
              <w:snapToGrid/>
              <w:spacing w:line="360" w:lineRule="auto"/>
              <w:ind w:left="0" w:firstLine="476" w:firstLineChars="200"/>
              <w:jc w:val="both"/>
              <w:textAlignment w:val="auto"/>
              <w:rPr>
                <w:rFonts w:hint="eastAsia" w:eastAsia="宋体"/>
                <w:b w:val="0"/>
                <w:bCs/>
                <w:color w:val="0000FF"/>
                <w:sz w:val="24"/>
                <w:szCs w:val="24"/>
                <w:lang w:eastAsia="zh-CN"/>
              </w:rPr>
            </w:pPr>
            <w:r>
              <w:rPr>
                <w:rFonts w:hint="eastAsia"/>
                <w:b w:val="0"/>
                <w:bCs/>
                <w:color w:val="0000FF"/>
                <w:spacing w:val="-1"/>
                <w:sz w:val="24"/>
                <w:szCs w:val="24"/>
              </w:rPr>
              <w:t>结合项目主要噪声源分布情况，</w:t>
            </w:r>
            <w:r>
              <w:rPr>
                <w:rFonts w:hint="eastAsia"/>
                <w:b w:val="0"/>
                <w:bCs/>
                <w:color w:val="0000FF"/>
                <w:spacing w:val="-1"/>
                <w:sz w:val="24"/>
                <w:szCs w:val="24"/>
                <w:lang w:val="en-US" w:eastAsia="zh-CN"/>
              </w:rPr>
              <w:t>本</w:t>
            </w:r>
            <w:r>
              <w:rPr>
                <w:rFonts w:hint="eastAsia"/>
                <w:b w:val="0"/>
                <w:bCs/>
                <w:color w:val="0000FF"/>
                <w:spacing w:val="-1"/>
                <w:sz w:val="24"/>
                <w:szCs w:val="24"/>
              </w:rPr>
              <w:t>项目夜间</w:t>
            </w:r>
            <w:r>
              <w:rPr>
                <w:rFonts w:hint="eastAsia"/>
                <w:b w:val="0"/>
                <w:bCs/>
                <w:color w:val="0000FF"/>
                <w:spacing w:val="-1"/>
                <w:sz w:val="24"/>
                <w:szCs w:val="24"/>
                <w:lang w:val="en-US" w:eastAsia="zh-CN"/>
              </w:rPr>
              <w:t>不营业</w:t>
            </w:r>
            <w:r>
              <w:rPr>
                <w:rFonts w:hint="eastAsia"/>
                <w:b w:val="0"/>
                <w:bCs/>
                <w:color w:val="0000FF"/>
                <w:spacing w:val="-1"/>
                <w:sz w:val="24"/>
                <w:szCs w:val="24"/>
                <w:lang w:eastAsia="zh-CN"/>
              </w:rPr>
              <w:t>，采用上述预测模式计算得到</w:t>
            </w:r>
            <w:r>
              <w:rPr>
                <w:b w:val="0"/>
                <w:bCs/>
                <w:color w:val="0000FF"/>
                <w:spacing w:val="-1"/>
                <w:sz w:val="24"/>
                <w:szCs w:val="24"/>
              </w:rPr>
              <w:t>项目各厂界</w:t>
            </w:r>
            <w:r>
              <w:rPr>
                <w:rFonts w:hint="eastAsia"/>
                <w:b w:val="0"/>
                <w:bCs/>
                <w:color w:val="0000FF"/>
                <w:spacing w:val="-1"/>
                <w:sz w:val="24"/>
                <w:szCs w:val="24"/>
                <w:lang w:val="en-US" w:eastAsia="zh-CN"/>
              </w:rPr>
              <w:t>及声环境保护目标</w:t>
            </w:r>
            <w:r>
              <w:rPr>
                <w:b w:val="0"/>
                <w:bCs/>
                <w:color w:val="0000FF"/>
                <w:spacing w:val="-1"/>
                <w:sz w:val="24"/>
                <w:szCs w:val="24"/>
              </w:rPr>
              <w:t>噪声预测结果见下表</w:t>
            </w:r>
            <w:r>
              <w:rPr>
                <w:rFonts w:hint="eastAsia"/>
                <w:b w:val="0"/>
                <w:bCs/>
                <w:color w:val="0000FF"/>
                <w:spacing w:val="-1"/>
                <w:sz w:val="24"/>
                <w:szCs w:val="24"/>
                <w:lang w:eastAsia="zh-CN"/>
              </w:rPr>
              <w:t>。</w:t>
            </w:r>
          </w:p>
          <w:p w14:paraId="42CD00D5">
            <w:pPr>
              <w:pStyle w:val="34"/>
              <w:bidi w:val="0"/>
              <w:jc w:val="center"/>
              <w:rPr>
                <w:rFonts w:hint="eastAsia" w:ascii="Times New Roman" w:hAnsi="Times New Roman" w:eastAsia="宋体" w:cs="Times New Roman"/>
                <w:color w:val="0000FF"/>
                <w:sz w:val="21"/>
                <w:szCs w:val="21"/>
                <w:lang w:eastAsia="zh-CN"/>
              </w:rPr>
            </w:pPr>
            <w:r>
              <w:rPr>
                <w:rFonts w:hint="default" w:ascii="Times New Roman" w:hAnsi="Times New Roman" w:cs="Times New Roman"/>
                <w:color w:val="0000FF"/>
                <w:sz w:val="21"/>
                <w:szCs w:val="21"/>
              </w:rPr>
              <w:t>表4-</w:t>
            </w:r>
            <w:r>
              <w:rPr>
                <w:rFonts w:hint="eastAsia" w:cs="Times New Roman"/>
                <w:color w:val="0000FF"/>
                <w:sz w:val="21"/>
                <w:szCs w:val="21"/>
                <w:lang w:val="en-US" w:eastAsia="zh-CN"/>
              </w:rPr>
              <w:t>6</w:t>
            </w:r>
            <w:r>
              <w:rPr>
                <w:rFonts w:hint="default" w:ascii="Times New Roman" w:hAnsi="Times New Roman" w:cs="Times New Roman"/>
                <w:color w:val="0000FF"/>
                <w:sz w:val="21"/>
                <w:szCs w:val="21"/>
              </w:rPr>
              <w:t xml:space="preserve">   项目厂界噪声排放预测结果    单位：dB</w:t>
            </w:r>
            <w:r>
              <w:rPr>
                <w:rFonts w:hint="eastAsia" w:cs="Times New Roman"/>
                <w:color w:val="0000FF"/>
                <w:sz w:val="21"/>
                <w:szCs w:val="21"/>
                <w:lang w:eastAsia="zh-CN"/>
              </w:rPr>
              <w:t>（</w:t>
            </w:r>
            <w:r>
              <w:rPr>
                <w:rFonts w:hint="default" w:ascii="Times New Roman" w:hAnsi="Times New Roman" w:cs="Times New Roman"/>
                <w:color w:val="0000FF"/>
                <w:sz w:val="21"/>
                <w:szCs w:val="21"/>
              </w:rPr>
              <w:t>A</w:t>
            </w:r>
            <w:r>
              <w:rPr>
                <w:rFonts w:hint="eastAsia" w:cs="Times New Roman"/>
                <w:color w:val="0000FF"/>
                <w:sz w:val="21"/>
                <w:szCs w:val="21"/>
                <w:lang w:eastAsia="zh-CN"/>
              </w:rPr>
              <w:t>）</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366"/>
              <w:gridCol w:w="4500"/>
            </w:tblGrid>
            <w:tr w14:paraId="0BE9F7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2" w:hRule="atLeast"/>
                <w:tblHeader/>
                <w:jc w:val="center"/>
              </w:trPr>
              <w:tc>
                <w:tcPr>
                  <w:tcW w:w="2139" w:type="pct"/>
                  <w:vMerge w:val="restart"/>
                  <w:tcBorders>
                    <w:bottom w:val="single" w:color="auto" w:sz="4" w:space="0"/>
                  </w:tcBorders>
                  <w:noWrap w:val="0"/>
                  <w:vAlign w:val="center"/>
                </w:tcPr>
                <w:p w14:paraId="327C16C8">
                  <w:pPr>
                    <w:pStyle w:val="35"/>
                    <w:bidi w:val="0"/>
                    <w:rPr>
                      <w:rFonts w:hint="default" w:ascii="Times New Roman" w:hAnsi="Times New Roman" w:cs="Times New Roman"/>
                      <w:b/>
                      <w:bCs/>
                      <w:color w:val="0000FF"/>
                      <w:lang w:val="en-US" w:eastAsia="zh-CN"/>
                    </w:rPr>
                  </w:pPr>
                  <w:r>
                    <w:rPr>
                      <w:rFonts w:hint="eastAsia" w:cs="Times New Roman"/>
                      <w:b/>
                      <w:bCs/>
                      <w:color w:val="0000FF"/>
                      <w:lang w:val="en-US" w:eastAsia="zh-CN"/>
                    </w:rPr>
                    <w:t>类别</w:t>
                  </w:r>
                </w:p>
              </w:tc>
              <w:tc>
                <w:tcPr>
                  <w:tcW w:w="2860" w:type="pct"/>
                  <w:tcBorders>
                    <w:bottom w:val="single" w:color="auto" w:sz="4" w:space="0"/>
                  </w:tcBorders>
                  <w:noWrap w:val="0"/>
                  <w:vAlign w:val="center"/>
                </w:tcPr>
                <w:p w14:paraId="37F2B9D9">
                  <w:pPr>
                    <w:pStyle w:val="35"/>
                    <w:bidi w:val="0"/>
                    <w:rPr>
                      <w:rFonts w:hint="default" w:ascii="Times New Roman" w:hAnsi="Times New Roman" w:cs="Times New Roman"/>
                      <w:b/>
                      <w:bCs/>
                      <w:color w:val="0000FF"/>
                      <w:lang w:val="en-US"/>
                    </w:rPr>
                  </w:pPr>
                  <w:r>
                    <w:rPr>
                      <w:rFonts w:hint="eastAsia" w:cs="Times New Roman"/>
                      <w:b/>
                      <w:bCs/>
                      <w:color w:val="0000FF"/>
                      <w:lang w:val="en-US" w:eastAsia="zh-CN"/>
                    </w:rPr>
                    <w:t>边界噪声</w:t>
                  </w:r>
                </w:p>
              </w:tc>
            </w:tr>
            <w:tr w14:paraId="72271A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2" w:hRule="atLeast"/>
                <w:jc w:val="center"/>
              </w:trPr>
              <w:tc>
                <w:tcPr>
                  <w:tcW w:w="2139" w:type="pct"/>
                  <w:vMerge w:val="continue"/>
                  <w:tcBorders>
                    <w:top w:val="single" w:color="auto" w:sz="4" w:space="0"/>
                    <w:bottom w:val="single" w:color="auto" w:sz="12" w:space="0"/>
                  </w:tcBorders>
                  <w:noWrap w:val="0"/>
                  <w:vAlign w:val="center"/>
                </w:tcPr>
                <w:p w14:paraId="2BCBF181">
                  <w:pPr>
                    <w:pStyle w:val="35"/>
                    <w:bidi w:val="0"/>
                    <w:rPr>
                      <w:rFonts w:hint="default" w:ascii="Times New Roman" w:hAnsi="Times New Roman" w:cs="Times New Roman"/>
                      <w:b/>
                      <w:bCs/>
                      <w:color w:val="0000FF"/>
                      <w:lang w:val="en-US"/>
                    </w:rPr>
                  </w:pPr>
                </w:p>
              </w:tc>
              <w:tc>
                <w:tcPr>
                  <w:tcW w:w="2860" w:type="pct"/>
                  <w:tcBorders>
                    <w:top w:val="single" w:color="auto" w:sz="4" w:space="0"/>
                    <w:bottom w:val="single" w:color="auto" w:sz="12" w:space="0"/>
                  </w:tcBorders>
                  <w:noWrap w:val="0"/>
                  <w:vAlign w:val="center"/>
                </w:tcPr>
                <w:p w14:paraId="532A2A0D">
                  <w:pPr>
                    <w:pStyle w:val="35"/>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昼</w:t>
                  </w:r>
                  <w:r>
                    <w:rPr>
                      <w:rFonts w:hint="eastAsia" w:cs="Times New Roman"/>
                      <w:b/>
                      <w:bCs/>
                      <w:color w:val="0000FF"/>
                      <w:lang w:val="en-US" w:eastAsia="zh-CN"/>
                    </w:rPr>
                    <w:t>间</w:t>
                  </w:r>
                </w:p>
              </w:tc>
            </w:tr>
            <w:tr w14:paraId="6944E1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6" w:hRule="atLeast"/>
                <w:jc w:val="center"/>
              </w:trPr>
              <w:tc>
                <w:tcPr>
                  <w:tcW w:w="2139" w:type="pct"/>
                  <w:tcBorders>
                    <w:top w:val="single" w:color="auto" w:sz="12" w:space="0"/>
                    <w:bottom w:val="single" w:color="auto" w:sz="4" w:space="0"/>
                  </w:tcBorders>
                  <w:noWrap w:val="0"/>
                  <w:vAlign w:val="center"/>
                </w:tcPr>
                <w:p w14:paraId="2FCB007D">
                  <w:pPr>
                    <w:pStyle w:val="35"/>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贡献值</w:t>
                  </w:r>
                </w:p>
              </w:tc>
              <w:tc>
                <w:tcPr>
                  <w:tcW w:w="2860" w:type="pct"/>
                  <w:tcBorders>
                    <w:top w:val="single" w:color="auto" w:sz="12" w:space="0"/>
                    <w:bottom w:val="single" w:color="auto" w:sz="4" w:space="0"/>
                  </w:tcBorders>
                  <w:noWrap w:val="0"/>
                  <w:vAlign w:val="bottom"/>
                </w:tcPr>
                <w:p w14:paraId="0CF03BAD">
                  <w:pPr>
                    <w:pStyle w:val="35"/>
                    <w:bidi w:val="0"/>
                    <w:rPr>
                      <w:rFonts w:hint="default" w:ascii="Times New Roman" w:hAnsi="Times New Roman" w:cs="Times New Roman"/>
                      <w:color w:val="0000FF"/>
                      <w:lang w:val="en-US" w:eastAsia="zh-CN"/>
                    </w:rPr>
                  </w:pPr>
                  <w:r>
                    <w:rPr>
                      <w:rFonts w:hint="eastAsia" w:cs="Times New Roman"/>
                      <w:color w:val="0000FF"/>
                      <w:lang w:val="en-US" w:eastAsia="zh-CN"/>
                    </w:rPr>
                    <w:t>38</w:t>
                  </w:r>
                </w:p>
              </w:tc>
            </w:tr>
            <w:tr w14:paraId="18B326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6" w:hRule="atLeast"/>
                <w:jc w:val="center"/>
              </w:trPr>
              <w:tc>
                <w:tcPr>
                  <w:tcW w:w="2139" w:type="pct"/>
                  <w:tcBorders>
                    <w:top w:val="single" w:color="auto" w:sz="4" w:space="0"/>
                    <w:bottom w:val="single" w:color="000000" w:sz="12" w:space="0"/>
                  </w:tcBorders>
                  <w:noWrap w:val="0"/>
                  <w:vAlign w:val="center"/>
                </w:tcPr>
                <w:p w14:paraId="6690EC95">
                  <w:pPr>
                    <w:pStyle w:val="35"/>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标准值</w:t>
                  </w:r>
                </w:p>
              </w:tc>
              <w:tc>
                <w:tcPr>
                  <w:tcW w:w="2860" w:type="pct"/>
                  <w:tcBorders>
                    <w:top w:val="single" w:color="auto" w:sz="4" w:space="0"/>
                    <w:bottom w:val="single" w:color="000000" w:sz="12" w:space="0"/>
                  </w:tcBorders>
                  <w:noWrap w:val="0"/>
                  <w:vAlign w:val="center"/>
                </w:tcPr>
                <w:p w14:paraId="2CAE999E">
                  <w:pPr>
                    <w:bidi w:val="0"/>
                    <w:jc w:val="center"/>
                    <w:rPr>
                      <w:rFonts w:hint="default" w:ascii="Times New Roman" w:hAnsi="Times New Roman" w:eastAsia="宋体" w:cs="Times New Roman"/>
                      <w:b w:val="0"/>
                      <w:color w:val="0000FF"/>
                      <w:kern w:val="2"/>
                      <w:sz w:val="21"/>
                      <w:szCs w:val="24"/>
                      <w:lang w:val="en-US" w:eastAsia="zh-CN" w:bidi="ar-SA"/>
                    </w:rPr>
                  </w:pPr>
                  <w:r>
                    <w:rPr>
                      <w:rFonts w:hint="default" w:ascii="Times New Roman" w:hAnsi="Times New Roman" w:eastAsia="宋体" w:cs="Times New Roman"/>
                      <w:b w:val="0"/>
                      <w:color w:val="0000FF"/>
                      <w:kern w:val="2"/>
                      <w:sz w:val="21"/>
                      <w:szCs w:val="24"/>
                      <w:lang w:val="zh-TW" w:eastAsia="zh-TW" w:bidi="ar-SA"/>
                    </w:rPr>
                    <w:t>6</w:t>
                  </w:r>
                  <w:r>
                    <w:rPr>
                      <w:rFonts w:hint="default" w:ascii="Times New Roman" w:hAnsi="Times New Roman" w:eastAsia="宋体" w:cs="Times New Roman"/>
                      <w:b w:val="0"/>
                      <w:color w:val="0000FF"/>
                      <w:kern w:val="2"/>
                      <w:sz w:val="21"/>
                      <w:szCs w:val="24"/>
                      <w:lang w:val="en-US" w:eastAsia="zh-CN" w:bidi="ar-SA"/>
                    </w:rPr>
                    <w:t>0</w:t>
                  </w:r>
                </w:p>
              </w:tc>
            </w:tr>
          </w:tbl>
          <w:p w14:paraId="7171868D">
            <w:pPr>
              <w:pStyle w:val="34"/>
              <w:bidi w:val="0"/>
              <w:jc w:val="center"/>
              <w:rPr>
                <w:rFonts w:hint="default" w:ascii="Times New Roman" w:hAnsi="Times New Roman" w:cs="Times New Roman"/>
                <w:color w:val="0000FF"/>
                <w:sz w:val="21"/>
                <w:szCs w:val="21"/>
                <w:lang w:eastAsia="zh-CN"/>
              </w:rPr>
            </w:pPr>
            <w:r>
              <w:rPr>
                <w:rFonts w:hint="default" w:ascii="Times New Roman" w:hAnsi="Times New Roman" w:cs="Times New Roman"/>
                <w:color w:val="0000FF"/>
                <w:sz w:val="21"/>
                <w:szCs w:val="21"/>
              </w:rPr>
              <w:t>表4-</w:t>
            </w:r>
            <w:r>
              <w:rPr>
                <w:rFonts w:hint="eastAsia" w:cs="Times New Roman"/>
                <w:color w:val="0000FF"/>
                <w:sz w:val="21"/>
                <w:szCs w:val="21"/>
                <w:lang w:val="en-US" w:eastAsia="zh-CN"/>
              </w:rPr>
              <w:t>7</w:t>
            </w:r>
            <w:r>
              <w:rPr>
                <w:rFonts w:hint="default" w:ascii="Times New Roman" w:hAnsi="Times New Roman" w:cs="Times New Roman"/>
                <w:color w:val="0000FF"/>
                <w:sz w:val="21"/>
                <w:szCs w:val="21"/>
              </w:rPr>
              <w:t xml:space="preserve">   项目对声环境保护目标处噪声结果</w:t>
            </w:r>
            <w:r>
              <w:rPr>
                <w:rFonts w:hint="eastAsia" w:cs="Times New Roman"/>
                <w:color w:val="0000FF"/>
                <w:sz w:val="21"/>
                <w:szCs w:val="21"/>
                <w:lang w:val="en-US" w:eastAsia="zh-CN"/>
              </w:rPr>
              <w:t>分析</w:t>
            </w:r>
            <w:r>
              <w:rPr>
                <w:rFonts w:hint="default" w:ascii="Times New Roman" w:hAnsi="Times New Roman" w:cs="Times New Roman"/>
                <w:color w:val="0000FF"/>
                <w:sz w:val="21"/>
                <w:szCs w:val="21"/>
              </w:rPr>
              <w:t xml:space="preserve">    单位：dB</w:t>
            </w:r>
            <w:r>
              <w:rPr>
                <w:rFonts w:hint="default" w:ascii="Times New Roman" w:hAnsi="Times New Roman" w:cs="Times New Roman"/>
                <w:color w:val="0000FF"/>
                <w:sz w:val="21"/>
                <w:szCs w:val="21"/>
                <w:lang w:eastAsia="zh-CN"/>
              </w:rPr>
              <w:t>（</w:t>
            </w:r>
            <w:r>
              <w:rPr>
                <w:rFonts w:hint="default" w:ascii="Times New Roman" w:hAnsi="Times New Roman" w:cs="Times New Roman"/>
                <w:color w:val="0000FF"/>
                <w:sz w:val="21"/>
                <w:szCs w:val="21"/>
              </w:rPr>
              <w:t>A</w:t>
            </w:r>
            <w:r>
              <w:rPr>
                <w:rFonts w:hint="default" w:ascii="Times New Roman" w:hAnsi="Times New Roman" w:cs="Times New Roman"/>
                <w:color w:val="0000FF"/>
                <w:sz w:val="21"/>
                <w:szCs w:val="21"/>
                <w:lang w:eastAsia="zh-CN"/>
              </w:rPr>
              <w:t>）</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151"/>
              <w:gridCol w:w="1326"/>
              <w:gridCol w:w="1215"/>
              <w:gridCol w:w="1217"/>
              <w:gridCol w:w="1217"/>
            </w:tblGrid>
            <w:tr w14:paraId="56AB9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pct"/>
                  <w:vMerge w:val="restart"/>
                  <w:tcBorders>
                    <w:tl2br w:val="nil"/>
                    <w:tr2bl w:val="nil"/>
                  </w:tcBorders>
                  <w:noWrap w:val="0"/>
                  <w:vAlign w:val="center"/>
                </w:tcPr>
                <w:p w14:paraId="04D7033C">
                  <w:pPr>
                    <w:pStyle w:val="35"/>
                    <w:bidi w:val="0"/>
                    <w:rPr>
                      <w:rFonts w:hint="default" w:ascii="Times New Roman" w:hAnsi="Times New Roman" w:eastAsia="宋体" w:cs="Times New Roman"/>
                      <w:b/>
                      <w:bCs/>
                      <w:color w:val="0000FF"/>
                      <w:lang w:val="en-US" w:eastAsia="zh-CN"/>
                    </w:rPr>
                  </w:pPr>
                  <w:r>
                    <w:rPr>
                      <w:rFonts w:hint="eastAsia" w:cs="Times New Roman"/>
                      <w:b/>
                      <w:bCs/>
                      <w:color w:val="0000FF"/>
                      <w:lang w:val="en-US" w:eastAsia="zh-CN"/>
                    </w:rPr>
                    <w:t>预测点</w:t>
                  </w:r>
                </w:p>
              </w:tc>
              <w:tc>
                <w:tcPr>
                  <w:tcW w:w="731" w:type="pct"/>
                  <w:tcBorders>
                    <w:bottom w:val="single" w:color="auto" w:sz="6" w:space="0"/>
                  </w:tcBorders>
                  <w:noWrap w:val="0"/>
                  <w:vAlign w:val="center"/>
                </w:tcPr>
                <w:p w14:paraId="56B2F686">
                  <w:pPr>
                    <w:pStyle w:val="35"/>
                    <w:bidi w:val="0"/>
                    <w:rPr>
                      <w:rFonts w:hint="eastAsia" w:ascii="Times New Roman" w:hAnsi="Times New Roman" w:eastAsia="宋体" w:cs="Times New Roman"/>
                      <w:b/>
                      <w:bCs/>
                      <w:color w:val="0000FF"/>
                      <w:lang w:val="en-US" w:eastAsia="zh-CN"/>
                    </w:rPr>
                  </w:pPr>
                  <w:r>
                    <w:rPr>
                      <w:rFonts w:hint="eastAsia" w:cs="Times New Roman"/>
                      <w:b/>
                      <w:bCs/>
                      <w:color w:val="0000FF"/>
                      <w:lang w:val="en-US" w:eastAsia="zh-CN"/>
                    </w:rPr>
                    <w:t>贡献值</w:t>
                  </w:r>
                </w:p>
              </w:tc>
              <w:tc>
                <w:tcPr>
                  <w:tcW w:w="842" w:type="pct"/>
                  <w:tcBorders>
                    <w:bottom w:val="single" w:color="auto" w:sz="6" w:space="0"/>
                  </w:tcBorders>
                  <w:noWrap w:val="0"/>
                  <w:vAlign w:val="center"/>
                </w:tcPr>
                <w:p w14:paraId="7F3CAC6C">
                  <w:pPr>
                    <w:pStyle w:val="35"/>
                    <w:bidi w:val="0"/>
                    <w:rPr>
                      <w:rFonts w:hint="eastAsia" w:ascii="Times New Roman" w:hAnsi="Times New Roman" w:eastAsia="宋体" w:cs="Times New Roman"/>
                      <w:b/>
                      <w:bCs/>
                      <w:color w:val="0000FF"/>
                      <w:lang w:val="en-US" w:eastAsia="zh-CN"/>
                    </w:rPr>
                  </w:pPr>
                  <w:r>
                    <w:rPr>
                      <w:rFonts w:hint="eastAsia" w:cs="Times New Roman"/>
                      <w:b/>
                      <w:bCs/>
                      <w:color w:val="0000FF"/>
                      <w:lang w:val="en-US" w:eastAsia="zh-CN"/>
                    </w:rPr>
                    <w:t>背景值</w:t>
                  </w:r>
                </w:p>
              </w:tc>
              <w:tc>
                <w:tcPr>
                  <w:tcW w:w="772" w:type="pct"/>
                  <w:tcBorders>
                    <w:tl2br w:val="nil"/>
                    <w:tr2bl w:val="nil"/>
                  </w:tcBorders>
                  <w:noWrap w:val="0"/>
                  <w:vAlign w:val="center"/>
                </w:tcPr>
                <w:p w14:paraId="1CB137B0">
                  <w:pPr>
                    <w:pStyle w:val="35"/>
                    <w:bidi w:val="0"/>
                    <w:rPr>
                      <w:rFonts w:hint="default" w:cs="Times New Roman"/>
                      <w:b/>
                      <w:bCs/>
                      <w:color w:val="0000FF"/>
                      <w:lang w:val="en-US" w:eastAsia="zh-CN"/>
                    </w:rPr>
                  </w:pPr>
                  <w:r>
                    <w:rPr>
                      <w:rFonts w:hint="eastAsia" w:cs="Times New Roman"/>
                      <w:b/>
                      <w:bCs/>
                      <w:color w:val="0000FF"/>
                      <w:lang w:val="en-US" w:eastAsia="zh-CN"/>
                    </w:rPr>
                    <w:t>预测值</w:t>
                  </w:r>
                </w:p>
              </w:tc>
              <w:tc>
                <w:tcPr>
                  <w:tcW w:w="773" w:type="pct"/>
                  <w:tcBorders>
                    <w:tl2br w:val="nil"/>
                    <w:tr2bl w:val="nil"/>
                  </w:tcBorders>
                  <w:noWrap w:val="0"/>
                  <w:vAlign w:val="center"/>
                </w:tcPr>
                <w:p w14:paraId="27791CAA">
                  <w:pPr>
                    <w:pStyle w:val="35"/>
                    <w:bidi w:val="0"/>
                    <w:rPr>
                      <w:rFonts w:hint="default" w:cs="Times New Roman"/>
                      <w:b/>
                      <w:bCs/>
                      <w:color w:val="0000FF"/>
                      <w:lang w:val="en-US" w:eastAsia="zh-CN"/>
                    </w:rPr>
                  </w:pPr>
                  <w:r>
                    <w:rPr>
                      <w:rFonts w:hint="eastAsia" w:cs="Times New Roman"/>
                      <w:b/>
                      <w:bCs/>
                      <w:color w:val="0000FF"/>
                      <w:lang w:val="en-US" w:eastAsia="zh-CN"/>
                    </w:rPr>
                    <w:t>标准值</w:t>
                  </w:r>
                </w:p>
              </w:tc>
              <w:tc>
                <w:tcPr>
                  <w:tcW w:w="773" w:type="pct"/>
                  <w:vMerge w:val="restart"/>
                  <w:tcBorders>
                    <w:tl2br w:val="nil"/>
                    <w:tr2bl w:val="nil"/>
                  </w:tcBorders>
                  <w:noWrap w:val="0"/>
                  <w:vAlign w:val="center"/>
                </w:tcPr>
                <w:p w14:paraId="4F3FD562">
                  <w:pPr>
                    <w:pStyle w:val="35"/>
                    <w:bidi w:val="0"/>
                    <w:rPr>
                      <w:rFonts w:hint="default" w:ascii="Times New Roman" w:hAnsi="Times New Roman" w:eastAsia="宋体" w:cs="Times New Roman"/>
                      <w:b/>
                      <w:bCs/>
                      <w:color w:val="0000FF"/>
                      <w:lang w:val="en-US" w:eastAsia="zh-CN"/>
                    </w:rPr>
                  </w:pPr>
                  <w:r>
                    <w:rPr>
                      <w:rFonts w:hint="eastAsia" w:cs="Times New Roman"/>
                      <w:b/>
                      <w:bCs/>
                      <w:color w:val="0000FF"/>
                      <w:lang w:val="en-US" w:eastAsia="zh-CN"/>
                    </w:rPr>
                    <w:t>达标情况</w:t>
                  </w:r>
                </w:p>
              </w:tc>
            </w:tr>
            <w:tr w14:paraId="4C6CA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pct"/>
                  <w:vMerge w:val="continue"/>
                  <w:tcBorders>
                    <w:bottom w:val="single" w:color="000000" w:sz="12" w:space="0"/>
                    <w:tl2br w:val="nil"/>
                    <w:tr2bl w:val="nil"/>
                  </w:tcBorders>
                  <w:noWrap w:val="0"/>
                  <w:vAlign w:val="center"/>
                </w:tcPr>
                <w:p w14:paraId="688175FA">
                  <w:pPr>
                    <w:pStyle w:val="35"/>
                    <w:bidi w:val="0"/>
                    <w:rPr>
                      <w:rFonts w:hint="eastAsia" w:cs="Times New Roman"/>
                      <w:b/>
                      <w:bCs/>
                      <w:color w:val="0000FF"/>
                      <w:lang w:val="en-US" w:eastAsia="zh-CN"/>
                    </w:rPr>
                  </w:pPr>
                </w:p>
              </w:tc>
              <w:tc>
                <w:tcPr>
                  <w:tcW w:w="731" w:type="pct"/>
                  <w:tcBorders>
                    <w:top w:val="single" w:color="auto" w:sz="6" w:space="0"/>
                    <w:bottom w:val="single" w:color="auto" w:sz="12" w:space="0"/>
                  </w:tcBorders>
                  <w:noWrap w:val="0"/>
                  <w:vAlign w:val="center"/>
                </w:tcPr>
                <w:p w14:paraId="3947C8DA">
                  <w:pPr>
                    <w:pStyle w:val="35"/>
                    <w:bidi w:val="0"/>
                    <w:rPr>
                      <w:rFonts w:hint="default" w:cs="Times New Roman"/>
                      <w:b/>
                      <w:bCs/>
                      <w:color w:val="0000FF"/>
                      <w:lang w:val="en-US" w:eastAsia="zh-CN"/>
                    </w:rPr>
                  </w:pPr>
                  <w:r>
                    <w:rPr>
                      <w:rFonts w:hint="eastAsia" w:cs="Times New Roman"/>
                      <w:b/>
                      <w:bCs/>
                      <w:color w:val="0000FF"/>
                      <w:lang w:val="en-US" w:eastAsia="zh-CN"/>
                    </w:rPr>
                    <w:t>昼间</w:t>
                  </w:r>
                </w:p>
              </w:tc>
              <w:tc>
                <w:tcPr>
                  <w:tcW w:w="842" w:type="pct"/>
                  <w:tcBorders>
                    <w:top w:val="single" w:color="auto" w:sz="6" w:space="0"/>
                    <w:bottom w:val="single" w:color="auto" w:sz="12" w:space="0"/>
                  </w:tcBorders>
                  <w:noWrap w:val="0"/>
                  <w:vAlign w:val="center"/>
                </w:tcPr>
                <w:p w14:paraId="4A48A093">
                  <w:pPr>
                    <w:pStyle w:val="35"/>
                    <w:bidi w:val="0"/>
                    <w:rPr>
                      <w:rFonts w:hint="default" w:ascii="Times New Roman" w:hAnsi="Times New Roman" w:cs="Times New Roman"/>
                      <w:b/>
                      <w:bCs/>
                      <w:color w:val="0000FF"/>
                    </w:rPr>
                  </w:pPr>
                  <w:r>
                    <w:rPr>
                      <w:rFonts w:hint="eastAsia" w:cs="Times New Roman"/>
                      <w:b/>
                      <w:bCs/>
                      <w:color w:val="0000FF"/>
                      <w:lang w:val="en-US" w:eastAsia="zh-CN"/>
                    </w:rPr>
                    <w:t>昼间</w:t>
                  </w:r>
                </w:p>
              </w:tc>
              <w:tc>
                <w:tcPr>
                  <w:tcW w:w="772" w:type="pct"/>
                  <w:tcBorders>
                    <w:bottom w:val="single" w:color="000000" w:sz="12" w:space="0"/>
                    <w:tl2br w:val="nil"/>
                    <w:tr2bl w:val="nil"/>
                  </w:tcBorders>
                  <w:noWrap w:val="0"/>
                  <w:vAlign w:val="center"/>
                </w:tcPr>
                <w:p w14:paraId="0E4471E3">
                  <w:pPr>
                    <w:pStyle w:val="35"/>
                    <w:bidi w:val="0"/>
                    <w:rPr>
                      <w:rFonts w:hint="default" w:ascii="Times New Roman" w:hAnsi="Times New Roman" w:eastAsia="宋体" w:cs="Times New Roman"/>
                      <w:b/>
                      <w:bCs/>
                      <w:color w:val="0000FF"/>
                      <w:lang w:val="en-US" w:eastAsia="zh-CN"/>
                    </w:rPr>
                  </w:pPr>
                  <w:r>
                    <w:rPr>
                      <w:rFonts w:hint="eastAsia" w:cs="Times New Roman"/>
                      <w:b/>
                      <w:bCs/>
                      <w:color w:val="0000FF"/>
                      <w:lang w:val="en-US" w:eastAsia="zh-CN"/>
                    </w:rPr>
                    <w:t>昼间</w:t>
                  </w:r>
                </w:p>
              </w:tc>
              <w:tc>
                <w:tcPr>
                  <w:tcW w:w="773" w:type="pct"/>
                  <w:tcBorders>
                    <w:bottom w:val="single" w:color="000000" w:sz="12" w:space="0"/>
                    <w:tl2br w:val="nil"/>
                    <w:tr2bl w:val="nil"/>
                  </w:tcBorders>
                  <w:noWrap w:val="0"/>
                  <w:vAlign w:val="center"/>
                </w:tcPr>
                <w:p w14:paraId="6BF2BEE5">
                  <w:pPr>
                    <w:pStyle w:val="35"/>
                    <w:bidi w:val="0"/>
                    <w:rPr>
                      <w:rFonts w:hint="default" w:cs="Times New Roman"/>
                      <w:b/>
                      <w:bCs/>
                      <w:color w:val="0000FF"/>
                      <w:lang w:val="en-US" w:eastAsia="zh-CN"/>
                    </w:rPr>
                  </w:pPr>
                  <w:r>
                    <w:rPr>
                      <w:rFonts w:hint="eastAsia" w:cs="Times New Roman"/>
                      <w:b/>
                      <w:bCs/>
                      <w:color w:val="0000FF"/>
                      <w:lang w:val="en-US" w:eastAsia="zh-CN"/>
                    </w:rPr>
                    <w:t>昼间</w:t>
                  </w:r>
                </w:p>
              </w:tc>
              <w:tc>
                <w:tcPr>
                  <w:tcW w:w="773" w:type="pct"/>
                  <w:vMerge w:val="continue"/>
                  <w:tcBorders>
                    <w:bottom w:val="single" w:color="000000" w:sz="12" w:space="0"/>
                    <w:tl2br w:val="nil"/>
                    <w:tr2bl w:val="nil"/>
                  </w:tcBorders>
                  <w:noWrap w:val="0"/>
                  <w:vAlign w:val="center"/>
                </w:tcPr>
                <w:p w14:paraId="12864C74">
                  <w:pPr>
                    <w:pStyle w:val="35"/>
                    <w:bidi w:val="0"/>
                    <w:rPr>
                      <w:rFonts w:hint="default" w:ascii="Times New Roman" w:hAnsi="Times New Roman" w:eastAsia="宋体" w:cs="Times New Roman"/>
                      <w:b/>
                      <w:bCs/>
                      <w:color w:val="0000FF"/>
                      <w:lang w:val="en-US" w:eastAsia="zh-CN"/>
                    </w:rPr>
                  </w:pPr>
                </w:p>
              </w:tc>
            </w:tr>
            <w:tr w14:paraId="546E2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105" w:type="pct"/>
                  <w:tcBorders>
                    <w:tl2br w:val="nil"/>
                    <w:tr2bl w:val="nil"/>
                  </w:tcBorders>
                  <w:noWrap w:val="0"/>
                  <w:vAlign w:val="center"/>
                </w:tcPr>
                <w:p w14:paraId="7943A1CC">
                  <w:pPr>
                    <w:pStyle w:val="35"/>
                    <w:bidi w:val="0"/>
                    <w:rPr>
                      <w:rFonts w:hint="default" w:ascii="Times New Roman" w:hAnsi="Times New Roman" w:cs="Times New Roman"/>
                      <w:color w:val="0000FF"/>
                      <w:lang w:val="en-US" w:eastAsia="zh-CN"/>
                    </w:rPr>
                  </w:pPr>
                  <w:r>
                    <w:rPr>
                      <w:rFonts w:hint="eastAsia" w:cs="Times New Roman"/>
                      <w:color w:val="0000FF"/>
                      <w:lang w:val="en-US" w:eastAsia="zh-CN"/>
                    </w:rPr>
                    <w:t>圣水华庭小区住宅楼（南侧）</w:t>
                  </w:r>
                </w:p>
              </w:tc>
              <w:tc>
                <w:tcPr>
                  <w:tcW w:w="731" w:type="pct"/>
                  <w:tcBorders>
                    <w:top w:val="single" w:color="auto" w:sz="12" w:space="0"/>
                    <w:tl2br w:val="nil"/>
                    <w:tr2bl w:val="nil"/>
                  </w:tcBorders>
                  <w:noWrap w:val="0"/>
                  <w:vAlign w:val="center"/>
                </w:tcPr>
                <w:p w14:paraId="0CD4512F">
                  <w:pPr>
                    <w:pStyle w:val="35"/>
                    <w:bidi w:val="0"/>
                    <w:rPr>
                      <w:rFonts w:hint="default" w:ascii="Times New Roman" w:hAnsi="Times New Roman" w:cs="Times New Roman"/>
                      <w:color w:val="0000FF"/>
                      <w:lang w:val="en-US" w:eastAsia="zh-CN"/>
                    </w:rPr>
                  </w:pPr>
                  <w:r>
                    <w:rPr>
                      <w:rFonts w:hint="eastAsia" w:cs="Times New Roman"/>
                      <w:color w:val="0000FF"/>
                      <w:lang w:val="en-US" w:eastAsia="zh-CN"/>
                    </w:rPr>
                    <w:t>38.0</w:t>
                  </w:r>
                </w:p>
              </w:tc>
              <w:tc>
                <w:tcPr>
                  <w:tcW w:w="842" w:type="pct"/>
                  <w:tcBorders>
                    <w:top w:val="single" w:color="auto" w:sz="12" w:space="0"/>
                    <w:tl2br w:val="nil"/>
                    <w:tr2bl w:val="nil"/>
                  </w:tcBorders>
                  <w:noWrap w:val="0"/>
                  <w:vAlign w:val="center"/>
                </w:tcPr>
                <w:p w14:paraId="42FC0810">
                  <w:pPr>
                    <w:bidi w:val="0"/>
                    <w:jc w:val="center"/>
                    <w:rPr>
                      <w:rFonts w:hint="default" w:ascii="Times New Roman" w:hAnsi="Times New Roman" w:eastAsia="宋体" w:cs="Times New Roman"/>
                      <w:b w:val="0"/>
                      <w:color w:val="0000FF"/>
                      <w:kern w:val="2"/>
                      <w:sz w:val="21"/>
                      <w:szCs w:val="24"/>
                      <w:lang w:val="en-US" w:eastAsia="zh-CN" w:bidi="ar-SA"/>
                    </w:rPr>
                  </w:pPr>
                  <w:r>
                    <w:rPr>
                      <w:rFonts w:hint="eastAsia" w:cs="Times New Roman"/>
                      <w:b w:val="0"/>
                      <w:color w:val="0000FF"/>
                      <w:kern w:val="2"/>
                      <w:sz w:val="21"/>
                      <w:szCs w:val="24"/>
                      <w:lang w:val="en-US" w:eastAsia="zh-CN" w:bidi="ar-SA"/>
                    </w:rPr>
                    <w:t>50</w:t>
                  </w:r>
                </w:p>
              </w:tc>
              <w:tc>
                <w:tcPr>
                  <w:tcW w:w="772" w:type="pct"/>
                  <w:tcBorders>
                    <w:tl2br w:val="nil"/>
                    <w:tr2bl w:val="nil"/>
                  </w:tcBorders>
                  <w:noWrap w:val="0"/>
                  <w:vAlign w:val="center"/>
                </w:tcPr>
                <w:p w14:paraId="3117CC1C">
                  <w:pPr>
                    <w:bidi w:val="0"/>
                    <w:jc w:val="center"/>
                    <w:rPr>
                      <w:rFonts w:hint="default" w:ascii="Times New Roman" w:hAnsi="Times New Roman" w:eastAsia="宋体" w:cs="Times New Roman"/>
                      <w:b w:val="0"/>
                      <w:color w:val="0000FF"/>
                      <w:kern w:val="2"/>
                      <w:sz w:val="21"/>
                      <w:szCs w:val="24"/>
                      <w:lang w:val="en-US" w:eastAsia="zh-CN" w:bidi="ar-SA"/>
                    </w:rPr>
                  </w:pPr>
                  <w:r>
                    <w:rPr>
                      <w:rFonts w:hint="eastAsia" w:cs="Times New Roman"/>
                      <w:b w:val="0"/>
                      <w:color w:val="0000FF"/>
                      <w:kern w:val="2"/>
                      <w:sz w:val="21"/>
                      <w:szCs w:val="24"/>
                      <w:lang w:val="en-US" w:eastAsia="zh-CN" w:bidi="ar-SA"/>
                    </w:rPr>
                    <w:t>50.44</w:t>
                  </w:r>
                </w:p>
              </w:tc>
              <w:tc>
                <w:tcPr>
                  <w:tcW w:w="773" w:type="pct"/>
                  <w:tcBorders>
                    <w:tl2br w:val="nil"/>
                    <w:tr2bl w:val="nil"/>
                  </w:tcBorders>
                  <w:noWrap w:val="0"/>
                  <w:vAlign w:val="center"/>
                </w:tcPr>
                <w:p w14:paraId="00F0CDD7">
                  <w:pPr>
                    <w:bidi w:val="0"/>
                    <w:jc w:val="center"/>
                    <w:rPr>
                      <w:rFonts w:hint="default" w:cs="Times New Roman"/>
                      <w:b w:val="0"/>
                      <w:color w:val="0000FF"/>
                      <w:kern w:val="2"/>
                      <w:sz w:val="21"/>
                      <w:szCs w:val="24"/>
                      <w:lang w:val="en-US" w:eastAsia="zh-CN" w:bidi="ar-SA"/>
                    </w:rPr>
                  </w:pPr>
                  <w:r>
                    <w:rPr>
                      <w:rFonts w:hint="eastAsia" w:cs="Times New Roman"/>
                      <w:b w:val="0"/>
                      <w:color w:val="0000FF"/>
                      <w:kern w:val="2"/>
                      <w:sz w:val="21"/>
                      <w:szCs w:val="24"/>
                      <w:lang w:val="en-US" w:eastAsia="zh-CN" w:bidi="ar-SA"/>
                    </w:rPr>
                    <w:t>60</w:t>
                  </w:r>
                </w:p>
              </w:tc>
              <w:tc>
                <w:tcPr>
                  <w:tcW w:w="773" w:type="pct"/>
                  <w:tcBorders>
                    <w:tl2br w:val="nil"/>
                    <w:tr2bl w:val="nil"/>
                  </w:tcBorders>
                  <w:noWrap w:val="0"/>
                  <w:vAlign w:val="center"/>
                </w:tcPr>
                <w:p w14:paraId="131007E2">
                  <w:pPr>
                    <w:bidi w:val="0"/>
                    <w:jc w:val="center"/>
                    <w:rPr>
                      <w:rFonts w:hint="default" w:ascii="Times New Roman" w:hAnsi="Times New Roman" w:eastAsia="宋体" w:cs="Times New Roman"/>
                      <w:b w:val="0"/>
                      <w:color w:val="0000FF"/>
                      <w:kern w:val="2"/>
                      <w:sz w:val="21"/>
                      <w:szCs w:val="24"/>
                      <w:lang w:val="en-US" w:eastAsia="zh-CN" w:bidi="ar-SA"/>
                    </w:rPr>
                  </w:pPr>
                  <w:r>
                    <w:rPr>
                      <w:rFonts w:hint="eastAsia" w:ascii="Times New Roman" w:hAnsi="Times New Roman" w:eastAsia="宋体" w:cs="Times New Roman"/>
                      <w:b w:val="0"/>
                      <w:color w:val="0000FF"/>
                      <w:kern w:val="2"/>
                      <w:sz w:val="21"/>
                      <w:szCs w:val="24"/>
                      <w:lang w:val="en-US" w:eastAsia="zh-CN" w:bidi="ar-SA"/>
                    </w:rPr>
                    <w:t>达标</w:t>
                  </w:r>
                </w:p>
              </w:tc>
            </w:tr>
          </w:tbl>
          <w:p w14:paraId="76111CDD">
            <w:pPr>
              <w:pStyle w:val="3"/>
              <w:ind w:firstLine="480"/>
              <w:jc w:val="both"/>
              <w:rPr>
                <w:rFonts w:hint="default" w:ascii="Times New Roman" w:hAnsi="Times New Roman" w:cs="Times New Roman"/>
                <w:color w:val="0000FF"/>
              </w:rPr>
            </w:pPr>
            <w:r>
              <w:rPr>
                <w:rFonts w:hint="default" w:ascii="Times New Roman" w:hAnsi="Times New Roman" w:cs="Times New Roman"/>
                <w:color w:val="0000FF"/>
              </w:rPr>
              <w:t>根据上表预测结果可知，项目</w:t>
            </w:r>
            <w:r>
              <w:rPr>
                <w:rFonts w:hint="eastAsia" w:cs="Times New Roman"/>
                <w:color w:val="0000FF"/>
                <w:lang w:val="en-US" w:eastAsia="zh-CN"/>
              </w:rPr>
              <w:t>区</w:t>
            </w:r>
            <w:r>
              <w:rPr>
                <w:rFonts w:hint="default" w:ascii="Times New Roman" w:hAnsi="Times New Roman" w:cs="Times New Roman"/>
                <w:color w:val="0000FF"/>
              </w:rPr>
              <w:t>厂界</w:t>
            </w:r>
            <w:r>
              <w:rPr>
                <w:rFonts w:hint="eastAsia" w:cs="Times New Roman"/>
                <w:color w:val="0000FF"/>
                <w:lang w:val="en-US" w:eastAsia="zh-CN"/>
              </w:rPr>
              <w:t>东、南、西侧的</w:t>
            </w:r>
            <w:r>
              <w:rPr>
                <w:rFonts w:hint="default" w:ascii="Times New Roman" w:hAnsi="Times New Roman" w:cs="Times New Roman"/>
                <w:color w:val="0000FF"/>
              </w:rPr>
              <w:t>噪声贡献值满足</w:t>
            </w:r>
            <w:r>
              <w:rPr>
                <w:rFonts w:hint="eastAsia" w:cs="Times New Roman"/>
                <w:color w:val="0000FF"/>
                <w:lang w:eastAsia="zh-CN"/>
              </w:rPr>
              <w:t>《工业企业厂界环境噪声排放标准》（GB12348-2008）</w:t>
            </w:r>
            <w:r>
              <w:rPr>
                <w:rFonts w:hint="default" w:ascii="Times New Roman" w:hAnsi="Times New Roman" w:cs="Times New Roman"/>
                <w:color w:val="0000FF"/>
              </w:rPr>
              <w:t>2类标准</w:t>
            </w:r>
            <w:r>
              <w:rPr>
                <w:rFonts w:hint="eastAsia" w:cs="Times New Roman"/>
                <w:color w:val="0000FF"/>
                <w:lang w:eastAsia="zh-CN"/>
              </w:rPr>
              <w:t>，</w:t>
            </w:r>
            <w:r>
              <w:rPr>
                <w:rFonts w:hint="eastAsia" w:cs="Times New Roman"/>
                <w:color w:val="0000FF"/>
                <w:lang w:val="en-US" w:eastAsia="zh-CN"/>
              </w:rPr>
              <w:t>北侧的</w:t>
            </w:r>
            <w:r>
              <w:rPr>
                <w:rFonts w:hint="default" w:ascii="Times New Roman" w:hAnsi="Times New Roman" w:cs="Times New Roman"/>
                <w:color w:val="0000FF"/>
              </w:rPr>
              <w:t>噪声贡献值满足</w:t>
            </w:r>
            <w:r>
              <w:rPr>
                <w:rFonts w:hint="eastAsia" w:cs="Times New Roman"/>
                <w:color w:val="0000FF"/>
                <w:lang w:eastAsia="zh-CN"/>
              </w:rPr>
              <w:t>《工业企业厂界环境噪声排放标准》（GB12348-2008）</w:t>
            </w:r>
            <w:r>
              <w:rPr>
                <w:rFonts w:hint="eastAsia" w:cs="Times New Roman"/>
                <w:color w:val="0000FF"/>
                <w:lang w:val="en-US" w:eastAsia="zh-CN"/>
              </w:rPr>
              <w:t>4</w:t>
            </w:r>
            <w:r>
              <w:rPr>
                <w:rFonts w:hint="default" w:ascii="Times New Roman" w:hAnsi="Times New Roman" w:cs="Times New Roman"/>
                <w:color w:val="0000FF"/>
              </w:rPr>
              <w:t>类标准</w:t>
            </w:r>
            <w:r>
              <w:rPr>
                <w:rFonts w:hint="eastAsia" w:ascii="Times New Roman" w:hAnsi="Times New Roman" w:cs="Times New Roman"/>
                <w:color w:val="0000FF"/>
                <w:lang w:val="en-US" w:eastAsia="zh-CN"/>
              </w:rPr>
              <w:t>。</w:t>
            </w:r>
            <w:r>
              <w:rPr>
                <w:rFonts w:hint="default" w:ascii="Times New Roman" w:hAnsi="Times New Roman" w:cs="Times New Roman"/>
                <w:color w:val="0000FF"/>
              </w:rPr>
              <w:t>对声环境保护目标处</w:t>
            </w:r>
            <w:r>
              <w:rPr>
                <w:rFonts w:hint="eastAsia" w:cs="Times New Roman"/>
                <w:color w:val="0000FF"/>
                <w:lang w:eastAsia="zh-CN"/>
              </w:rPr>
              <w:t>（</w:t>
            </w:r>
            <w:r>
              <w:rPr>
                <w:rFonts w:hint="eastAsia" w:cs="Times New Roman"/>
                <w:color w:val="0000FF"/>
                <w:lang w:val="en-US" w:eastAsia="zh-CN"/>
              </w:rPr>
              <w:t>南侧</w:t>
            </w:r>
            <w:r>
              <w:rPr>
                <w:rFonts w:hint="eastAsia" w:cs="Times New Roman"/>
                <w:color w:val="0000FF"/>
                <w:lang w:eastAsia="zh-CN"/>
              </w:rPr>
              <w:t>）</w:t>
            </w:r>
            <w:r>
              <w:rPr>
                <w:rFonts w:hint="default" w:ascii="Times New Roman" w:hAnsi="Times New Roman" w:cs="Times New Roman"/>
                <w:color w:val="0000FF"/>
              </w:rPr>
              <w:t>的噪声贡献值</w:t>
            </w:r>
            <w:r>
              <w:rPr>
                <w:rFonts w:hint="eastAsia" w:cs="Times New Roman"/>
                <w:color w:val="0000FF"/>
                <w:lang w:val="en-US" w:eastAsia="zh-CN"/>
              </w:rPr>
              <w:t>及预测值均</w:t>
            </w:r>
            <w:r>
              <w:rPr>
                <w:rFonts w:hint="default" w:ascii="Times New Roman" w:hAnsi="Times New Roman" w:cs="Times New Roman"/>
                <w:color w:val="0000FF"/>
              </w:rPr>
              <w:t>满足《声环境质量标准》</w:t>
            </w:r>
            <w:r>
              <w:rPr>
                <w:rFonts w:hint="eastAsia" w:cs="Times New Roman"/>
                <w:color w:val="0000FF"/>
                <w:lang w:eastAsia="zh-CN"/>
              </w:rPr>
              <w:t>（</w:t>
            </w:r>
            <w:r>
              <w:rPr>
                <w:rFonts w:hint="default" w:ascii="Times New Roman" w:hAnsi="Times New Roman" w:cs="Times New Roman"/>
                <w:color w:val="0000FF"/>
              </w:rPr>
              <w:t>GB3096-2008</w:t>
            </w:r>
            <w:r>
              <w:rPr>
                <w:rFonts w:hint="eastAsia" w:cs="Times New Roman"/>
                <w:color w:val="0000FF"/>
                <w:lang w:eastAsia="zh-CN"/>
              </w:rPr>
              <w:t>）</w:t>
            </w:r>
            <w:r>
              <w:rPr>
                <w:rFonts w:hint="default" w:ascii="Times New Roman" w:hAnsi="Times New Roman" w:cs="Times New Roman"/>
                <w:color w:val="0000FF"/>
              </w:rPr>
              <w:t>2类标准，项目噪声对周边环境影响较小。</w:t>
            </w:r>
          </w:p>
          <w:p w14:paraId="60EE6981">
            <w:pPr>
              <w:pStyle w:val="6"/>
              <w:jc w:val="both"/>
              <w:outlineLvl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3.4 减缓措施</w:t>
            </w:r>
          </w:p>
          <w:p w14:paraId="240BD6DC">
            <w:pPr>
              <w:pStyle w:val="3"/>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①加强对宠物的管理，避免宠物因饥饿或口渴而发声，拒绝爱叫宠物留宿，必要时，给嚎叫宠物戴上宠物嘴套，减少宠物叫声</w:t>
            </w:r>
            <w:r>
              <w:rPr>
                <w:rFonts w:hint="default" w:ascii="Times New Roman" w:hAnsi="Times New Roman" w:cs="Times New Roman"/>
                <w:color w:val="000000" w:themeColor="text1"/>
                <w14:textFill>
                  <w14:solidFill>
                    <w14:schemeClr w14:val="tx1"/>
                  </w14:solidFill>
                </w14:textFill>
              </w:rPr>
              <w:t>。</w:t>
            </w:r>
          </w:p>
          <w:p w14:paraId="3A0EC40B">
            <w:pPr>
              <w:pStyle w:val="3"/>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②加强医院营业期间管理，合理安排人流物流通道，合理安排营业时间。</w:t>
            </w:r>
          </w:p>
          <w:p w14:paraId="12A7E6E3">
            <w:pPr>
              <w:pStyle w:val="3"/>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③设备放置于室内，合理布置设备，尽量远离敏感点，选取低噪声设备并安装减震垫，管道设计采取弹性连接、消声，通风口内壁采用吸声材料等措施。同时定期对设备进行维护，保持其良好运行效果。</w:t>
            </w:r>
          </w:p>
          <w:p w14:paraId="7C954B59">
            <w:pPr>
              <w:pStyle w:val="6"/>
              <w:jc w:val="both"/>
              <w:outlineLvl w:val="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3.5 监测计划</w:t>
            </w:r>
          </w:p>
          <w:p w14:paraId="168956C3">
            <w:pPr>
              <w:pStyle w:val="3"/>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根据关于开展工业噪声排污许可管理工作的通知》（环办环评〔2023〕14 号，本项目不属于噪声监管单位，可不开展噪声监测</w:t>
            </w:r>
          </w:p>
          <w:p w14:paraId="11EFFB57">
            <w:pPr>
              <w:pStyle w:val="6"/>
              <w:jc w:val="both"/>
              <w:outlineLvl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固体废物影响分析</w:t>
            </w:r>
          </w:p>
          <w:p w14:paraId="288C4010">
            <w:pPr>
              <w:pStyle w:val="3"/>
              <w:ind w:left="0" w:leftChars="0" w:firstLine="0" w:firstLineChars="0"/>
              <w:jc w:val="both"/>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4.1 项目产生的固体废物</w:t>
            </w:r>
            <w:r>
              <w:rPr>
                <w:rFonts w:hint="eastAsia" w:cs="Times New Roman"/>
                <w:b/>
                <w:bCs/>
                <w:color w:val="000000" w:themeColor="text1"/>
                <w:lang w:val="en-US" w:eastAsia="zh-CN"/>
                <w14:textFill>
                  <w14:solidFill>
                    <w14:schemeClr w14:val="tx1"/>
                  </w14:solidFill>
                </w14:textFill>
              </w:rPr>
              <w:t>情况</w:t>
            </w:r>
          </w:p>
          <w:p w14:paraId="6FA76E66">
            <w:pPr>
              <w:pStyle w:val="3"/>
              <w:ind w:firstLine="48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本项目固体废物为</w:t>
            </w:r>
            <w:r>
              <w:rPr>
                <w:rFonts w:hint="eastAsia" w:cs="Times New Roman"/>
                <w:color w:val="000000" w:themeColor="text1"/>
                <w:lang w:val="en-US" w:eastAsia="zh-CN"/>
                <w14:textFill>
                  <w14:solidFill>
                    <w14:schemeClr w14:val="tx1"/>
                  </w14:solidFill>
                </w14:textFill>
              </w:rPr>
              <w:t>宠物</w:t>
            </w:r>
            <w:r>
              <w:rPr>
                <w:rFonts w:hint="default" w:ascii="Times New Roman" w:hAnsi="Times New Roman" w:cs="Times New Roman"/>
                <w:color w:val="000000" w:themeColor="text1"/>
                <w:lang w:val="en-US" w:eastAsia="zh-CN"/>
                <w14:textFill>
                  <w14:solidFill>
                    <w14:schemeClr w14:val="tx1"/>
                  </w14:solidFill>
                </w14:textFill>
              </w:rPr>
              <w:t>排泄物</w:t>
            </w:r>
            <w:r>
              <w:rPr>
                <w:rFonts w:hint="eastAsia" w:cs="Times New Roman"/>
                <w:color w:val="000000" w:themeColor="text1"/>
                <w:lang w:val="en-US" w:eastAsia="zh-CN"/>
                <w14:textFill>
                  <w14:solidFill>
                    <w14:schemeClr w14:val="tx1"/>
                  </w14:solidFill>
                </w14:textFill>
              </w:rPr>
              <w:t>、宠物毛发、医疗废物、废紫外灯管、生活垃圾。</w:t>
            </w:r>
          </w:p>
          <w:p w14:paraId="00F04057">
            <w:pPr>
              <w:pStyle w:val="3"/>
              <w:numPr>
                <w:ilvl w:val="0"/>
                <w:numId w:val="0"/>
              </w:numPr>
              <w:ind w:firstLine="480" w:firstLineChars="200"/>
              <w:jc w:val="both"/>
              <w:rPr>
                <w:rFonts w:hint="eastAsia"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t>（1）</w:t>
            </w:r>
            <w:r>
              <w:rPr>
                <w:rFonts w:hint="eastAsia" w:cs="Times New Roman"/>
                <w:color w:val="000000" w:themeColor="text1"/>
                <w:kern w:val="0"/>
                <w:sz w:val="24"/>
                <w:lang w:val="en-US" w:eastAsia="zh-CN"/>
                <w14:textFill>
                  <w14:solidFill>
                    <w14:schemeClr w14:val="tx1"/>
                  </w14:solidFill>
                </w14:textFill>
              </w:rPr>
              <w:t>宠物排泄物</w:t>
            </w:r>
          </w:p>
          <w:p w14:paraId="7F521B61">
            <w:pPr>
              <w:pStyle w:val="3"/>
              <w:widowControl w:val="0"/>
              <w:numPr>
                <w:ilvl w:val="0"/>
                <w:numId w:val="0"/>
              </w:numPr>
              <w:spacing w:line="360" w:lineRule="auto"/>
              <w:ind w:firstLine="480" w:firstLineChars="200"/>
              <w:jc w:val="both"/>
              <w:rPr>
                <w:rFonts w:hint="eastAsia" w:cs="Times New Roman"/>
                <w:color w:val="000000" w:themeColor="text1"/>
                <w:kern w:val="0"/>
                <w:sz w:val="24"/>
                <w:lang w:val="en-US" w:eastAsia="zh-CN"/>
                <w14:textFill>
                  <w14:solidFill>
                    <w14:schemeClr w14:val="tx1"/>
                  </w14:solidFill>
                </w14:textFill>
              </w:rPr>
            </w:pPr>
            <w:r>
              <w:rPr>
                <w:rFonts w:hint="default" w:cs="Times New Roman"/>
                <w:color w:val="000000" w:themeColor="text1"/>
                <w:kern w:val="0"/>
                <w:sz w:val="24"/>
                <w:lang w:val="en-US" w:eastAsia="zh-CN"/>
                <w14:textFill>
                  <w14:solidFill>
                    <w14:schemeClr w14:val="tx1"/>
                  </w14:solidFill>
                </w14:textFill>
              </w:rPr>
              <w:t>宠物在</w:t>
            </w:r>
            <w:r>
              <w:rPr>
                <w:rFonts w:hint="eastAsia" w:cs="Times New Roman"/>
                <w:color w:val="000000" w:themeColor="text1"/>
                <w:kern w:val="0"/>
                <w:sz w:val="24"/>
                <w:lang w:val="en-US" w:eastAsia="zh-CN"/>
                <w14:textFill>
                  <w14:solidFill>
                    <w14:schemeClr w14:val="tx1"/>
                  </w14:solidFill>
                </w14:textFill>
              </w:rPr>
              <w:t>医疗</w:t>
            </w:r>
            <w:r>
              <w:rPr>
                <w:rFonts w:hint="default" w:cs="Times New Roman"/>
                <w:color w:val="000000" w:themeColor="text1"/>
                <w:kern w:val="0"/>
                <w:sz w:val="24"/>
                <w:lang w:val="en-US" w:eastAsia="zh-CN"/>
                <w14:textFill>
                  <w14:solidFill>
                    <w14:schemeClr w14:val="tx1"/>
                  </w14:solidFill>
                </w14:textFill>
              </w:rPr>
              <w:t>过程会有日常的排泄物产生，宠物排泄物产生量按0.025</w:t>
            </w:r>
            <w:r>
              <w:rPr>
                <w:rFonts w:hint="eastAsia" w:cs="Times New Roman"/>
                <w:color w:val="000000" w:themeColor="text1"/>
                <w:kern w:val="0"/>
                <w:sz w:val="24"/>
                <w:lang w:val="en-US" w:eastAsia="zh-CN"/>
                <w14:textFill>
                  <w14:solidFill>
                    <w14:schemeClr w14:val="tx1"/>
                  </w14:solidFill>
                </w14:textFill>
              </w:rPr>
              <w:t>千克</w:t>
            </w:r>
            <w:r>
              <w:rPr>
                <w:rFonts w:hint="default" w:cs="Times New Roman"/>
                <w:color w:val="000000" w:themeColor="text1"/>
                <w:kern w:val="0"/>
                <w:sz w:val="24"/>
                <w:lang w:val="en-US" w:eastAsia="zh-CN"/>
                <w14:textFill>
                  <w14:solidFill>
                    <w14:schemeClr w14:val="tx1"/>
                  </w14:solidFill>
                </w14:textFill>
              </w:rPr>
              <w:t>/只计。根据</w:t>
            </w:r>
            <w:r>
              <w:rPr>
                <w:rFonts w:hint="eastAsia" w:cs="Times New Roman"/>
                <w:color w:val="000000" w:themeColor="text1"/>
                <w:kern w:val="0"/>
                <w:sz w:val="24"/>
                <w:lang w:val="en-US" w:eastAsia="zh-CN"/>
                <w14:textFill>
                  <w14:solidFill>
                    <w14:schemeClr w14:val="tx1"/>
                  </w14:solidFill>
                </w14:textFill>
              </w:rPr>
              <w:t>建设单位提供资料，</w:t>
            </w:r>
            <w:r>
              <w:rPr>
                <w:rFonts w:hint="default" w:cs="Times New Roman"/>
                <w:color w:val="000000" w:themeColor="text1"/>
                <w:kern w:val="0"/>
                <w:sz w:val="24"/>
                <w:lang w:val="en-US" w:eastAsia="zh-CN"/>
                <w14:textFill>
                  <w14:solidFill>
                    <w14:schemeClr w14:val="tx1"/>
                  </w14:solidFill>
                </w14:textFill>
              </w:rPr>
              <w:t>门诊宠物</w:t>
            </w:r>
            <w:r>
              <w:rPr>
                <w:rFonts w:hint="eastAsia" w:cs="Times New Roman"/>
                <w:color w:val="000000" w:themeColor="text1"/>
                <w:kern w:val="0"/>
                <w:sz w:val="24"/>
                <w:lang w:val="en-US" w:eastAsia="zh-CN"/>
                <w14:textFill>
                  <w14:solidFill>
                    <w14:schemeClr w14:val="tx1"/>
                  </w14:solidFill>
                </w14:textFill>
              </w:rPr>
              <w:t>年</w:t>
            </w:r>
            <w:r>
              <w:rPr>
                <w:rFonts w:hint="default" w:cs="Times New Roman"/>
                <w:color w:val="000000" w:themeColor="text1"/>
                <w:kern w:val="0"/>
                <w:sz w:val="24"/>
                <w:lang w:val="en-US" w:eastAsia="zh-CN"/>
                <w14:textFill>
                  <w14:solidFill>
                    <w14:schemeClr w14:val="tx1"/>
                  </w14:solidFill>
                </w14:textFill>
              </w:rPr>
              <w:t>接待量</w:t>
            </w:r>
            <w:r>
              <w:rPr>
                <w:rFonts w:hint="eastAsia" w:cs="Times New Roman"/>
                <w:color w:val="000000" w:themeColor="text1"/>
                <w:kern w:val="0"/>
                <w:sz w:val="24"/>
                <w:lang w:val="en-US" w:eastAsia="zh-CN"/>
                <w14:textFill>
                  <w14:solidFill>
                    <w14:schemeClr w14:val="tx1"/>
                  </w14:solidFill>
                </w14:textFill>
              </w:rPr>
              <w:t>300</w:t>
            </w:r>
            <w:r>
              <w:rPr>
                <w:rFonts w:hint="default" w:cs="Times New Roman"/>
                <w:color w:val="000000" w:themeColor="text1"/>
                <w:kern w:val="0"/>
                <w:sz w:val="24"/>
                <w:lang w:val="en-US" w:eastAsia="zh-CN"/>
                <w14:textFill>
                  <w14:solidFill>
                    <w14:schemeClr w14:val="tx1"/>
                  </w14:solidFill>
                </w14:textFill>
              </w:rPr>
              <w:t>只，宠物排泄物经清理消毒后袋装收集，由环卫部门</w:t>
            </w:r>
            <w:r>
              <w:rPr>
                <w:rFonts w:hint="eastAsia" w:cs="Times New Roman"/>
                <w:color w:val="000000" w:themeColor="text1"/>
                <w:kern w:val="0"/>
                <w:sz w:val="24"/>
                <w:lang w:val="en-US" w:eastAsia="zh-CN"/>
                <w14:textFill>
                  <w14:solidFill>
                    <w14:schemeClr w14:val="tx1"/>
                  </w14:solidFill>
                </w14:textFill>
              </w:rPr>
              <w:t>统一</w:t>
            </w:r>
            <w:r>
              <w:rPr>
                <w:rFonts w:hint="default" w:cs="Times New Roman"/>
                <w:color w:val="000000" w:themeColor="text1"/>
                <w:kern w:val="0"/>
                <w:sz w:val="24"/>
                <w:lang w:val="en-US" w:eastAsia="zh-CN"/>
                <w14:textFill>
                  <w14:solidFill>
                    <w14:schemeClr w14:val="tx1"/>
                  </w14:solidFill>
                </w14:textFill>
              </w:rPr>
              <w:t>清理</w:t>
            </w:r>
            <w:r>
              <w:rPr>
                <w:rFonts w:hint="eastAsia" w:cs="Times New Roman"/>
                <w:color w:val="000000" w:themeColor="text1"/>
                <w:kern w:val="0"/>
                <w:sz w:val="24"/>
                <w:lang w:val="en-US" w:eastAsia="zh-CN"/>
                <w14:textFill>
                  <w14:solidFill>
                    <w14:schemeClr w14:val="tx1"/>
                  </w14:solidFill>
                </w14:textFill>
              </w:rPr>
              <w:t>。</w:t>
            </w:r>
          </w:p>
          <w:p w14:paraId="00FB6FBB">
            <w:pPr>
              <w:pStyle w:val="3"/>
              <w:widowControl w:val="0"/>
              <w:numPr>
                <w:ilvl w:val="0"/>
                <w:numId w:val="0"/>
              </w:numPr>
              <w:spacing w:line="360" w:lineRule="auto"/>
              <w:ind w:firstLine="480" w:firstLineChars="200"/>
              <w:jc w:val="both"/>
              <w:rPr>
                <w:rFonts w:hint="eastAsia"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t>（</w:t>
            </w:r>
            <w:r>
              <w:rPr>
                <w:rFonts w:hint="eastAsia" w:cs="Times New Roman"/>
                <w:b w:val="0"/>
                <w:color w:val="000000" w:themeColor="text1"/>
                <w:kern w:val="0"/>
                <w:sz w:val="24"/>
                <w:szCs w:val="24"/>
                <w:lang w:val="en-US" w:eastAsia="zh-CN" w:bidi="ar-SA"/>
                <w14:textFill>
                  <w14:solidFill>
                    <w14:schemeClr w14:val="tx1"/>
                  </w14:solidFill>
                </w14:textFill>
              </w:rPr>
              <w:t>2</w:t>
            </w:r>
            <w:r>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t>）宠物废毛</w:t>
            </w:r>
          </w:p>
          <w:p w14:paraId="1E613255">
            <w:pPr>
              <w:pStyle w:val="3"/>
              <w:widowControl w:val="0"/>
              <w:numPr>
                <w:ilvl w:val="0"/>
                <w:numId w:val="0"/>
              </w:numPr>
              <w:spacing w:line="360" w:lineRule="auto"/>
              <w:ind w:firstLine="480" w:firstLineChars="200"/>
              <w:jc w:val="both"/>
              <w:rPr>
                <w:rFonts w:hint="default" w:cs="Times New Roman"/>
                <w:color w:val="000000" w:themeColor="text1"/>
                <w:kern w:val="0"/>
                <w:sz w:val="24"/>
                <w:lang w:val="en-US" w:eastAsia="zh-CN"/>
                <w14:textFill>
                  <w14:solidFill>
                    <w14:schemeClr w14:val="tx1"/>
                  </w14:solidFill>
                </w14:textFill>
              </w:rPr>
            </w:pPr>
            <w:r>
              <w:rPr>
                <w:rFonts w:hint="default" w:cs="Times New Roman"/>
                <w:color w:val="000000" w:themeColor="text1"/>
                <w:kern w:val="0"/>
                <w:sz w:val="24"/>
                <w:lang w:val="en-US" w:eastAsia="zh-CN"/>
                <w14:textFill>
                  <w14:solidFill>
                    <w14:schemeClr w14:val="tx1"/>
                  </w14:solidFill>
                </w14:textFill>
              </w:rPr>
              <w:t>项目在进行美容服务剪毛时会产生宠物废毛发</w:t>
            </w:r>
            <w:r>
              <w:rPr>
                <w:rFonts w:hint="eastAsia" w:cs="Times New Roman"/>
                <w:color w:val="000000" w:themeColor="text1"/>
                <w:kern w:val="0"/>
                <w:sz w:val="24"/>
                <w:lang w:val="en-US" w:eastAsia="zh-CN"/>
                <w14:textFill>
                  <w14:solidFill>
                    <w14:schemeClr w14:val="tx1"/>
                  </w14:solidFill>
                </w14:textFill>
              </w:rPr>
              <w:t>，</w:t>
            </w:r>
            <w:r>
              <w:rPr>
                <w:rFonts w:hint="default" w:cs="Times New Roman"/>
                <w:color w:val="000000" w:themeColor="text1"/>
                <w:kern w:val="0"/>
                <w:sz w:val="24"/>
                <w:lang w:val="en-US" w:eastAsia="zh-CN"/>
                <w14:textFill>
                  <w14:solidFill>
                    <w14:schemeClr w14:val="tx1"/>
                  </w14:solidFill>
                </w14:textFill>
              </w:rPr>
              <w:t>产生量按0.1</w:t>
            </w:r>
            <w:r>
              <w:rPr>
                <w:rFonts w:hint="eastAsia" w:cs="Times New Roman"/>
                <w:color w:val="000000" w:themeColor="text1"/>
                <w:kern w:val="0"/>
                <w:sz w:val="24"/>
                <w:lang w:val="en-US" w:eastAsia="zh-CN"/>
                <w14:textFill>
                  <w14:solidFill>
                    <w14:schemeClr w14:val="tx1"/>
                  </w14:solidFill>
                </w14:textFill>
              </w:rPr>
              <w:t>千克</w:t>
            </w:r>
            <w:r>
              <w:rPr>
                <w:rFonts w:hint="default" w:cs="Times New Roman"/>
                <w:color w:val="000000" w:themeColor="text1"/>
                <w:kern w:val="0"/>
                <w:sz w:val="24"/>
                <w:lang w:val="en-US" w:eastAsia="zh-CN"/>
                <w14:textFill>
                  <w14:solidFill>
                    <w14:schemeClr w14:val="tx1"/>
                  </w14:solidFill>
                </w14:textFill>
              </w:rPr>
              <w:t>/只计</w:t>
            </w:r>
            <w:r>
              <w:rPr>
                <w:rFonts w:hint="eastAsia" w:cs="Times New Roman"/>
                <w:color w:val="000000" w:themeColor="text1"/>
                <w:kern w:val="0"/>
                <w:sz w:val="24"/>
                <w:lang w:val="en-US" w:eastAsia="zh-CN"/>
                <w14:textFill>
                  <w14:solidFill>
                    <w14:schemeClr w14:val="tx1"/>
                  </w14:solidFill>
                </w14:textFill>
              </w:rPr>
              <w:t>，</w:t>
            </w:r>
            <w:r>
              <w:rPr>
                <w:rFonts w:hint="default" w:cs="Times New Roman"/>
                <w:color w:val="000000" w:themeColor="text1"/>
                <w:kern w:val="0"/>
                <w:sz w:val="24"/>
                <w:lang w:val="en-US" w:eastAsia="zh-CN"/>
                <w14:textFill>
                  <w14:solidFill>
                    <w14:schemeClr w14:val="tx1"/>
                  </w14:solidFill>
                </w14:textFill>
              </w:rPr>
              <w:t>每</w:t>
            </w:r>
            <w:r>
              <w:rPr>
                <w:rFonts w:hint="eastAsia" w:cs="Times New Roman"/>
                <w:color w:val="000000" w:themeColor="text1"/>
                <w:kern w:val="0"/>
                <w:sz w:val="24"/>
                <w:lang w:val="en-US" w:eastAsia="zh-CN"/>
                <w14:textFill>
                  <w14:solidFill>
                    <w14:schemeClr w14:val="tx1"/>
                  </w14:solidFill>
                </w14:textFill>
              </w:rPr>
              <w:t>年</w:t>
            </w:r>
            <w:r>
              <w:rPr>
                <w:rFonts w:hint="default" w:cs="Times New Roman"/>
                <w:color w:val="000000" w:themeColor="text1"/>
                <w:kern w:val="0"/>
                <w:sz w:val="24"/>
                <w:lang w:val="en-US" w:eastAsia="zh-CN"/>
                <w14:textFill>
                  <w14:solidFill>
                    <w14:schemeClr w14:val="tx1"/>
                  </w14:solidFill>
                </w14:textFill>
              </w:rPr>
              <w:t>接待美容宠物</w:t>
            </w:r>
            <w:r>
              <w:rPr>
                <w:rFonts w:hint="eastAsia" w:cs="Times New Roman"/>
                <w:color w:val="000000" w:themeColor="text1"/>
                <w:kern w:val="0"/>
                <w:sz w:val="24"/>
                <w:lang w:val="en-US" w:eastAsia="zh-CN"/>
                <w14:textFill>
                  <w14:solidFill>
                    <w14:schemeClr w14:val="tx1"/>
                  </w14:solidFill>
                </w14:textFill>
              </w:rPr>
              <w:t>900</w:t>
            </w:r>
            <w:r>
              <w:rPr>
                <w:rFonts w:hint="default" w:cs="Times New Roman"/>
                <w:color w:val="000000" w:themeColor="text1"/>
                <w:kern w:val="0"/>
                <w:sz w:val="24"/>
                <w:lang w:val="en-US" w:eastAsia="zh-CN"/>
                <w14:textFill>
                  <w14:solidFill>
                    <w14:schemeClr w14:val="tx1"/>
                  </w14:solidFill>
                </w14:textFill>
              </w:rPr>
              <w:t>只，则产生量约0.</w:t>
            </w:r>
            <w:r>
              <w:rPr>
                <w:rFonts w:hint="eastAsia" w:cs="Times New Roman"/>
                <w:color w:val="000000" w:themeColor="text1"/>
                <w:kern w:val="0"/>
                <w:sz w:val="24"/>
                <w:lang w:val="en-US" w:eastAsia="zh-CN"/>
                <w14:textFill>
                  <w14:solidFill>
                    <w14:schemeClr w14:val="tx1"/>
                  </w14:solidFill>
                </w14:textFill>
              </w:rPr>
              <w:t>09吨</w:t>
            </w:r>
            <w:r>
              <w:rPr>
                <w:rFonts w:hint="default" w:cs="Times New Roman"/>
                <w:color w:val="000000" w:themeColor="text1"/>
                <w:kern w:val="0"/>
                <w:sz w:val="24"/>
                <w:lang w:val="en-US"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年，</w:t>
            </w:r>
            <w:r>
              <w:rPr>
                <w:rFonts w:hint="default" w:cs="Times New Roman"/>
                <w:color w:val="000000" w:themeColor="text1"/>
                <w:kern w:val="0"/>
                <w:sz w:val="24"/>
                <w:lang w:val="en-US" w:eastAsia="zh-CN"/>
                <w14:textFill>
                  <w14:solidFill>
                    <w14:schemeClr w14:val="tx1"/>
                  </w14:solidFill>
                </w14:textFill>
              </w:rPr>
              <w:t>集中收集后由环卫部门统一清理。</w:t>
            </w:r>
          </w:p>
          <w:p w14:paraId="0424A2EA">
            <w:pPr>
              <w:pStyle w:val="3"/>
              <w:widowControl w:val="0"/>
              <w:numPr>
                <w:ilvl w:val="0"/>
                <w:numId w:val="0"/>
              </w:numPr>
              <w:spacing w:line="360" w:lineRule="auto"/>
              <w:ind w:firstLine="480" w:firstLineChars="200"/>
              <w:jc w:val="both"/>
              <w:rPr>
                <w:rFonts w:hint="eastAsia"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t>（3）生活垃圾</w:t>
            </w:r>
          </w:p>
          <w:p w14:paraId="55BEBB80">
            <w:pPr>
              <w:pStyle w:val="3"/>
              <w:widowControl w:val="0"/>
              <w:numPr>
                <w:ilvl w:val="0"/>
                <w:numId w:val="0"/>
              </w:numPr>
              <w:spacing w:line="360" w:lineRule="auto"/>
              <w:ind w:firstLine="480" w:firstLineChars="200"/>
              <w:jc w:val="both"/>
              <w:rPr>
                <w:rFonts w:hint="default"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项目劳动定员5</w:t>
            </w:r>
            <w:r>
              <w:rPr>
                <w:rFonts w:hint="default" w:cs="Times New Roman"/>
                <w:color w:val="000000" w:themeColor="text1"/>
                <w:kern w:val="0"/>
                <w:sz w:val="24"/>
                <w:lang w:val="en-US" w:eastAsia="zh-CN"/>
                <w14:textFill>
                  <w14:solidFill>
                    <w14:schemeClr w14:val="tx1"/>
                  </w14:solidFill>
                </w14:textFill>
              </w:rPr>
              <w:t>人，均不在院内食宿，生活垃圾排放系数按0.5</w:t>
            </w:r>
            <w:r>
              <w:rPr>
                <w:rFonts w:hint="eastAsia" w:cs="Times New Roman"/>
                <w:color w:val="000000" w:themeColor="text1"/>
                <w:kern w:val="0"/>
                <w:sz w:val="24"/>
                <w:lang w:val="en-US" w:eastAsia="zh-CN"/>
                <w14:textFill>
                  <w14:solidFill>
                    <w14:schemeClr w14:val="tx1"/>
                  </w14:solidFill>
                </w14:textFill>
              </w:rPr>
              <w:t>千克</w:t>
            </w:r>
            <w:r>
              <w:rPr>
                <w:rFonts w:hint="default" w:cs="Times New Roman"/>
                <w:color w:val="000000" w:themeColor="text1"/>
                <w:kern w:val="0"/>
                <w:sz w:val="24"/>
                <w:lang w:val="en-US"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天·</w:t>
            </w:r>
            <w:r>
              <w:rPr>
                <w:rFonts w:hint="default" w:cs="Times New Roman"/>
                <w:color w:val="000000" w:themeColor="text1"/>
                <w:kern w:val="0"/>
                <w:sz w:val="24"/>
                <w:lang w:val="en-US" w:eastAsia="zh-CN"/>
                <w14:textFill>
                  <w14:solidFill>
                    <w14:schemeClr w14:val="tx1"/>
                  </w14:solidFill>
                </w14:textFill>
              </w:rPr>
              <w:t>人计，则生活垃圾产生量约</w:t>
            </w:r>
            <w:r>
              <w:rPr>
                <w:rFonts w:hint="eastAsia" w:cs="Times New Roman"/>
                <w:color w:val="000000" w:themeColor="text1"/>
                <w:kern w:val="0"/>
                <w:sz w:val="24"/>
                <w:lang w:val="en-US" w:eastAsia="zh-CN"/>
                <w14:textFill>
                  <w14:solidFill>
                    <w14:schemeClr w14:val="tx1"/>
                  </w14:solidFill>
                </w14:textFill>
              </w:rPr>
              <w:t>0.75吨/年</w:t>
            </w:r>
            <w:r>
              <w:rPr>
                <w:rFonts w:hint="default" w:cs="Times New Roman"/>
                <w:color w:val="000000" w:themeColor="text1"/>
                <w:kern w:val="0"/>
                <w:sz w:val="24"/>
                <w:lang w:val="en-US" w:eastAsia="zh-CN"/>
                <w14:textFill>
                  <w14:solidFill>
                    <w14:schemeClr w14:val="tx1"/>
                  </w14:solidFill>
                </w14:textFill>
              </w:rPr>
              <w:t>，生活垃圾定期由环卫部门清运处置。</w:t>
            </w:r>
          </w:p>
          <w:p w14:paraId="48B81887">
            <w:pPr>
              <w:pStyle w:val="3"/>
              <w:widowControl w:val="0"/>
              <w:numPr>
                <w:ilvl w:val="0"/>
                <w:numId w:val="0"/>
              </w:numPr>
              <w:spacing w:line="360" w:lineRule="auto"/>
              <w:ind w:firstLine="480" w:firstLineChars="200"/>
              <w:jc w:val="both"/>
              <w:rPr>
                <w:rFonts w:hint="default"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t>（4）医疗废物</w:t>
            </w:r>
          </w:p>
          <w:p w14:paraId="384CDA57">
            <w:pPr>
              <w:pStyle w:val="3"/>
              <w:widowControl w:val="0"/>
              <w:numPr>
                <w:ilvl w:val="0"/>
                <w:numId w:val="0"/>
              </w:numPr>
              <w:spacing w:line="360" w:lineRule="auto"/>
              <w:ind w:firstLine="480" w:firstLineChars="200"/>
              <w:jc w:val="both"/>
              <w:rPr>
                <w:rFonts w:hint="default" w:ascii="Times New Roman" w:hAnsi="Times New Roman" w:cs="Times New Roman"/>
                <w:color w:val="000000" w:themeColor="text1"/>
                <w:kern w:val="0"/>
                <w:sz w:val="24"/>
                <w14:textFill>
                  <w14:solidFill>
                    <w14:schemeClr w14:val="tx1"/>
                  </w14:solidFill>
                </w14:textFill>
              </w:rPr>
            </w:pPr>
            <w:r>
              <w:rPr>
                <w:rFonts w:hint="default" w:cs="Times New Roman"/>
                <w:color w:val="000000" w:themeColor="text1"/>
                <w:kern w:val="0"/>
                <w:sz w:val="24"/>
                <w:lang w:val="en-US" w:eastAsia="zh-CN"/>
                <w14:textFill>
                  <w14:solidFill>
                    <w14:schemeClr w14:val="tx1"/>
                  </w14:solidFill>
                </w14:textFill>
              </w:rPr>
              <w:t>本项目产生的医疗废物主要来源于</w:t>
            </w:r>
            <w:r>
              <w:rPr>
                <w:rFonts w:hint="eastAsia" w:cs="Times New Roman"/>
                <w:color w:val="000000" w:themeColor="text1"/>
                <w:kern w:val="0"/>
                <w:sz w:val="24"/>
                <w:lang w:val="en-US" w:eastAsia="zh-CN"/>
                <w14:textFill>
                  <w14:solidFill>
                    <w14:schemeClr w14:val="tx1"/>
                  </w14:solidFill>
                </w14:textFill>
              </w:rPr>
              <w:t>：</w:t>
            </w:r>
            <w:r>
              <w:rPr>
                <w:rFonts w:hint="default" w:cs="Times New Roman"/>
                <w:color w:val="000000" w:themeColor="text1"/>
                <w:kern w:val="0"/>
                <w:sz w:val="24"/>
                <w:lang w:val="en-US" w:eastAsia="zh-CN"/>
                <w14:textFill>
                  <w14:solidFill>
                    <w14:schemeClr w14:val="tx1"/>
                  </w14:solidFill>
                </w14:textFill>
              </w:rPr>
              <w:t>a.宠物体液、组织样本化验检验过程中产生的废弃试管、载玻片、棉球</w:t>
            </w:r>
            <w:r>
              <w:rPr>
                <w:rFonts w:hint="eastAsia" w:cs="Times New Roman"/>
                <w:color w:val="000000" w:themeColor="text1"/>
                <w:kern w:val="0"/>
                <w:sz w:val="24"/>
                <w:lang w:val="en-US" w:eastAsia="zh-CN"/>
                <w14:textFill>
                  <w14:solidFill>
                    <w14:schemeClr w14:val="tx1"/>
                  </w14:solidFill>
                </w14:textFill>
              </w:rPr>
              <w:t>；</w:t>
            </w:r>
            <w:r>
              <w:rPr>
                <w:rFonts w:hint="default" w:cs="Times New Roman"/>
                <w:color w:val="000000" w:themeColor="text1"/>
                <w:kern w:val="0"/>
                <w:sz w:val="24"/>
                <w:lang w:val="en-US" w:eastAsia="zh-CN"/>
                <w14:textFill>
                  <w14:solidFill>
                    <w14:schemeClr w14:val="tx1"/>
                  </w14:solidFill>
                </w14:textFill>
              </w:rPr>
              <w:t>b.宠物在治疗和手术过程中产生的病理组织和纱布等</w:t>
            </w:r>
            <w:r>
              <w:rPr>
                <w:rFonts w:hint="eastAsia" w:cs="Times New Roman"/>
                <w:color w:val="000000" w:themeColor="text1"/>
                <w:kern w:val="0"/>
                <w:sz w:val="24"/>
                <w:lang w:val="en-US" w:eastAsia="zh-CN"/>
                <w14:textFill>
                  <w14:solidFill>
                    <w14:schemeClr w14:val="tx1"/>
                  </w14:solidFill>
                </w14:textFill>
              </w:rPr>
              <w:t>；c手术废弃组织及运营过程中宠物尸体；d</w:t>
            </w:r>
            <w:r>
              <w:rPr>
                <w:rFonts w:hint="default" w:cs="Times New Roman"/>
                <w:color w:val="000000" w:themeColor="text1"/>
                <w:kern w:val="0"/>
                <w:sz w:val="24"/>
                <w:lang w:val="en-US" w:eastAsia="zh-CN"/>
                <w14:textFill>
                  <w14:solidFill>
                    <w14:schemeClr w14:val="tx1"/>
                  </w14:solidFill>
                </w14:textFill>
              </w:rPr>
              <w:t>宠物类输液过程产生的一次性针头，塑料药品瓶等</w:t>
            </w:r>
            <w:r>
              <w:rPr>
                <w:rFonts w:hint="eastAsia" w:cs="Times New Roman"/>
                <w:color w:val="000000" w:themeColor="text1"/>
                <w:kern w:val="0"/>
                <w:sz w:val="24"/>
                <w:lang w:val="en-US" w:eastAsia="zh-CN"/>
                <w14:textFill>
                  <w14:solidFill>
                    <w14:schemeClr w14:val="tx1"/>
                  </w14:solidFill>
                </w14:textFill>
              </w:rPr>
              <w:t>；f</w:t>
            </w:r>
            <w:r>
              <w:rPr>
                <w:rFonts w:hint="default" w:cs="Times New Roman"/>
                <w:color w:val="000000" w:themeColor="text1"/>
                <w:kern w:val="0"/>
                <w:sz w:val="24"/>
                <w:lang w:val="en-US" w:eastAsia="zh-CN"/>
                <w14:textFill>
                  <w14:solidFill>
                    <w14:schemeClr w14:val="tx1"/>
                  </w14:solidFill>
                </w14:textFill>
              </w:rPr>
              <w:t>过期药品。医疗废物属于HW01，危险废物代</w:t>
            </w:r>
            <w:r>
              <w:rPr>
                <w:rFonts w:hint="default" w:ascii="Times New Roman" w:hAnsi="Times New Roman" w:cs="Times New Roman"/>
                <w:color w:val="000000" w:themeColor="text1"/>
                <w:kern w:val="0"/>
                <w:sz w:val="24"/>
                <w14:textFill>
                  <w14:solidFill>
                    <w14:schemeClr w14:val="tx1"/>
                  </w14:solidFill>
                </w14:textFill>
              </w:rPr>
              <w:t>码831-001-01~831-005-01。根据建设单位提供资料，医疗废物产生量约为0.</w:t>
            </w:r>
            <w:r>
              <w:rPr>
                <w:rFonts w:hint="eastAsia" w:cs="Times New Roman"/>
                <w:color w:val="000000" w:themeColor="text1"/>
                <w:kern w:val="0"/>
                <w:sz w:val="24"/>
                <w:lang w:val="en-US" w:eastAsia="zh-CN"/>
                <w14:textFill>
                  <w14:solidFill>
                    <w14:schemeClr w14:val="tx1"/>
                  </w14:solidFill>
                </w14:textFill>
              </w:rPr>
              <w:t>1吨</w:t>
            </w:r>
            <w:r>
              <w:rPr>
                <w:rFonts w:hint="default" w:ascii="Times New Roman" w:hAnsi="Times New Roman" w:cs="Times New Roman"/>
                <w:color w:val="000000" w:themeColor="text1"/>
                <w:kern w:val="0"/>
                <w:sz w:val="24"/>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年</w:t>
            </w:r>
            <w:r>
              <w:rPr>
                <w:rFonts w:hint="default" w:ascii="Times New Roman" w:hAnsi="Times New Roman" w:cs="Times New Roman"/>
                <w:color w:val="000000" w:themeColor="text1"/>
                <w:kern w:val="0"/>
                <w:sz w:val="24"/>
                <w14:textFill>
                  <w14:solidFill>
                    <w14:schemeClr w14:val="tx1"/>
                  </w14:solidFill>
                </w14:textFill>
              </w:rPr>
              <w:t>，集中收集消毒后</w:t>
            </w:r>
            <w:r>
              <w:rPr>
                <w:rFonts w:hint="eastAsia" w:cs="Times New Roman"/>
                <w:color w:val="000000" w:themeColor="text1"/>
                <w:kern w:val="0"/>
                <w:sz w:val="24"/>
                <w:lang w:val="en-US" w:eastAsia="zh-CN"/>
                <w14:textFill>
                  <w14:solidFill>
                    <w14:schemeClr w14:val="tx1"/>
                  </w14:solidFill>
                </w14:textFill>
              </w:rPr>
              <w:t>暂</w:t>
            </w:r>
            <w:r>
              <w:rPr>
                <w:rFonts w:hint="default" w:ascii="Times New Roman" w:hAnsi="Times New Roman" w:cs="Times New Roman"/>
                <w:color w:val="000000" w:themeColor="text1"/>
                <w:kern w:val="0"/>
                <w:sz w:val="24"/>
                <w14:textFill>
                  <w14:solidFill>
                    <w14:schemeClr w14:val="tx1"/>
                  </w14:solidFill>
                </w14:textFill>
              </w:rPr>
              <w:t>存在医疗废物暂存间</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2平方米</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委托有资质单位收运处置</w:t>
            </w:r>
            <w:r>
              <w:rPr>
                <w:rFonts w:hint="default" w:ascii="Times New Roman" w:hAnsi="Times New Roman" w:cs="Times New Roman"/>
                <w:color w:val="000000" w:themeColor="text1"/>
                <w:kern w:val="0"/>
                <w:sz w:val="24"/>
                <w14:textFill>
                  <w14:solidFill>
                    <w14:schemeClr w14:val="tx1"/>
                  </w14:solidFill>
                </w14:textFill>
              </w:rPr>
              <w:t>。</w:t>
            </w:r>
          </w:p>
          <w:p w14:paraId="4CC6F79B">
            <w:pPr>
              <w:pStyle w:val="3"/>
              <w:numPr>
                <w:ilvl w:val="0"/>
                <w:numId w:val="0"/>
              </w:numPr>
              <w:ind w:firstLine="480" w:firstLineChars="200"/>
              <w:jc w:val="both"/>
              <w:rPr>
                <w:rFonts w:hint="eastAsia"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t>（5）</w:t>
            </w:r>
            <w:r>
              <w:rPr>
                <w:rFonts w:hint="eastAsia" w:cs="Times New Roman"/>
                <w:color w:val="000000" w:themeColor="text1"/>
                <w:kern w:val="0"/>
                <w:sz w:val="24"/>
                <w:lang w:val="en-US" w:eastAsia="zh-CN"/>
                <w14:textFill>
                  <w14:solidFill>
                    <w14:schemeClr w14:val="tx1"/>
                  </w14:solidFill>
                </w14:textFill>
              </w:rPr>
              <w:t>污泥</w:t>
            </w:r>
          </w:p>
          <w:p w14:paraId="6984DA1B">
            <w:pPr>
              <w:pStyle w:val="3"/>
              <w:widowControl w:val="0"/>
              <w:numPr>
                <w:ilvl w:val="0"/>
                <w:numId w:val="0"/>
              </w:numPr>
              <w:spacing w:line="360" w:lineRule="auto"/>
              <w:ind w:firstLine="480" w:firstLineChars="200"/>
              <w:jc w:val="both"/>
              <w:rPr>
                <w:rFonts w:hint="eastAsia"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本项目</w:t>
            </w:r>
            <w:r>
              <w:rPr>
                <w:rFonts w:hint="default" w:cs="Times New Roman"/>
                <w:color w:val="000000" w:themeColor="text1"/>
                <w:kern w:val="0"/>
                <w:sz w:val="24"/>
                <w:lang w:val="en-US" w:eastAsia="zh-CN"/>
                <w14:textFill>
                  <w14:solidFill>
                    <w14:schemeClr w14:val="tx1"/>
                  </w14:solidFill>
                </w14:textFill>
              </w:rPr>
              <w:t>污水处理设施采取</w:t>
            </w:r>
            <w:r>
              <w:rPr>
                <w:rFonts w:hint="eastAsia" w:cs="Times New Roman"/>
                <w:color w:val="000000" w:themeColor="text1"/>
                <w:kern w:val="0"/>
                <w:sz w:val="24"/>
                <w:lang w:val="en-US" w:eastAsia="zh-CN"/>
                <w14:textFill>
                  <w14:solidFill>
                    <w14:schemeClr w14:val="tx1"/>
                  </w14:solidFill>
                </w14:textFill>
              </w:rPr>
              <w:t>“沉淀+消毒”</w:t>
            </w:r>
            <w:r>
              <w:rPr>
                <w:rFonts w:hint="default" w:cs="Times New Roman"/>
                <w:color w:val="000000" w:themeColor="text1"/>
                <w:kern w:val="0"/>
                <w:sz w:val="24"/>
                <w:lang w:val="en-US" w:eastAsia="zh-CN"/>
                <w14:textFill>
                  <w14:solidFill>
                    <w14:schemeClr w14:val="tx1"/>
                  </w14:solidFill>
                </w14:textFill>
              </w:rPr>
              <w:t>处理工艺，会产生少量的感染性污泥，根据《国家危险废物名录</w:t>
            </w:r>
            <w:r>
              <w:rPr>
                <w:rFonts w:hint="eastAsia" w:cs="Times New Roman"/>
                <w:color w:val="000000" w:themeColor="text1"/>
                <w:kern w:val="0"/>
                <w:sz w:val="24"/>
                <w:lang w:val="en-US" w:eastAsia="zh-CN"/>
                <w14:textFill>
                  <w14:solidFill>
                    <w14:schemeClr w14:val="tx1"/>
                  </w14:solidFill>
                </w14:textFill>
              </w:rPr>
              <w:t>（</w:t>
            </w:r>
            <w:r>
              <w:rPr>
                <w:rFonts w:hint="default" w:cs="Times New Roman"/>
                <w:color w:val="000000" w:themeColor="text1"/>
                <w:kern w:val="0"/>
                <w:sz w:val="24"/>
                <w:lang w:val="en-US" w:eastAsia="zh-CN"/>
                <w14:textFill>
                  <w14:solidFill>
                    <w14:schemeClr w14:val="tx1"/>
                  </w14:solidFill>
                </w14:textFill>
              </w:rPr>
              <w:t>202</w:t>
            </w:r>
            <w:r>
              <w:rPr>
                <w:rFonts w:hint="eastAsia" w:cs="Times New Roman"/>
                <w:color w:val="000000" w:themeColor="text1"/>
                <w:kern w:val="0"/>
                <w:sz w:val="24"/>
                <w:lang w:val="en-US" w:eastAsia="zh-CN"/>
                <w14:textFill>
                  <w14:solidFill>
                    <w14:schemeClr w14:val="tx1"/>
                  </w14:solidFill>
                </w14:textFill>
              </w:rPr>
              <w:t>5</w:t>
            </w:r>
            <w:r>
              <w:rPr>
                <w:rFonts w:hint="default" w:cs="Times New Roman"/>
                <w:color w:val="000000" w:themeColor="text1"/>
                <w:kern w:val="0"/>
                <w:sz w:val="24"/>
                <w:lang w:val="en-US" w:eastAsia="zh-CN"/>
                <w14:textFill>
                  <w14:solidFill>
                    <w14:schemeClr w14:val="tx1"/>
                  </w14:solidFill>
                </w14:textFill>
              </w:rPr>
              <w:t>版</w:t>
            </w:r>
            <w:r>
              <w:rPr>
                <w:rFonts w:hint="eastAsia" w:cs="Times New Roman"/>
                <w:color w:val="000000" w:themeColor="text1"/>
                <w:kern w:val="0"/>
                <w:sz w:val="24"/>
                <w:lang w:val="en-US" w:eastAsia="zh-CN"/>
                <w14:textFill>
                  <w14:solidFill>
                    <w14:schemeClr w14:val="tx1"/>
                  </w14:solidFill>
                </w14:textFill>
              </w:rPr>
              <w:t>）</w:t>
            </w:r>
            <w:r>
              <w:rPr>
                <w:rFonts w:hint="default" w:cs="Times New Roman"/>
                <w:color w:val="000000" w:themeColor="text1"/>
                <w:kern w:val="0"/>
                <w:sz w:val="24"/>
                <w:lang w:val="en-US" w:eastAsia="zh-CN"/>
                <w14:textFill>
                  <w14:solidFill>
                    <w14:schemeClr w14:val="tx1"/>
                  </w14:solidFill>
                </w14:textFill>
              </w:rPr>
              <w:t>》，属于HW01，危险废物代码841-003-01。根据类比估算污水处理设备产生</w:t>
            </w:r>
            <w:r>
              <w:rPr>
                <w:rFonts w:hint="eastAsia" w:cs="Times New Roman"/>
                <w:color w:val="000000" w:themeColor="text1"/>
                <w:kern w:val="0"/>
                <w:sz w:val="24"/>
                <w:lang w:val="en-US" w:eastAsia="zh-CN"/>
                <w14:textFill>
                  <w14:solidFill>
                    <w14:schemeClr w14:val="tx1"/>
                  </w14:solidFill>
                </w14:textFill>
              </w:rPr>
              <w:t>的</w:t>
            </w:r>
            <w:r>
              <w:rPr>
                <w:rFonts w:hint="default" w:cs="Times New Roman"/>
                <w:color w:val="000000" w:themeColor="text1"/>
                <w:kern w:val="0"/>
                <w:sz w:val="24"/>
                <w:lang w:val="en-US" w:eastAsia="zh-CN"/>
                <w14:textFill>
                  <w14:solidFill>
                    <w14:schemeClr w14:val="tx1"/>
                  </w14:solidFill>
                </w14:textFill>
              </w:rPr>
              <w:t>感染性污泥量约为0.01</w:t>
            </w:r>
            <w:r>
              <w:rPr>
                <w:rFonts w:hint="eastAsia" w:cs="Times New Roman"/>
                <w:color w:val="000000" w:themeColor="text1"/>
                <w:kern w:val="0"/>
                <w:sz w:val="24"/>
                <w:lang w:val="en-US" w:eastAsia="zh-CN"/>
                <w14:textFill>
                  <w14:solidFill>
                    <w14:schemeClr w14:val="tx1"/>
                  </w14:solidFill>
                </w14:textFill>
              </w:rPr>
              <w:t>吨</w:t>
            </w:r>
            <w:r>
              <w:rPr>
                <w:rFonts w:hint="default" w:cs="Times New Roman"/>
                <w:color w:val="000000" w:themeColor="text1"/>
                <w:kern w:val="0"/>
                <w:sz w:val="24"/>
                <w:lang w:val="en-US"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年</w:t>
            </w:r>
            <w:r>
              <w:rPr>
                <w:rFonts w:hint="default" w:cs="Times New Roman"/>
                <w:color w:val="000000" w:themeColor="text1"/>
                <w:kern w:val="0"/>
                <w:sz w:val="24"/>
                <w:lang w:val="en-US" w:eastAsia="zh-CN"/>
                <w14:textFill>
                  <w14:solidFill>
                    <w14:schemeClr w14:val="tx1"/>
                  </w14:solidFill>
                </w14:textFill>
              </w:rPr>
              <w:t>，集中收集消毒后贮存在医疗废物暂存间</w:t>
            </w:r>
            <w:r>
              <w:rPr>
                <w:rFonts w:hint="eastAsia" w:cs="Times New Roman"/>
                <w:color w:val="000000" w:themeColor="text1"/>
                <w:kern w:val="0"/>
                <w:sz w:val="24"/>
                <w:lang w:val="en-US" w:eastAsia="zh-CN"/>
                <w14:textFill>
                  <w14:solidFill>
                    <w14:schemeClr w14:val="tx1"/>
                  </w14:solidFill>
                </w14:textFill>
              </w:rPr>
              <w:t>（2平方米）</w:t>
            </w:r>
            <w:r>
              <w:rPr>
                <w:rFonts w:hint="default" w:cs="Times New Roman"/>
                <w:color w:val="000000" w:themeColor="text1"/>
                <w:kern w:val="0"/>
                <w:sz w:val="24"/>
                <w:lang w:val="en-US" w:eastAsia="zh-CN"/>
                <w14:textFill>
                  <w14:solidFill>
                    <w14:schemeClr w14:val="tx1"/>
                  </w14:solidFill>
                </w14:textFill>
              </w:rPr>
              <w:t>，委托有资质单位上门回收处置</w:t>
            </w:r>
            <w:r>
              <w:rPr>
                <w:rFonts w:hint="eastAsia" w:cs="Times New Roman"/>
                <w:color w:val="000000" w:themeColor="text1"/>
                <w:kern w:val="0"/>
                <w:sz w:val="24"/>
                <w:lang w:val="en-US" w:eastAsia="zh-CN"/>
                <w14:textFill>
                  <w14:solidFill>
                    <w14:schemeClr w14:val="tx1"/>
                  </w14:solidFill>
                </w14:textFill>
              </w:rPr>
              <w:t>。</w:t>
            </w:r>
          </w:p>
          <w:p w14:paraId="5C425EA3">
            <w:pPr>
              <w:pStyle w:val="3"/>
              <w:widowControl w:val="0"/>
              <w:numPr>
                <w:ilvl w:val="0"/>
                <w:numId w:val="0"/>
              </w:numPr>
              <w:spacing w:line="360" w:lineRule="auto"/>
              <w:ind w:firstLine="480" w:firstLineChars="200"/>
              <w:jc w:val="both"/>
              <w:rPr>
                <w:rFonts w:hint="eastAsia"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b w:val="0"/>
                <w:color w:val="000000" w:themeColor="text1"/>
                <w:kern w:val="0"/>
                <w:sz w:val="24"/>
                <w:szCs w:val="24"/>
                <w:lang w:val="en-US" w:eastAsia="zh-CN" w:bidi="ar-SA"/>
                <w14:textFill>
                  <w14:solidFill>
                    <w14:schemeClr w14:val="tx1"/>
                  </w14:solidFill>
                </w14:textFill>
              </w:rPr>
              <w:t>（6）</w:t>
            </w:r>
            <w:r>
              <w:rPr>
                <w:rFonts w:hint="eastAsia" w:cs="Times New Roman"/>
                <w:color w:val="000000" w:themeColor="text1"/>
                <w:kern w:val="0"/>
                <w:sz w:val="24"/>
                <w:lang w:val="en-US" w:eastAsia="zh-CN"/>
                <w14:textFill>
                  <w14:solidFill>
                    <w14:schemeClr w14:val="tx1"/>
                  </w14:solidFill>
                </w14:textFill>
              </w:rPr>
              <w:t>废紫外线灯管</w:t>
            </w:r>
          </w:p>
          <w:p w14:paraId="1854DE6A">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手术室及美容室安装紫外线灯对空气进行消毒</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，会产生少量的废紫外灯管，</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根据《国家危险废物名录</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202</w:t>
            </w:r>
            <w:r>
              <w:rPr>
                <w:rFonts w:hint="eastAsia" w:cs="Times New Roman"/>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版</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》，属于HW</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49</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，危险废物代码</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900</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41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49</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根据建设单位提供资料，废紫外线灯管产生量为0.005</w:t>
            </w:r>
            <w:r>
              <w:rPr>
                <w:rFonts w:hint="eastAsia" w:cs="Times New Roman"/>
                <w:color w:val="000000" w:themeColor="text1"/>
                <w:kern w:val="0"/>
                <w:sz w:val="24"/>
                <w:lang w:val="en-US" w:eastAsia="zh-CN"/>
                <w14:textFill>
                  <w14:solidFill>
                    <w14:schemeClr w14:val="tx1"/>
                  </w14:solidFill>
                </w14:textFill>
              </w:rPr>
              <w:t>吨</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/3</w:t>
            </w:r>
            <w:r>
              <w:rPr>
                <w:rFonts w:hint="eastAsia" w:cs="Times New Roman"/>
                <w:color w:val="000000" w:themeColor="text1"/>
                <w:kern w:val="0"/>
                <w:sz w:val="24"/>
                <w:lang w:val="en-US" w:eastAsia="zh-CN"/>
                <w14:textFill>
                  <w14:solidFill>
                    <w14:schemeClr w14:val="tx1"/>
                  </w14:solidFill>
                </w14:textFill>
              </w:rPr>
              <w:t>年</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，集中收集在医疗废物暂存间，委托有资质单位上门回收处置。</w:t>
            </w:r>
          </w:p>
          <w:p w14:paraId="29936A52">
            <w:pPr>
              <w:pStyle w:val="34"/>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表4-</w:t>
            </w:r>
            <w:r>
              <w:rPr>
                <w:rFonts w:hint="eastAsia" w:cs="Times New Roman"/>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营运期固废产排情况一览表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
              <w:gridCol w:w="518"/>
              <w:gridCol w:w="669"/>
              <w:gridCol w:w="2368"/>
              <w:gridCol w:w="1168"/>
              <w:gridCol w:w="869"/>
              <w:gridCol w:w="978"/>
              <w:gridCol w:w="871"/>
            </w:tblGrid>
            <w:tr w14:paraId="64ECD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9" w:type="pct"/>
                  <w:tcBorders>
                    <w:bottom w:val="single" w:color="auto" w:sz="12" w:space="0"/>
                  </w:tcBorders>
                  <w:noWrap w:val="0"/>
                  <w:vAlign w:val="center"/>
                </w:tcPr>
                <w:p w14:paraId="70179BE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329" w:type="pct"/>
                  <w:tcBorders>
                    <w:bottom w:val="single" w:color="auto" w:sz="12" w:space="0"/>
                  </w:tcBorders>
                  <w:noWrap w:val="0"/>
                  <w:vAlign w:val="center"/>
                </w:tcPr>
                <w:p w14:paraId="451C9711">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类别</w:t>
                  </w:r>
                </w:p>
              </w:tc>
              <w:tc>
                <w:tcPr>
                  <w:tcW w:w="425" w:type="pct"/>
                  <w:tcBorders>
                    <w:bottom w:val="single" w:color="auto" w:sz="12" w:space="0"/>
                  </w:tcBorders>
                  <w:noWrap w:val="0"/>
                  <w:vAlign w:val="center"/>
                </w:tcPr>
                <w:p w14:paraId="2733F11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1504" w:type="pct"/>
                  <w:tcBorders>
                    <w:bottom w:val="single" w:color="auto" w:sz="12" w:space="0"/>
                  </w:tcBorders>
                  <w:noWrap w:val="0"/>
                  <w:vAlign w:val="center"/>
                </w:tcPr>
                <w:p w14:paraId="01F82DCE">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废物代码</w:t>
                  </w:r>
                </w:p>
              </w:tc>
              <w:tc>
                <w:tcPr>
                  <w:tcW w:w="742" w:type="pct"/>
                  <w:tcBorders>
                    <w:bottom w:val="single" w:color="auto" w:sz="12" w:space="0"/>
                  </w:tcBorders>
                  <w:noWrap w:val="0"/>
                  <w:vAlign w:val="center"/>
                </w:tcPr>
                <w:p w14:paraId="42FDC72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物理性状</w:t>
                  </w:r>
                </w:p>
              </w:tc>
              <w:tc>
                <w:tcPr>
                  <w:tcW w:w="552" w:type="pct"/>
                  <w:tcBorders>
                    <w:bottom w:val="single" w:color="auto" w:sz="12" w:space="0"/>
                  </w:tcBorders>
                  <w:noWrap w:val="0"/>
                  <w:vAlign w:val="center"/>
                </w:tcPr>
                <w:p w14:paraId="66D21E4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年产生量（</w:t>
                  </w:r>
                  <w:r>
                    <w:rPr>
                      <w:rFonts w:hint="eastAsia"/>
                      <w:color w:val="000000" w:themeColor="text1"/>
                      <w:sz w:val="21"/>
                      <w:szCs w:val="21"/>
                      <w:lang w:val="en-US" w:eastAsia="zh-CN"/>
                      <w14:textFill>
                        <w14:solidFill>
                          <w14:schemeClr w14:val="tx1"/>
                        </w14:solidFill>
                      </w14:textFill>
                    </w:rPr>
                    <w:t>吨/年</w:t>
                  </w:r>
                  <w:r>
                    <w:rPr>
                      <w:color w:val="000000" w:themeColor="text1"/>
                      <w:sz w:val="21"/>
                      <w:szCs w:val="21"/>
                      <w14:textFill>
                        <w14:solidFill>
                          <w14:schemeClr w14:val="tx1"/>
                        </w14:solidFill>
                      </w14:textFill>
                    </w:rPr>
                    <w:t>）</w:t>
                  </w:r>
                </w:p>
              </w:tc>
              <w:tc>
                <w:tcPr>
                  <w:tcW w:w="621" w:type="pct"/>
                  <w:tcBorders>
                    <w:bottom w:val="single" w:color="auto" w:sz="12" w:space="0"/>
                  </w:tcBorders>
                  <w:noWrap w:val="0"/>
                  <w:vAlign w:val="center"/>
                </w:tcPr>
                <w:p w14:paraId="310E491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处理方式</w:t>
                  </w:r>
                </w:p>
              </w:tc>
              <w:tc>
                <w:tcPr>
                  <w:tcW w:w="553" w:type="pct"/>
                  <w:tcBorders>
                    <w:bottom w:val="single" w:color="auto" w:sz="12" w:space="0"/>
                  </w:tcBorders>
                  <w:noWrap w:val="0"/>
                  <w:vAlign w:val="center"/>
                </w:tcPr>
                <w:p w14:paraId="2B8401F6">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年排放量（</w:t>
                  </w:r>
                  <w:r>
                    <w:rPr>
                      <w:rFonts w:hint="eastAsia"/>
                      <w:color w:val="000000" w:themeColor="text1"/>
                      <w:sz w:val="21"/>
                      <w:szCs w:val="21"/>
                      <w:lang w:val="en-US" w:eastAsia="zh-CN"/>
                      <w14:textFill>
                        <w14:solidFill>
                          <w14:schemeClr w14:val="tx1"/>
                        </w14:solidFill>
                      </w14:textFill>
                    </w:rPr>
                    <w:t>吨/年</w:t>
                  </w:r>
                  <w:r>
                    <w:rPr>
                      <w:color w:val="000000" w:themeColor="text1"/>
                      <w:sz w:val="21"/>
                      <w:szCs w:val="21"/>
                      <w14:textFill>
                        <w14:solidFill>
                          <w14:schemeClr w14:val="tx1"/>
                        </w14:solidFill>
                      </w14:textFill>
                    </w:rPr>
                    <w:t>）</w:t>
                  </w:r>
                </w:p>
              </w:tc>
            </w:tr>
            <w:tr w14:paraId="2DFFF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69" w:type="pct"/>
                  <w:tcBorders>
                    <w:top w:val="single" w:color="auto" w:sz="12" w:space="0"/>
                  </w:tcBorders>
                  <w:noWrap w:val="0"/>
                  <w:vAlign w:val="center"/>
                </w:tcPr>
                <w:p w14:paraId="79CC0F82">
                  <w:pPr>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w:t>
                  </w:r>
                </w:p>
              </w:tc>
              <w:tc>
                <w:tcPr>
                  <w:tcW w:w="329" w:type="pct"/>
                  <w:tcBorders>
                    <w:top w:val="single" w:color="auto" w:sz="12" w:space="0"/>
                  </w:tcBorders>
                  <w:noWrap w:val="0"/>
                  <w:vAlign w:val="center"/>
                </w:tcPr>
                <w:p w14:paraId="2E7693A4">
                  <w:pPr>
                    <w:jc w:val="center"/>
                    <w:rPr>
                      <w:rFonts w:hint="default" w:eastAsia="宋体"/>
                      <w:b w:val="0"/>
                      <w:bCs/>
                      <w:color w:val="000000" w:themeColor="text1"/>
                      <w:sz w:val="21"/>
                      <w:szCs w:val="21"/>
                      <w:lang w:val="en-US" w:eastAsia="zh-CN"/>
                      <w14:textFill>
                        <w14:solidFill>
                          <w14:schemeClr w14:val="tx1"/>
                        </w14:solidFill>
                      </w14:textFill>
                    </w:rPr>
                  </w:pPr>
                  <w:r>
                    <w:rPr>
                      <w:b w:val="0"/>
                      <w:bCs/>
                      <w:color w:val="000000" w:themeColor="text1"/>
                      <w:sz w:val="21"/>
                      <w:szCs w:val="21"/>
                      <w14:textFill>
                        <w14:solidFill>
                          <w14:schemeClr w14:val="tx1"/>
                        </w14:solidFill>
                      </w14:textFill>
                    </w:rPr>
                    <w:t>生活垃圾</w:t>
                  </w:r>
                </w:p>
              </w:tc>
              <w:tc>
                <w:tcPr>
                  <w:tcW w:w="425" w:type="pct"/>
                  <w:tcBorders>
                    <w:top w:val="single" w:color="auto" w:sz="12" w:space="0"/>
                  </w:tcBorders>
                  <w:noWrap w:val="0"/>
                  <w:vAlign w:val="center"/>
                </w:tcPr>
                <w:p w14:paraId="1AD11AFC">
                  <w:pPr>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生活垃圾</w:t>
                  </w:r>
                </w:p>
              </w:tc>
              <w:tc>
                <w:tcPr>
                  <w:tcW w:w="1504" w:type="pct"/>
                  <w:tcBorders>
                    <w:top w:val="single" w:color="auto" w:sz="12" w:space="0"/>
                  </w:tcBorders>
                  <w:noWrap w:val="0"/>
                  <w:vAlign w:val="center"/>
                </w:tcPr>
                <w:p w14:paraId="45E70036">
                  <w:pPr>
                    <w:widowControl/>
                    <w:jc w:val="center"/>
                    <w:rPr>
                      <w:rFonts w:hint="eastAsia" w:eastAsia="宋体"/>
                      <w:b w:val="0"/>
                      <w:bCs/>
                      <w:color w:val="000000" w:themeColor="text1"/>
                      <w:sz w:val="21"/>
                      <w:szCs w:val="21"/>
                      <w:lang w:val="en-US" w:eastAsia="zh-CN"/>
                      <w14:textFill>
                        <w14:solidFill>
                          <w14:schemeClr w14:val="tx1"/>
                        </w14:solidFill>
                      </w14:textFill>
                    </w:rPr>
                  </w:pPr>
                  <w:r>
                    <w:rPr>
                      <w:rFonts w:hint="eastAsia" w:eastAsia="宋体"/>
                      <w:b w:val="0"/>
                      <w:bCs/>
                      <w:color w:val="000000" w:themeColor="text1"/>
                      <w:sz w:val="21"/>
                      <w:szCs w:val="21"/>
                      <w:lang w:val="en-US" w:eastAsia="zh-CN"/>
                      <w14:textFill>
                        <w14:solidFill>
                          <w14:schemeClr w14:val="tx1"/>
                        </w14:solidFill>
                      </w14:textFill>
                    </w:rPr>
                    <w:t>900-099-S64</w:t>
                  </w:r>
                </w:p>
              </w:tc>
              <w:tc>
                <w:tcPr>
                  <w:tcW w:w="742" w:type="pct"/>
                  <w:tcBorders>
                    <w:top w:val="single" w:color="auto" w:sz="12" w:space="0"/>
                  </w:tcBorders>
                  <w:noWrap w:val="0"/>
                  <w:vAlign w:val="center"/>
                </w:tcPr>
                <w:p w14:paraId="5EA46E15">
                  <w:pPr>
                    <w:widowControl/>
                    <w:jc w:val="center"/>
                    <w:rPr>
                      <w:b w:val="0"/>
                      <w:bCs/>
                      <w:color w:val="000000" w:themeColor="text1"/>
                      <w:sz w:val="21"/>
                      <w:szCs w:val="21"/>
                      <w14:textFill>
                        <w14:solidFill>
                          <w14:schemeClr w14:val="tx1"/>
                        </w14:solidFill>
                      </w14:textFill>
                    </w:rPr>
                  </w:pPr>
                  <w:r>
                    <w:rPr>
                      <w:b w:val="0"/>
                      <w:bCs/>
                      <w:color w:val="000000" w:themeColor="text1"/>
                      <w:kern w:val="0"/>
                      <w:sz w:val="21"/>
                      <w:szCs w:val="21"/>
                      <w:lang w:bidi="ar"/>
                      <w14:textFill>
                        <w14:solidFill>
                          <w14:schemeClr w14:val="tx1"/>
                        </w14:solidFill>
                      </w14:textFill>
                    </w:rPr>
                    <w:t>固态</w:t>
                  </w:r>
                </w:p>
              </w:tc>
              <w:tc>
                <w:tcPr>
                  <w:tcW w:w="552" w:type="pct"/>
                  <w:tcBorders>
                    <w:top w:val="single" w:color="auto" w:sz="12" w:space="0"/>
                  </w:tcBorders>
                  <w:noWrap w:val="0"/>
                  <w:vAlign w:val="center"/>
                </w:tcPr>
                <w:p w14:paraId="6DFBC7C0">
                  <w:pPr>
                    <w:jc w:val="center"/>
                    <w:rPr>
                      <w:rFonts w:hint="default" w:eastAsia="宋体"/>
                      <w:b w:val="0"/>
                      <w:bCs/>
                      <w:color w:val="000000" w:themeColor="text1"/>
                      <w:sz w:val="21"/>
                      <w:szCs w:val="21"/>
                      <w:lang w:val="en-US" w:eastAsia="zh-CN"/>
                      <w14:textFill>
                        <w14:solidFill>
                          <w14:schemeClr w14:val="tx1"/>
                        </w14:solidFill>
                      </w14:textFill>
                    </w:rPr>
                  </w:pPr>
                  <w:r>
                    <w:rPr>
                      <w:rFonts w:hint="eastAsia" w:eastAsia="宋体"/>
                      <w:b w:val="0"/>
                      <w:bCs/>
                      <w:color w:val="000000" w:themeColor="text1"/>
                      <w:sz w:val="21"/>
                      <w:szCs w:val="21"/>
                      <w:lang w:val="en-US" w:eastAsia="zh-CN"/>
                      <w14:textFill>
                        <w14:solidFill>
                          <w14:schemeClr w14:val="tx1"/>
                        </w14:solidFill>
                      </w14:textFill>
                    </w:rPr>
                    <w:t>0.75</w:t>
                  </w:r>
                </w:p>
              </w:tc>
              <w:tc>
                <w:tcPr>
                  <w:tcW w:w="621" w:type="pct"/>
                  <w:vMerge w:val="restart"/>
                  <w:tcBorders>
                    <w:top w:val="single" w:color="auto" w:sz="12" w:space="0"/>
                  </w:tcBorders>
                  <w:noWrap w:val="0"/>
                  <w:vAlign w:val="center"/>
                </w:tcPr>
                <w:p w14:paraId="60E2A4D8">
                  <w:pPr>
                    <w:widowControl/>
                    <w:jc w:val="center"/>
                    <w:rPr>
                      <w:b w:val="0"/>
                      <w:bCs/>
                      <w:color w:val="000000" w:themeColor="text1"/>
                      <w:sz w:val="21"/>
                      <w:szCs w:val="21"/>
                      <w14:textFill>
                        <w14:solidFill>
                          <w14:schemeClr w14:val="tx1"/>
                        </w14:solidFill>
                      </w14:textFill>
                    </w:rPr>
                  </w:pPr>
                  <w:r>
                    <w:rPr>
                      <w:b w:val="0"/>
                      <w:bCs/>
                      <w:color w:val="000000" w:themeColor="text1"/>
                      <w:kern w:val="0"/>
                      <w:sz w:val="21"/>
                      <w:szCs w:val="21"/>
                      <w:lang w:bidi="ar"/>
                      <w14:textFill>
                        <w14:solidFill>
                          <w14:schemeClr w14:val="tx1"/>
                        </w14:solidFill>
                      </w14:textFill>
                    </w:rPr>
                    <w:t>统一收集</w:t>
                  </w:r>
                  <w:r>
                    <w:rPr>
                      <w:rFonts w:hint="eastAsia"/>
                      <w:b w:val="0"/>
                      <w:bCs/>
                      <w:color w:val="000000" w:themeColor="text1"/>
                      <w:kern w:val="0"/>
                      <w:sz w:val="21"/>
                      <w:szCs w:val="21"/>
                      <w:lang w:val="en-US" w:eastAsia="zh-CN" w:bidi="ar"/>
                      <w14:textFill>
                        <w14:solidFill>
                          <w14:schemeClr w14:val="tx1"/>
                        </w14:solidFill>
                      </w14:textFill>
                    </w:rPr>
                    <w:t>交由环卫部门清运处置</w:t>
                  </w:r>
                </w:p>
              </w:tc>
              <w:tc>
                <w:tcPr>
                  <w:tcW w:w="553" w:type="pct"/>
                  <w:tcBorders>
                    <w:top w:val="single" w:color="auto" w:sz="12" w:space="0"/>
                  </w:tcBorders>
                  <w:noWrap w:val="0"/>
                  <w:vAlign w:val="center"/>
                </w:tcPr>
                <w:p w14:paraId="36BCA0C2">
                  <w:pPr>
                    <w:jc w:val="center"/>
                    <w:rPr>
                      <w:rFonts w:hint="default" w:eastAsia="宋体"/>
                      <w:b w:val="0"/>
                      <w:bCs/>
                      <w:color w:val="000000" w:themeColor="text1"/>
                      <w:sz w:val="21"/>
                      <w:szCs w:val="21"/>
                      <w:lang w:val="en-US" w:eastAsia="zh-CN"/>
                      <w14:textFill>
                        <w14:solidFill>
                          <w14:schemeClr w14:val="tx1"/>
                        </w14:solidFill>
                      </w14:textFill>
                    </w:rPr>
                  </w:pPr>
                  <w:r>
                    <w:rPr>
                      <w:rFonts w:hint="default" w:eastAsia="宋体"/>
                      <w:b w:val="0"/>
                      <w:bCs/>
                      <w:color w:val="000000" w:themeColor="text1"/>
                      <w:sz w:val="21"/>
                      <w:szCs w:val="21"/>
                      <w:lang w:val="en-US" w:eastAsia="zh-CN"/>
                      <w14:textFill>
                        <w14:solidFill>
                          <w14:schemeClr w14:val="tx1"/>
                        </w14:solidFill>
                      </w14:textFill>
                    </w:rPr>
                    <w:t>0.75</w:t>
                  </w:r>
                </w:p>
              </w:tc>
            </w:tr>
            <w:tr w14:paraId="45646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69" w:type="pct"/>
                  <w:noWrap w:val="0"/>
                  <w:vAlign w:val="center"/>
                </w:tcPr>
                <w:p w14:paraId="7432F288">
                  <w:pPr>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2</w:t>
                  </w:r>
                </w:p>
              </w:tc>
              <w:tc>
                <w:tcPr>
                  <w:tcW w:w="329" w:type="pct"/>
                  <w:vMerge w:val="restart"/>
                  <w:noWrap w:val="0"/>
                  <w:vAlign w:val="center"/>
                </w:tcPr>
                <w:p w14:paraId="0132D6D1">
                  <w:pPr>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一般工业固废</w:t>
                  </w:r>
                </w:p>
              </w:tc>
              <w:tc>
                <w:tcPr>
                  <w:tcW w:w="425" w:type="pct"/>
                  <w:noWrap w:val="0"/>
                  <w:vAlign w:val="center"/>
                </w:tcPr>
                <w:p w14:paraId="66DC485B">
                  <w:pPr>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default" w:eastAsia="宋体"/>
                      <w:b w:val="0"/>
                      <w:bCs/>
                      <w:color w:val="000000" w:themeColor="text1"/>
                      <w:sz w:val="21"/>
                      <w:szCs w:val="21"/>
                      <w:highlight w:val="none"/>
                      <w:lang w:val="en-US" w:eastAsia="zh-CN"/>
                      <w14:textFill>
                        <w14:solidFill>
                          <w14:schemeClr w14:val="tx1"/>
                        </w14:solidFill>
                      </w14:textFill>
                    </w:rPr>
                    <w:t>宠物排泄物</w:t>
                  </w:r>
                </w:p>
              </w:tc>
              <w:tc>
                <w:tcPr>
                  <w:tcW w:w="1504" w:type="pct"/>
                  <w:noWrap w:val="0"/>
                  <w:vAlign w:val="center"/>
                </w:tcPr>
                <w:p w14:paraId="530D839E">
                  <w:pPr>
                    <w:widowControl/>
                    <w:jc w:val="center"/>
                    <w:rPr>
                      <w:rFonts w:hint="eastAsia" w:eastAsia="宋体"/>
                      <w:b w:val="0"/>
                      <w:bCs/>
                      <w:color w:val="000000" w:themeColor="text1"/>
                      <w:kern w:val="0"/>
                      <w:sz w:val="21"/>
                      <w:szCs w:val="21"/>
                      <w:highlight w:val="none"/>
                      <w:lang w:val="en-US" w:eastAsia="zh-CN" w:bidi="ar"/>
                      <w14:textFill>
                        <w14:solidFill>
                          <w14:schemeClr w14:val="tx1"/>
                        </w14:solidFill>
                      </w14:textFill>
                    </w:rPr>
                  </w:pPr>
                  <w:r>
                    <w:rPr>
                      <w:rFonts w:hint="eastAsia"/>
                      <w:b w:val="0"/>
                      <w:bCs/>
                      <w:color w:val="000000" w:themeColor="text1"/>
                      <w:kern w:val="0"/>
                      <w:sz w:val="21"/>
                      <w:szCs w:val="21"/>
                      <w:highlight w:val="none"/>
                      <w:lang w:val="en-US" w:eastAsia="zh-CN" w:bidi="ar"/>
                      <w14:textFill>
                        <w14:solidFill>
                          <w14:schemeClr w14:val="tx1"/>
                        </w14:solidFill>
                      </w14:textFill>
                    </w:rPr>
                    <w:t>/</w:t>
                  </w:r>
                </w:p>
              </w:tc>
              <w:tc>
                <w:tcPr>
                  <w:tcW w:w="742" w:type="pct"/>
                  <w:noWrap w:val="0"/>
                  <w:vAlign w:val="center"/>
                </w:tcPr>
                <w:p w14:paraId="61F849DB">
                  <w:pPr>
                    <w:widowControl/>
                    <w:jc w:val="center"/>
                    <w:rPr>
                      <w:b w:val="0"/>
                      <w:bCs/>
                      <w:color w:val="000000" w:themeColor="text1"/>
                      <w:kern w:val="0"/>
                      <w:sz w:val="21"/>
                      <w:szCs w:val="21"/>
                      <w:highlight w:val="none"/>
                      <w:lang w:bidi="ar"/>
                      <w14:textFill>
                        <w14:solidFill>
                          <w14:schemeClr w14:val="tx1"/>
                        </w14:solidFill>
                      </w14:textFill>
                    </w:rPr>
                  </w:pPr>
                  <w:r>
                    <w:rPr>
                      <w:b w:val="0"/>
                      <w:bCs/>
                      <w:color w:val="000000" w:themeColor="text1"/>
                      <w:kern w:val="0"/>
                      <w:sz w:val="21"/>
                      <w:szCs w:val="21"/>
                      <w:highlight w:val="none"/>
                      <w:lang w:bidi="ar"/>
                      <w14:textFill>
                        <w14:solidFill>
                          <w14:schemeClr w14:val="tx1"/>
                        </w14:solidFill>
                      </w14:textFill>
                    </w:rPr>
                    <w:t>固态</w:t>
                  </w:r>
                </w:p>
              </w:tc>
              <w:tc>
                <w:tcPr>
                  <w:tcW w:w="552" w:type="pct"/>
                  <w:noWrap w:val="0"/>
                  <w:vAlign w:val="center"/>
                </w:tcPr>
                <w:p w14:paraId="7C4D3EE8">
                  <w:pPr>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default" w:eastAsia="宋体"/>
                      <w:b w:val="0"/>
                      <w:bCs/>
                      <w:color w:val="000000" w:themeColor="text1"/>
                      <w:sz w:val="21"/>
                      <w:szCs w:val="21"/>
                      <w:highlight w:val="none"/>
                      <w:lang w:val="en-US" w:eastAsia="zh-CN"/>
                      <w14:textFill>
                        <w14:solidFill>
                          <w14:schemeClr w14:val="tx1"/>
                        </w14:solidFill>
                      </w14:textFill>
                    </w:rPr>
                    <w:t>0.0</w:t>
                  </w:r>
                  <w:r>
                    <w:rPr>
                      <w:rFonts w:hint="eastAsia"/>
                      <w:b w:val="0"/>
                      <w:bCs/>
                      <w:color w:val="000000" w:themeColor="text1"/>
                      <w:sz w:val="21"/>
                      <w:szCs w:val="21"/>
                      <w:highlight w:val="none"/>
                      <w:lang w:val="en-US" w:eastAsia="zh-CN"/>
                      <w14:textFill>
                        <w14:solidFill>
                          <w14:schemeClr w14:val="tx1"/>
                        </w14:solidFill>
                      </w14:textFill>
                    </w:rPr>
                    <w:t>08</w:t>
                  </w:r>
                </w:p>
              </w:tc>
              <w:tc>
                <w:tcPr>
                  <w:tcW w:w="621" w:type="pct"/>
                  <w:vMerge w:val="continue"/>
                  <w:noWrap w:val="0"/>
                  <w:vAlign w:val="center"/>
                </w:tcPr>
                <w:p w14:paraId="207D0A37">
                  <w:pPr>
                    <w:widowControl/>
                    <w:jc w:val="center"/>
                    <w:rPr>
                      <w:rFonts w:hint="default" w:eastAsia="宋体"/>
                      <w:b w:val="0"/>
                      <w:bCs/>
                      <w:color w:val="000000" w:themeColor="text1"/>
                      <w:kern w:val="0"/>
                      <w:sz w:val="21"/>
                      <w:szCs w:val="21"/>
                      <w:highlight w:val="none"/>
                      <w:lang w:val="en-US" w:eastAsia="zh-CN" w:bidi="ar"/>
                      <w14:textFill>
                        <w14:solidFill>
                          <w14:schemeClr w14:val="tx1"/>
                        </w14:solidFill>
                      </w14:textFill>
                    </w:rPr>
                  </w:pPr>
                </w:p>
              </w:tc>
              <w:tc>
                <w:tcPr>
                  <w:tcW w:w="553" w:type="pct"/>
                  <w:noWrap w:val="0"/>
                  <w:vAlign w:val="center"/>
                </w:tcPr>
                <w:p w14:paraId="7ACF6D31">
                  <w:pPr>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default" w:eastAsia="宋体"/>
                      <w:b w:val="0"/>
                      <w:bCs/>
                      <w:color w:val="000000" w:themeColor="text1"/>
                      <w:sz w:val="21"/>
                      <w:szCs w:val="21"/>
                      <w:highlight w:val="none"/>
                      <w:lang w:val="en-US" w:eastAsia="zh-CN"/>
                      <w14:textFill>
                        <w14:solidFill>
                          <w14:schemeClr w14:val="tx1"/>
                        </w14:solidFill>
                      </w14:textFill>
                    </w:rPr>
                    <w:t>0.0</w:t>
                  </w:r>
                  <w:r>
                    <w:rPr>
                      <w:rFonts w:hint="eastAsia"/>
                      <w:b w:val="0"/>
                      <w:bCs/>
                      <w:color w:val="000000" w:themeColor="text1"/>
                      <w:sz w:val="21"/>
                      <w:szCs w:val="21"/>
                      <w:highlight w:val="none"/>
                      <w:lang w:val="en-US" w:eastAsia="zh-CN"/>
                      <w14:textFill>
                        <w14:solidFill>
                          <w14:schemeClr w14:val="tx1"/>
                        </w14:solidFill>
                      </w14:textFill>
                    </w:rPr>
                    <w:t>2</w:t>
                  </w:r>
                </w:p>
              </w:tc>
            </w:tr>
            <w:tr w14:paraId="521DC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69" w:type="pct"/>
                  <w:noWrap w:val="0"/>
                  <w:vAlign w:val="center"/>
                </w:tcPr>
                <w:p w14:paraId="75D86091">
                  <w:pPr>
                    <w:jc w:val="center"/>
                    <w:rPr>
                      <w:rFonts w:hint="eastAsia"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3</w:t>
                  </w:r>
                </w:p>
              </w:tc>
              <w:tc>
                <w:tcPr>
                  <w:tcW w:w="329" w:type="pct"/>
                  <w:vMerge w:val="continue"/>
                  <w:noWrap w:val="0"/>
                  <w:vAlign w:val="center"/>
                </w:tcPr>
                <w:p w14:paraId="6EF9CC8B">
                  <w:pPr>
                    <w:jc w:val="center"/>
                    <w:rPr>
                      <w:b w:val="0"/>
                      <w:bCs/>
                      <w:color w:val="000000" w:themeColor="text1"/>
                      <w:sz w:val="21"/>
                      <w:szCs w:val="21"/>
                      <w14:textFill>
                        <w14:solidFill>
                          <w14:schemeClr w14:val="tx1"/>
                        </w14:solidFill>
                      </w14:textFill>
                    </w:rPr>
                  </w:pPr>
                </w:p>
              </w:tc>
              <w:tc>
                <w:tcPr>
                  <w:tcW w:w="425" w:type="pct"/>
                  <w:noWrap w:val="0"/>
                  <w:vAlign w:val="center"/>
                </w:tcPr>
                <w:p w14:paraId="6A39AEBC">
                  <w:pPr>
                    <w:jc w:val="center"/>
                    <w:rPr>
                      <w:rFonts w:hint="default" w:eastAsia="宋体"/>
                      <w:b w:val="0"/>
                      <w:bCs/>
                      <w:color w:val="000000" w:themeColor="text1"/>
                      <w:kern w:val="0"/>
                      <w:sz w:val="21"/>
                      <w:szCs w:val="21"/>
                      <w:highlight w:val="none"/>
                      <w:lang w:val="en-US" w:eastAsia="zh-CN" w:bidi="ar"/>
                      <w14:textFill>
                        <w14:solidFill>
                          <w14:schemeClr w14:val="tx1"/>
                        </w14:solidFill>
                      </w14:textFill>
                    </w:rPr>
                  </w:pPr>
                  <w:r>
                    <w:rPr>
                      <w:rFonts w:hint="default" w:eastAsia="宋体"/>
                      <w:b w:val="0"/>
                      <w:bCs/>
                      <w:color w:val="000000" w:themeColor="text1"/>
                      <w:kern w:val="0"/>
                      <w:sz w:val="21"/>
                      <w:szCs w:val="21"/>
                      <w:highlight w:val="none"/>
                      <w:lang w:val="en-US" w:eastAsia="zh-CN" w:bidi="ar"/>
                      <w14:textFill>
                        <w14:solidFill>
                          <w14:schemeClr w14:val="tx1"/>
                        </w14:solidFill>
                      </w14:textFill>
                    </w:rPr>
                    <w:t>宠物废毛</w:t>
                  </w:r>
                </w:p>
              </w:tc>
              <w:tc>
                <w:tcPr>
                  <w:tcW w:w="1504" w:type="pct"/>
                  <w:noWrap w:val="0"/>
                  <w:vAlign w:val="center"/>
                </w:tcPr>
                <w:p w14:paraId="72C53EF7">
                  <w:pPr>
                    <w:widowControl/>
                    <w:jc w:val="center"/>
                    <w:rPr>
                      <w:rFonts w:hint="default" w:eastAsia="宋体"/>
                      <w:b w:val="0"/>
                      <w:bCs/>
                      <w:color w:val="000000" w:themeColor="text1"/>
                      <w:kern w:val="0"/>
                      <w:sz w:val="21"/>
                      <w:szCs w:val="21"/>
                      <w:highlight w:val="none"/>
                      <w:lang w:val="en-US" w:eastAsia="zh-CN" w:bidi="ar"/>
                      <w14:textFill>
                        <w14:solidFill>
                          <w14:schemeClr w14:val="tx1"/>
                        </w14:solidFill>
                      </w14:textFill>
                    </w:rPr>
                  </w:pPr>
                  <w:r>
                    <w:rPr>
                      <w:rFonts w:hint="eastAsia"/>
                      <w:b w:val="0"/>
                      <w:bCs/>
                      <w:color w:val="000000" w:themeColor="text1"/>
                      <w:kern w:val="0"/>
                      <w:sz w:val="21"/>
                      <w:szCs w:val="21"/>
                      <w:highlight w:val="none"/>
                      <w:lang w:val="en-US" w:eastAsia="zh-CN" w:bidi="ar"/>
                      <w14:textFill>
                        <w14:solidFill>
                          <w14:schemeClr w14:val="tx1"/>
                        </w14:solidFill>
                      </w14:textFill>
                    </w:rPr>
                    <w:t>/</w:t>
                  </w:r>
                </w:p>
              </w:tc>
              <w:tc>
                <w:tcPr>
                  <w:tcW w:w="742" w:type="pct"/>
                  <w:noWrap w:val="0"/>
                  <w:vAlign w:val="center"/>
                </w:tcPr>
                <w:p w14:paraId="55E157B7">
                  <w:pPr>
                    <w:widowControl/>
                    <w:jc w:val="center"/>
                    <w:rPr>
                      <w:b w:val="0"/>
                      <w:bCs/>
                      <w:color w:val="000000" w:themeColor="text1"/>
                      <w:kern w:val="0"/>
                      <w:sz w:val="21"/>
                      <w:szCs w:val="21"/>
                      <w:highlight w:val="none"/>
                      <w:lang w:bidi="ar"/>
                      <w14:textFill>
                        <w14:solidFill>
                          <w14:schemeClr w14:val="tx1"/>
                        </w14:solidFill>
                      </w14:textFill>
                    </w:rPr>
                  </w:pPr>
                  <w:r>
                    <w:rPr>
                      <w:b w:val="0"/>
                      <w:bCs/>
                      <w:color w:val="000000" w:themeColor="text1"/>
                      <w:kern w:val="0"/>
                      <w:sz w:val="21"/>
                      <w:szCs w:val="21"/>
                      <w:highlight w:val="none"/>
                      <w:lang w:bidi="ar"/>
                      <w14:textFill>
                        <w14:solidFill>
                          <w14:schemeClr w14:val="tx1"/>
                        </w14:solidFill>
                      </w14:textFill>
                    </w:rPr>
                    <w:t>固态</w:t>
                  </w:r>
                </w:p>
              </w:tc>
              <w:tc>
                <w:tcPr>
                  <w:tcW w:w="552" w:type="pct"/>
                  <w:noWrap w:val="0"/>
                  <w:vAlign w:val="center"/>
                </w:tcPr>
                <w:p w14:paraId="12809F7C">
                  <w:pPr>
                    <w:jc w:val="center"/>
                    <w:rPr>
                      <w:rFonts w:hint="default"/>
                      <w:b w:val="0"/>
                      <w:bCs/>
                      <w:color w:val="000000" w:themeColor="text1"/>
                      <w:kern w:val="0"/>
                      <w:sz w:val="21"/>
                      <w:szCs w:val="21"/>
                      <w:highlight w:val="none"/>
                      <w:lang w:val="en-US" w:eastAsia="zh-CN" w:bidi="ar"/>
                      <w14:textFill>
                        <w14:solidFill>
                          <w14:schemeClr w14:val="tx1"/>
                        </w14:solidFill>
                      </w14:textFill>
                    </w:rPr>
                  </w:pPr>
                  <w:r>
                    <w:rPr>
                      <w:rFonts w:hint="default"/>
                      <w:b w:val="0"/>
                      <w:bCs/>
                      <w:color w:val="000000" w:themeColor="text1"/>
                      <w:kern w:val="0"/>
                      <w:sz w:val="21"/>
                      <w:szCs w:val="21"/>
                      <w:highlight w:val="none"/>
                      <w:lang w:val="en-US" w:eastAsia="zh-CN" w:bidi="ar"/>
                      <w14:textFill>
                        <w14:solidFill>
                          <w14:schemeClr w14:val="tx1"/>
                        </w14:solidFill>
                      </w14:textFill>
                    </w:rPr>
                    <w:t>0.0</w:t>
                  </w:r>
                  <w:r>
                    <w:rPr>
                      <w:rFonts w:hint="eastAsia"/>
                      <w:b w:val="0"/>
                      <w:bCs/>
                      <w:color w:val="000000" w:themeColor="text1"/>
                      <w:kern w:val="0"/>
                      <w:sz w:val="21"/>
                      <w:szCs w:val="21"/>
                      <w:highlight w:val="none"/>
                      <w:lang w:val="en-US" w:eastAsia="zh-CN" w:bidi="ar"/>
                      <w14:textFill>
                        <w14:solidFill>
                          <w14:schemeClr w14:val="tx1"/>
                        </w14:solidFill>
                      </w14:textFill>
                    </w:rPr>
                    <w:t>9</w:t>
                  </w:r>
                </w:p>
              </w:tc>
              <w:tc>
                <w:tcPr>
                  <w:tcW w:w="621" w:type="pct"/>
                  <w:vMerge w:val="continue"/>
                  <w:noWrap w:val="0"/>
                  <w:vAlign w:val="center"/>
                </w:tcPr>
                <w:p w14:paraId="04E7F43F">
                  <w:pPr>
                    <w:widowControl/>
                    <w:jc w:val="center"/>
                    <w:rPr>
                      <w:rFonts w:hint="eastAsia"/>
                      <w:b w:val="0"/>
                      <w:bCs/>
                      <w:color w:val="000000" w:themeColor="text1"/>
                      <w:kern w:val="0"/>
                      <w:sz w:val="21"/>
                      <w:szCs w:val="21"/>
                      <w:highlight w:val="none"/>
                      <w:lang w:val="en-US" w:eastAsia="zh-CN" w:bidi="ar"/>
                      <w14:textFill>
                        <w14:solidFill>
                          <w14:schemeClr w14:val="tx1"/>
                        </w14:solidFill>
                      </w14:textFill>
                    </w:rPr>
                  </w:pPr>
                </w:p>
              </w:tc>
              <w:tc>
                <w:tcPr>
                  <w:tcW w:w="553" w:type="pct"/>
                  <w:noWrap w:val="0"/>
                  <w:vAlign w:val="center"/>
                </w:tcPr>
                <w:p w14:paraId="1914AC8A">
                  <w:pPr>
                    <w:jc w:val="center"/>
                    <w:rPr>
                      <w:rFonts w:hint="default" w:eastAsia="宋体"/>
                      <w:b w:val="0"/>
                      <w:bCs/>
                      <w:color w:val="000000" w:themeColor="text1"/>
                      <w:sz w:val="21"/>
                      <w:szCs w:val="21"/>
                      <w:highlight w:val="none"/>
                      <w:lang w:val="en-US" w:eastAsia="zh-CN"/>
                      <w14:textFill>
                        <w14:solidFill>
                          <w14:schemeClr w14:val="tx1"/>
                        </w14:solidFill>
                      </w14:textFill>
                    </w:rPr>
                  </w:pPr>
                  <w:r>
                    <w:rPr>
                      <w:rFonts w:hint="default" w:eastAsia="宋体"/>
                      <w:b w:val="0"/>
                      <w:bCs/>
                      <w:color w:val="000000" w:themeColor="text1"/>
                      <w:sz w:val="21"/>
                      <w:szCs w:val="21"/>
                      <w:highlight w:val="none"/>
                      <w:lang w:val="en-US" w:eastAsia="zh-CN"/>
                      <w14:textFill>
                        <w14:solidFill>
                          <w14:schemeClr w14:val="tx1"/>
                        </w14:solidFill>
                      </w14:textFill>
                    </w:rPr>
                    <w:t>0.0</w:t>
                  </w:r>
                  <w:r>
                    <w:rPr>
                      <w:rFonts w:hint="eastAsia"/>
                      <w:b w:val="0"/>
                      <w:bCs/>
                      <w:color w:val="000000" w:themeColor="text1"/>
                      <w:sz w:val="21"/>
                      <w:szCs w:val="21"/>
                      <w:highlight w:val="none"/>
                      <w:lang w:val="en-US" w:eastAsia="zh-CN"/>
                      <w14:textFill>
                        <w14:solidFill>
                          <w14:schemeClr w14:val="tx1"/>
                        </w14:solidFill>
                      </w14:textFill>
                    </w:rPr>
                    <w:t>3</w:t>
                  </w:r>
                </w:p>
              </w:tc>
            </w:tr>
            <w:tr w14:paraId="4C1DC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269" w:type="pct"/>
                  <w:noWrap w:val="0"/>
                  <w:vAlign w:val="center"/>
                </w:tcPr>
                <w:p w14:paraId="7287BBB5">
                  <w:pPr>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4</w:t>
                  </w:r>
                </w:p>
              </w:tc>
              <w:tc>
                <w:tcPr>
                  <w:tcW w:w="329" w:type="pct"/>
                  <w:vMerge w:val="restart"/>
                  <w:noWrap w:val="0"/>
                  <w:vAlign w:val="center"/>
                </w:tcPr>
                <w:p w14:paraId="3DCB7D47">
                  <w:pPr>
                    <w:jc w:val="center"/>
                    <w:rPr>
                      <w:rFonts w:hint="eastAsia"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危险废物</w:t>
                  </w:r>
                </w:p>
              </w:tc>
              <w:tc>
                <w:tcPr>
                  <w:tcW w:w="425" w:type="pct"/>
                  <w:noWrap w:val="0"/>
                  <w:vAlign w:val="center"/>
                </w:tcPr>
                <w:p w14:paraId="37414876">
                  <w:pPr>
                    <w:jc w:val="center"/>
                    <w:rPr>
                      <w:rFonts w:hint="default" w:eastAsia="宋体"/>
                      <w:b w:val="0"/>
                      <w:bCs/>
                      <w:color w:val="000000" w:themeColor="text1"/>
                      <w:sz w:val="21"/>
                      <w:szCs w:val="21"/>
                      <w:lang w:val="en-US" w:eastAsia="zh-CN"/>
                      <w14:textFill>
                        <w14:solidFill>
                          <w14:schemeClr w14:val="tx1"/>
                        </w14:solidFill>
                      </w14:textFill>
                    </w:rPr>
                  </w:pPr>
                  <w:r>
                    <w:rPr>
                      <w:rFonts w:hint="default" w:eastAsia="宋体"/>
                      <w:b w:val="0"/>
                      <w:bCs/>
                      <w:color w:val="000000" w:themeColor="text1"/>
                      <w:sz w:val="21"/>
                      <w:szCs w:val="21"/>
                      <w:lang w:val="en-US" w:eastAsia="zh-CN"/>
                      <w14:textFill>
                        <w14:solidFill>
                          <w14:schemeClr w14:val="tx1"/>
                        </w14:solidFill>
                      </w14:textFill>
                    </w:rPr>
                    <w:t>医疗废物</w:t>
                  </w:r>
                </w:p>
              </w:tc>
              <w:tc>
                <w:tcPr>
                  <w:tcW w:w="1504" w:type="pct"/>
                  <w:noWrap w:val="0"/>
                  <w:vAlign w:val="center"/>
                </w:tcPr>
                <w:p w14:paraId="417003B6">
                  <w:pPr>
                    <w:widowControl/>
                    <w:jc w:val="center"/>
                    <w:rPr>
                      <w:rFonts w:hint="default"/>
                      <w:b w:val="0"/>
                      <w:bCs/>
                      <w:color w:val="000000" w:themeColor="text1"/>
                      <w:kern w:val="0"/>
                      <w:sz w:val="21"/>
                      <w:szCs w:val="21"/>
                      <w:lang w:bidi="ar"/>
                      <w14:textFill>
                        <w14:solidFill>
                          <w14:schemeClr w14:val="tx1"/>
                        </w14:solidFill>
                      </w14:textFill>
                    </w:rPr>
                  </w:pPr>
                  <w:r>
                    <w:rPr>
                      <w:rFonts w:hint="default"/>
                      <w:b w:val="0"/>
                      <w:bCs/>
                      <w:color w:val="000000" w:themeColor="text1"/>
                      <w:kern w:val="0"/>
                      <w:sz w:val="21"/>
                      <w:szCs w:val="21"/>
                      <w:lang w:bidi="ar"/>
                      <w14:textFill>
                        <w14:solidFill>
                          <w14:schemeClr w14:val="tx1"/>
                        </w14:solidFill>
                      </w14:textFill>
                    </w:rPr>
                    <w:t>HW01</w:t>
                  </w:r>
                </w:p>
                <w:p w14:paraId="27580E27">
                  <w:pPr>
                    <w:widowControl/>
                    <w:jc w:val="center"/>
                    <w:rPr>
                      <w:b w:val="0"/>
                      <w:bCs/>
                      <w:color w:val="000000" w:themeColor="text1"/>
                      <w:kern w:val="0"/>
                      <w:sz w:val="21"/>
                      <w:szCs w:val="21"/>
                      <w:lang w:bidi="ar"/>
                      <w14:textFill>
                        <w14:solidFill>
                          <w14:schemeClr w14:val="tx1"/>
                        </w14:solidFill>
                      </w14:textFill>
                    </w:rPr>
                  </w:pPr>
                  <w:r>
                    <w:rPr>
                      <w:rFonts w:hint="default"/>
                      <w:b w:val="0"/>
                      <w:bCs/>
                      <w:color w:val="000000" w:themeColor="text1"/>
                      <w:kern w:val="0"/>
                      <w:sz w:val="21"/>
                      <w:szCs w:val="21"/>
                      <w:lang w:bidi="ar"/>
                      <w14:textFill>
                        <w14:solidFill>
                          <w14:schemeClr w14:val="tx1"/>
                        </w14:solidFill>
                      </w14:textFill>
                    </w:rPr>
                    <w:t>831-001-01~831-005-01</w:t>
                  </w:r>
                </w:p>
              </w:tc>
              <w:tc>
                <w:tcPr>
                  <w:tcW w:w="742" w:type="pct"/>
                  <w:noWrap w:val="0"/>
                  <w:vAlign w:val="center"/>
                </w:tcPr>
                <w:p w14:paraId="03882119">
                  <w:pPr>
                    <w:jc w:val="center"/>
                    <w:rPr>
                      <w:b w:val="0"/>
                      <w:bCs/>
                      <w:color w:val="000000" w:themeColor="text1"/>
                      <w:sz w:val="21"/>
                      <w:szCs w:val="21"/>
                      <w14:textFill>
                        <w14:solidFill>
                          <w14:schemeClr w14:val="tx1"/>
                        </w14:solidFill>
                      </w14:textFill>
                    </w:rPr>
                  </w:pPr>
                  <w:r>
                    <w:rPr>
                      <w:b w:val="0"/>
                      <w:bCs/>
                      <w:color w:val="000000" w:themeColor="text1"/>
                      <w:kern w:val="0"/>
                      <w:sz w:val="21"/>
                      <w:szCs w:val="21"/>
                      <w:lang w:bidi="ar"/>
                      <w14:textFill>
                        <w14:solidFill>
                          <w14:schemeClr w14:val="tx1"/>
                        </w14:solidFill>
                      </w14:textFill>
                    </w:rPr>
                    <w:t>固态</w:t>
                  </w:r>
                </w:p>
              </w:tc>
              <w:tc>
                <w:tcPr>
                  <w:tcW w:w="552" w:type="pct"/>
                  <w:noWrap w:val="0"/>
                  <w:vAlign w:val="center"/>
                </w:tcPr>
                <w:p w14:paraId="232AE077">
                  <w:pPr>
                    <w:jc w:val="center"/>
                    <w:rPr>
                      <w:rFonts w:hint="default" w:eastAsia="宋体"/>
                      <w:b w:val="0"/>
                      <w:bCs/>
                      <w:color w:val="000000" w:themeColor="text1"/>
                      <w:sz w:val="21"/>
                      <w:szCs w:val="21"/>
                      <w:lang w:val="en-US" w:eastAsia="zh-CN"/>
                      <w14:textFill>
                        <w14:solidFill>
                          <w14:schemeClr w14:val="tx1"/>
                        </w14:solidFill>
                      </w14:textFill>
                    </w:rPr>
                  </w:pPr>
                  <w:r>
                    <w:rPr>
                      <w:rFonts w:hint="default" w:eastAsia="宋体"/>
                      <w:b w:val="0"/>
                      <w:bCs/>
                      <w:color w:val="000000" w:themeColor="text1"/>
                      <w:sz w:val="21"/>
                      <w:szCs w:val="21"/>
                      <w:lang w:val="en-US" w:eastAsia="zh-CN"/>
                      <w14:textFill>
                        <w14:solidFill>
                          <w14:schemeClr w14:val="tx1"/>
                        </w14:solidFill>
                      </w14:textFill>
                    </w:rPr>
                    <w:t>0.1</w:t>
                  </w:r>
                </w:p>
              </w:tc>
              <w:tc>
                <w:tcPr>
                  <w:tcW w:w="621" w:type="pct"/>
                  <w:vMerge w:val="restart"/>
                  <w:noWrap w:val="0"/>
                  <w:vAlign w:val="center"/>
                </w:tcPr>
                <w:p w14:paraId="5C1CACD4">
                  <w:pPr>
                    <w:widowControl/>
                    <w:jc w:val="center"/>
                    <w:rPr>
                      <w:b w:val="0"/>
                      <w:bCs/>
                      <w:color w:val="000000" w:themeColor="text1"/>
                      <w:sz w:val="21"/>
                      <w:szCs w:val="21"/>
                      <w14:textFill>
                        <w14:solidFill>
                          <w14:schemeClr w14:val="tx1"/>
                        </w14:solidFill>
                      </w14:textFill>
                    </w:rPr>
                  </w:pPr>
                  <w:r>
                    <w:rPr>
                      <w:rFonts w:hint="default"/>
                      <w:b w:val="0"/>
                      <w:bCs/>
                      <w:color w:val="000000" w:themeColor="text1"/>
                      <w:sz w:val="21"/>
                      <w:szCs w:val="21"/>
                      <w14:textFill>
                        <w14:solidFill>
                          <w14:schemeClr w14:val="tx1"/>
                        </w14:solidFill>
                      </w14:textFill>
                    </w:rPr>
                    <w:t>集中收集消毒后</w:t>
                  </w:r>
                  <w:r>
                    <w:rPr>
                      <w:rFonts w:hint="eastAsia"/>
                      <w:b w:val="0"/>
                      <w:bCs/>
                      <w:color w:val="000000" w:themeColor="text1"/>
                      <w:sz w:val="21"/>
                      <w:szCs w:val="21"/>
                      <w:lang w:val="en-US" w:eastAsia="zh-CN"/>
                      <w14:textFill>
                        <w14:solidFill>
                          <w14:schemeClr w14:val="tx1"/>
                        </w14:solidFill>
                      </w14:textFill>
                    </w:rPr>
                    <w:t>暂</w:t>
                  </w:r>
                  <w:r>
                    <w:rPr>
                      <w:rFonts w:hint="default"/>
                      <w:b w:val="0"/>
                      <w:bCs/>
                      <w:color w:val="000000" w:themeColor="text1"/>
                      <w:sz w:val="21"/>
                      <w:szCs w:val="21"/>
                      <w14:textFill>
                        <w14:solidFill>
                          <w14:schemeClr w14:val="tx1"/>
                        </w14:solidFill>
                      </w14:textFill>
                    </w:rPr>
                    <w:t>存在医疗废物暂存间，</w:t>
                  </w:r>
                  <w:r>
                    <w:rPr>
                      <w:rFonts w:hint="default"/>
                      <w:b w:val="0"/>
                      <w:bCs/>
                      <w:color w:val="000000" w:themeColor="text1"/>
                      <w:sz w:val="21"/>
                      <w:szCs w:val="21"/>
                      <w:lang w:val="en-US" w:eastAsia="zh-CN"/>
                      <w14:textFill>
                        <w14:solidFill>
                          <w14:schemeClr w14:val="tx1"/>
                        </w14:solidFill>
                      </w14:textFill>
                    </w:rPr>
                    <w:t>委托有资质单位收运处置</w:t>
                  </w:r>
                </w:p>
              </w:tc>
              <w:tc>
                <w:tcPr>
                  <w:tcW w:w="553" w:type="pct"/>
                  <w:noWrap w:val="0"/>
                  <w:vAlign w:val="center"/>
                </w:tcPr>
                <w:p w14:paraId="7B20EBF7">
                  <w:pPr>
                    <w:jc w:val="center"/>
                    <w:rPr>
                      <w:rFonts w:hint="default" w:eastAsia="宋体"/>
                      <w:b w:val="0"/>
                      <w:bCs/>
                      <w:color w:val="000000" w:themeColor="text1"/>
                      <w:sz w:val="21"/>
                      <w:szCs w:val="21"/>
                      <w:lang w:val="en-US" w:eastAsia="zh-CN"/>
                      <w14:textFill>
                        <w14:solidFill>
                          <w14:schemeClr w14:val="tx1"/>
                        </w14:solidFill>
                      </w14:textFill>
                    </w:rPr>
                  </w:pPr>
                  <w:r>
                    <w:rPr>
                      <w:rFonts w:hint="default" w:eastAsia="宋体"/>
                      <w:b w:val="0"/>
                      <w:bCs/>
                      <w:color w:val="000000" w:themeColor="text1"/>
                      <w:sz w:val="21"/>
                      <w:szCs w:val="21"/>
                      <w:lang w:val="en-US" w:eastAsia="zh-CN"/>
                      <w14:textFill>
                        <w14:solidFill>
                          <w14:schemeClr w14:val="tx1"/>
                        </w14:solidFill>
                      </w14:textFill>
                    </w:rPr>
                    <w:t>0.1</w:t>
                  </w:r>
                </w:p>
              </w:tc>
            </w:tr>
            <w:tr w14:paraId="641D2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269" w:type="pct"/>
                  <w:noWrap w:val="0"/>
                  <w:vAlign w:val="center"/>
                </w:tcPr>
                <w:p w14:paraId="01B85CEA">
                  <w:pPr>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5</w:t>
                  </w:r>
                </w:p>
              </w:tc>
              <w:tc>
                <w:tcPr>
                  <w:tcW w:w="329" w:type="pct"/>
                  <w:vMerge w:val="continue"/>
                  <w:noWrap w:val="0"/>
                  <w:vAlign w:val="center"/>
                </w:tcPr>
                <w:p w14:paraId="46B437D7">
                  <w:pPr>
                    <w:jc w:val="center"/>
                    <w:rPr>
                      <w:rFonts w:hint="eastAsia"/>
                      <w:b w:val="0"/>
                      <w:bCs/>
                      <w:color w:val="000000" w:themeColor="text1"/>
                      <w:sz w:val="21"/>
                      <w:szCs w:val="21"/>
                      <w:lang w:val="en-US" w:eastAsia="zh-CN"/>
                      <w14:textFill>
                        <w14:solidFill>
                          <w14:schemeClr w14:val="tx1"/>
                        </w14:solidFill>
                      </w14:textFill>
                    </w:rPr>
                  </w:pPr>
                </w:p>
              </w:tc>
              <w:tc>
                <w:tcPr>
                  <w:tcW w:w="425" w:type="pct"/>
                  <w:noWrap w:val="0"/>
                  <w:vAlign w:val="center"/>
                </w:tcPr>
                <w:p w14:paraId="30AB1994">
                  <w:pPr>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污泥</w:t>
                  </w:r>
                </w:p>
              </w:tc>
              <w:tc>
                <w:tcPr>
                  <w:tcW w:w="1504" w:type="pct"/>
                  <w:noWrap w:val="0"/>
                  <w:vAlign w:val="center"/>
                </w:tcPr>
                <w:p w14:paraId="43260823">
                  <w:pPr>
                    <w:widowControl/>
                    <w:jc w:val="center"/>
                    <w:rPr>
                      <w:rFonts w:hint="default"/>
                      <w:b w:val="0"/>
                      <w:bCs/>
                      <w:color w:val="000000" w:themeColor="text1"/>
                      <w:kern w:val="0"/>
                      <w:sz w:val="21"/>
                      <w:szCs w:val="21"/>
                      <w:lang w:val="en-US" w:bidi="ar"/>
                      <w14:textFill>
                        <w14:solidFill>
                          <w14:schemeClr w14:val="tx1"/>
                        </w14:solidFill>
                      </w14:textFill>
                    </w:rPr>
                  </w:pPr>
                  <w:r>
                    <w:rPr>
                      <w:rFonts w:hint="default"/>
                      <w:b w:val="0"/>
                      <w:bCs/>
                      <w:color w:val="000000" w:themeColor="text1"/>
                      <w:kern w:val="0"/>
                      <w:sz w:val="21"/>
                      <w:szCs w:val="21"/>
                      <w:lang w:val="en-US" w:eastAsia="zh-CN" w:bidi="ar"/>
                      <w14:textFill>
                        <w14:solidFill>
                          <w14:schemeClr w14:val="tx1"/>
                        </w14:solidFill>
                      </w14:textFill>
                    </w:rPr>
                    <w:t>HW01</w:t>
                  </w:r>
                  <w:r>
                    <w:rPr>
                      <w:rFonts w:hint="eastAsia"/>
                      <w:b w:val="0"/>
                      <w:bCs/>
                      <w:color w:val="000000" w:themeColor="text1"/>
                      <w:kern w:val="0"/>
                      <w:sz w:val="21"/>
                      <w:szCs w:val="21"/>
                      <w:lang w:val="en-US" w:eastAsia="zh-CN" w:bidi="ar"/>
                      <w14:textFill>
                        <w14:solidFill>
                          <w14:schemeClr w14:val="tx1"/>
                        </w14:solidFill>
                      </w14:textFill>
                    </w:rPr>
                    <w:t xml:space="preserve"> 841-003-01</w:t>
                  </w:r>
                </w:p>
              </w:tc>
              <w:tc>
                <w:tcPr>
                  <w:tcW w:w="742" w:type="pct"/>
                  <w:noWrap w:val="0"/>
                  <w:vAlign w:val="center"/>
                </w:tcPr>
                <w:p w14:paraId="0C5BA406">
                  <w:pPr>
                    <w:jc w:val="center"/>
                    <w:rPr>
                      <w:rFonts w:hint="eastAsia" w:eastAsia="宋体"/>
                      <w:b w:val="0"/>
                      <w:bCs/>
                      <w:color w:val="000000" w:themeColor="text1"/>
                      <w:kern w:val="0"/>
                      <w:sz w:val="21"/>
                      <w:szCs w:val="21"/>
                      <w:lang w:val="en-US" w:eastAsia="zh-CN" w:bidi="ar"/>
                      <w14:textFill>
                        <w14:solidFill>
                          <w14:schemeClr w14:val="tx1"/>
                        </w14:solidFill>
                      </w14:textFill>
                    </w:rPr>
                  </w:pPr>
                  <w:r>
                    <w:rPr>
                      <w:rFonts w:hint="eastAsia"/>
                      <w:b w:val="0"/>
                      <w:bCs/>
                      <w:color w:val="000000" w:themeColor="text1"/>
                      <w:kern w:val="0"/>
                      <w:sz w:val="21"/>
                      <w:szCs w:val="21"/>
                      <w:lang w:val="en-US" w:eastAsia="zh-CN" w:bidi="ar"/>
                      <w14:textFill>
                        <w14:solidFill>
                          <w14:schemeClr w14:val="tx1"/>
                        </w14:solidFill>
                      </w14:textFill>
                    </w:rPr>
                    <w:t>固态</w:t>
                  </w:r>
                </w:p>
              </w:tc>
              <w:tc>
                <w:tcPr>
                  <w:tcW w:w="552" w:type="pct"/>
                  <w:noWrap w:val="0"/>
                  <w:vAlign w:val="center"/>
                </w:tcPr>
                <w:p w14:paraId="1499844F">
                  <w:pPr>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0.01</w:t>
                  </w:r>
                </w:p>
              </w:tc>
              <w:tc>
                <w:tcPr>
                  <w:tcW w:w="621" w:type="pct"/>
                  <w:vMerge w:val="continue"/>
                  <w:noWrap w:val="0"/>
                  <w:vAlign w:val="center"/>
                </w:tcPr>
                <w:p w14:paraId="4467A548">
                  <w:pPr>
                    <w:widowControl/>
                    <w:jc w:val="center"/>
                    <w:rPr>
                      <w:rFonts w:hint="default"/>
                      <w:b w:val="0"/>
                      <w:bCs/>
                      <w:color w:val="000000" w:themeColor="text1"/>
                      <w:sz w:val="21"/>
                      <w:szCs w:val="21"/>
                      <w14:textFill>
                        <w14:solidFill>
                          <w14:schemeClr w14:val="tx1"/>
                        </w14:solidFill>
                      </w14:textFill>
                    </w:rPr>
                  </w:pPr>
                </w:p>
              </w:tc>
              <w:tc>
                <w:tcPr>
                  <w:tcW w:w="553" w:type="pct"/>
                  <w:noWrap w:val="0"/>
                  <w:vAlign w:val="center"/>
                </w:tcPr>
                <w:p w14:paraId="50F6519A">
                  <w:pPr>
                    <w:jc w:val="center"/>
                    <w:rPr>
                      <w:rFonts w:hint="default" w:eastAsia="宋体"/>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0.01</w:t>
                  </w:r>
                </w:p>
              </w:tc>
            </w:tr>
            <w:tr w14:paraId="78757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noWrap w:val="0"/>
                  <w:vAlign w:val="center"/>
                </w:tcPr>
                <w:p w14:paraId="79B02DA1">
                  <w:pPr>
                    <w:jc w:val="center"/>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6</w:t>
                  </w:r>
                </w:p>
              </w:tc>
              <w:tc>
                <w:tcPr>
                  <w:tcW w:w="329" w:type="pct"/>
                  <w:vMerge w:val="continue"/>
                  <w:noWrap w:val="0"/>
                  <w:vAlign w:val="center"/>
                </w:tcPr>
                <w:p w14:paraId="4305B206">
                  <w:pPr>
                    <w:jc w:val="center"/>
                    <w:rPr>
                      <w:rFonts w:hint="eastAsia"/>
                      <w:b w:val="0"/>
                      <w:bCs/>
                      <w:color w:val="000000" w:themeColor="text1"/>
                      <w:sz w:val="21"/>
                      <w:szCs w:val="21"/>
                      <w:lang w:val="en-US" w:eastAsia="zh-CN"/>
                      <w14:textFill>
                        <w14:solidFill>
                          <w14:schemeClr w14:val="tx1"/>
                        </w14:solidFill>
                      </w14:textFill>
                    </w:rPr>
                  </w:pPr>
                </w:p>
              </w:tc>
              <w:tc>
                <w:tcPr>
                  <w:tcW w:w="425" w:type="pct"/>
                  <w:noWrap w:val="0"/>
                  <w:vAlign w:val="center"/>
                </w:tcPr>
                <w:p w14:paraId="768DA8D4">
                  <w:pPr>
                    <w:jc w:val="center"/>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废紫外线灯管</w:t>
                  </w:r>
                </w:p>
              </w:tc>
              <w:tc>
                <w:tcPr>
                  <w:tcW w:w="1504" w:type="pct"/>
                  <w:noWrap w:val="0"/>
                  <w:vAlign w:val="center"/>
                </w:tcPr>
                <w:p w14:paraId="253A9FEB">
                  <w:pPr>
                    <w:widowControl/>
                    <w:jc w:val="center"/>
                    <w:rPr>
                      <w:rFonts w:hint="default"/>
                      <w:b w:val="0"/>
                      <w:bCs/>
                      <w:color w:val="000000" w:themeColor="text1"/>
                      <w:kern w:val="0"/>
                      <w:sz w:val="21"/>
                      <w:szCs w:val="21"/>
                      <w:lang w:val="en-US" w:eastAsia="zh-CN" w:bidi="ar"/>
                      <w14:textFill>
                        <w14:solidFill>
                          <w14:schemeClr w14:val="tx1"/>
                        </w14:solidFill>
                      </w14:textFill>
                    </w:rPr>
                  </w:pPr>
                  <w:r>
                    <w:rPr>
                      <w:rFonts w:hint="default"/>
                      <w:b w:val="0"/>
                      <w:bCs/>
                      <w:color w:val="000000" w:themeColor="text1"/>
                      <w:kern w:val="0"/>
                      <w:sz w:val="21"/>
                      <w:szCs w:val="21"/>
                      <w:lang w:val="en-US" w:eastAsia="zh-CN" w:bidi="ar"/>
                      <w14:textFill>
                        <w14:solidFill>
                          <w14:schemeClr w14:val="tx1"/>
                        </w14:solidFill>
                      </w14:textFill>
                    </w:rPr>
                    <w:t>HW49</w:t>
                  </w:r>
                  <w:r>
                    <w:rPr>
                      <w:rFonts w:hint="eastAsia"/>
                      <w:b w:val="0"/>
                      <w:bCs/>
                      <w:color w:val="000000" w:themeColor="text1"/>
                      <w:kern w:val="0"/>
                      <w:sz w:val="21"/>
                      <w:szCs w:val="21"/>
                      <w:lang w:val="en-US" w:eastAsia="zh-CN" w:bidi="ar"/>
                      <w14:textFill>
                        <w14:solidFill>
                          <w14:schemeClr w14:val="tx1"/>
                        </w14:solidFill>
                      </w14:textFill>
                    </w:rPr>
                    <w:t xml:space="preserve"> 900-041-49</w:t>
                  </w:r>
                </w:p>
              </w:tc>
              <w:tc>
                <w:tcPr>
                  <w:tcW w:w="742" w:type="pct"/>
                  <w:noWrap w:val="0"/>
                  <w:vAlign w:val="center"/>
                </w:tcPr>
                <w:p w14:paraId="6D5B7359">
                  <w:pPr>
                    <w:jc w:val="center"/>
                    <w:rPr>
                      <w:rFonts w:hint="eastAsia"/>
                      <w:b w:val="0"/>
                      <w:bCs/>
                      <w:color w:val="000000" w:themeColor="text1"/>
                      <w:kern w:val="0"/>
                      <w:sz w:val="21"/>
                      <w:szCs w:val="21"/>
                      <w:lang w:val="en-US" w:eastAsia="zh-CN" w:bidi="ar"/>
                      <w14:textFill>
                        <w14:solidFill>
                          <w14:schemeClr w14:val="tx1"/>
                        </w14:solidFill>
                      </w14:textFill>
                    </w:rPr>
                  </w:pPr>
                  <w:r>
                    <w:rPr>
                      <w:rFonts w:hint="eastAsia"/>
                      <w:b w:val="0"/>
                      <w:bCs/>
                      <w:color w:val="000000" w:themeColor="text1"/>
                      <w:kern w:val="0"/>
                      <w:sz w:val="21"/>
                      <w:szCs w:val="21"/>
                      <w:lang w:val="en-US" w:eastAsia="zh-CN" w:bidi="ar"/>
                      <w14:textFill>
                        <w14:solidFill>
                          <w14:schemeClr w14:val="tx1"/>
                        </w14:solidFill>
                      </w14:textFill>
                    </w:rPr>
                    <w:t>固态</w:t>
                  </w:r>
                </w:p>
              </w:tc>
              <w:tc>
                <w:tcPr>
                  <w:tcW w:w="552" w:type="pct"/>
                  <w:noWrap w:val="0"/>
                  <w:vAlign w:val="center"/>
                </w:tcPr>
                <w:p w14:paraId="43C070F6">
                  <w:pPr>
                    <w:jc w:val="center"/>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0.005吨/3年</w:t>
                  </w:r>
                </w:p>
              </w:tc>
              <w:tc>
                <w:tcPr>
                  <w:tcW w:w="621" w:type="pct"/>
                  <w:vMerge w:val="continue"/>
                  <w:noWrap w:val="0"/>
                  <w:vAlign w:val="center"/>
                </w:tcPr>
                <w:p w14:paraId="7DD43D9C">
                  <w:pPr>
                    <w:widowControl/>
                    <w:jc w:val="center"/>
                    <w:rPr>
                      <w:rFonts w:hint="default"/>
                      <w:b w:val="0"/>
                      <w:bCs/>
                      <w:color w:val="000000" w:themeColor="text1"/>
                      <w:sz w:val="21"/>
                      <w:szCs w:val="21"/>
                      <w14:textFill>
                        <w14:solidFill>
                          <w14:schemeClr w14:val="tx1"/>
                        </w14:solidFill>
                      </w14:textFill>
                    </w:rPr>
                  </w:pPr>
                </w:p>
              </w:tc>
              <w:tc>
                <w:tcPr>
                  <w:tcW w:w="553" w:type="pct"/>
                  <w:noWrap w:val="0"/>
                  <w:vAlign w:val="center"/>
                </w:tcPr>
                <w:p w14:paraId="7AC11478">
                  <w:pPr>
                    <w:jc w:val="center"/>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0.005吨/3年</w:t>
                  </w:r>
                </w:p>
              </w:tc>
            </w:tr>
          </w:tbl>
          <w:p w14:paraId="24B9525D">
            <w:pPr>
              <w:pStyle w:val="3"/>
              <w:ind w:left="0" w:leftChars="0" w:firstLine="0" w:firstLineChars="0"/>
              <w:jc w:val="both"/>
              <w:rPr>
                <w:rFonts w:hint="default" w:ascii="Times New Roman" w:hAnsi="Times New Roman" w:cs="Times New Roman"/>
                <w:b/>
                <w:bCs/>
                <w:color w:val="0000FF"/>
                <w:kern w:val="0"/>
                <w:sz w:val="24"/>
                <w:lang w:val="en-US" w:eastAsia="zh-CN"/>
              </w:rPr>
            </w:pPr>
            <w:r>
              <w:rPr>
                <w:rFonts w:hint="default" w:ascii="Times New Roman" w:hAnsi="Times New Roman" w:cs="Times New Roman"/>
                <w:b/>
                <w:bCs/>
                <w:color w:val="0000FF"/>
                <w:kern w:val="0"/>
                <w:sz w:val="24"/>
                <w:lang w:val="en-US" w:eastAsia="zh-CN"/>
              </w:rPr>
              <w:t>4.</w:t>
            </w:r>
            <w:r>
              <w:rPr>
                <w:rFonts w:hint="eastAsia" w:cs="Times New Roman"/>
                <w:b/>
                <w:bCs/>
                <w:color w:val="0000FF"/>
                <w:kern w:val="0"/>
                <w:sz w:val="24"/>
                <w:lang w:val="en-US" w:eastAsia="zh-CN"/>
              </w:rPr>
              <w:t>2</w:t>
            </w:r>
            <w:r>
              <w:rPr>
                <w:rFonts w:hint="default" w:ascii="Times New Roman" w:hAnsi="Times New Roman" w:cs="Times New Roman"/>
                <w:b/>
                <w:bCs/>
                <w:color w:val="0000FF"/>
                <w:kern w:val="0"/>
                <w:sz w:val="24"/>
                <w:lang w:val="en-US" w:eastAsia="zh-CN"/>
              </w:rPr>
              <w:t xml:space="preserve"> 固废环境管理要求</w:t>
            </w:r>
          </w:p>
          <w:p w14:paraId="6648E19B">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（1）固体废物贮存场所环境影响分析</w:t>
            </w:r>
          </w:p>
          <w:p w14:paraId="3705128C">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①生活垃圾委托环卫部门收集统一处置，项目设置生活垃圾暂存点，生活垃圾日产日清，不会对地下水和土壤产生不利影响。</w:t>
            </w:r>
          </w:p>
          <w:p w14:paraId="7FF4575A">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②一般固体废物贮存过程应满足相应防渗漏、防雨淋、防扬尘等环境保护要求，一般固废收集后运送至一般固废暂存点暂存，杜绝与危险废物混合存放。</w:t>
            </w:r>
          </w:p>
          <w:p w14:paraId="22EB0E0E">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③建设单位在一层设置有专门的医疗废物贮存间，面积约</w:t>
            </w:r>
            <w:r>
              <w:rPr>
                <w:rFonts w:hint="eastAsia" w:ascii="Times New Roman" w:hAnsi="Times New Roman" w:eastAsia="宋体" w:cs="Times New Roman"/>
                <w:color w:val="0000FF"/>
                <w:kern w:val="0"/>
                <w:sz w:val="24"/>
                <w:lang w:val="en-US" w:eastAsia="zh-CN"/>
              </w:rPr>
              <w:t>2</w:t>
            </w:r>
            <w:r>
              <w:rPr>
                <w:rFonts w:hint="default" w:ascii="Times New Roman" w:hAnsi="Times New Roman" w:eastAsia="宋体" w:cs="Times New Roman"/>
                <w:color w:val="0000FF"/>
                <w:kern w:val="0"/>
                <w:sz w:val="24"/>
                <w:lang w:val="en-US" w:eastAsia="zh-CN"/>
              </w:rPr>
              <w:t>m2，医疗废物贮存间的最大贮存量约1t；主要设置2个区域，一个区域用于暂存医疗废物，一个区域用于暂存废紫外线灯管。根据《危险废物贮存污染控制标准》(GB18597-2023)，提出以下管理要求：</w:t>
            </w:r>
          </w:p>
          <w:p w14:paraId="21BAEE92">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a.医疗废物贮存间为独立功能房间，设置标志牌；采用专用塑料桶存储医疗废物，并设专人管理，按照《危险废物贮存污染控制标准》（GB18597</w:t>
            </w:r>
            <w:r>
              <w:rPr>
                <w:rFonts w:hint="eastAsia" w:ascii="Times New Roman" w:hAnsi="Times New Roman" w:eastAsia="宋体" w:cs="Times New Roman"/>
                <w:color w:val="0000FF"/>
                <w:kern w:val="0"/>
                <w:sz w:val="24"/>
                <w:lang w:val="en-US" w:eastAsia="zh-CN"/>
              </w:rPr>
              <w:t>-</w:t>
            </w:r>
            <w:r>
              <w:rPr>
                <w:rFonts w:hint="default" w:ascii="Times New Roman" w:hAnsi="Times New Roman" w:eastAsia="宋体" w:cs="Times New Roman"/>
                <w:color w:val="0000FF"/>
                <w:kern w:val="0"/>
                <w:sz w:val="24"/>
                <w:lang w:val="en-US" w:eastAsia="zh-CN"/>
              </w:rPr>
              <w:t>2023）做到防风、防雨、防盗等“六防”措施，并按要求粘贴危险废物相关标识；其他危险废物采用符合标准的专用容器分类贮存，装载危险废物的容器及材质要满足相应的强度要求，容器必须完好无损，容器材质和衬里要与危险废物相容（不相互反应）。</w:t>
            </w:r>
          </w:p>
          <w:p w14:paraId="16FA22DC">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b.医疗废物贮存间地面与裙脚要用坚固、防渗的材料建造，建筑材料必须与危险废物相容；必须有耐腐蚀的硬化地面，且表面无裂隙；不相容的危险废物必须分开存放，并设有隔离间隔断。</w:t>
            </w:r>
          </w:p>
          <w:p w14:paraId="5FF55E7B">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c.医疗废物贮存间基础必须防渗，防渗层为至少1m厚粘土层（渗透系数≤10-7cm/s），或2mm厚高密度聚乙烯，或至少2mm厚的其它人工材料，渗透系数≤10</w:t>
            </w:r>
            <w:r>
              <w:rPr>
                <w:rFonts w:hint="default" w:ascii="Times New Roman" w:hAnsi="Times New Roman" w:eastAsia="宋体" w:cs="Times New Roman"/>
                <w:color w:val="0000FF"/>
                <w:kern w:val="0"/>
                <w:sz w:val="24"/>
                <w:vertAlign w:val="superscript"/>
                <w:lang w:val="en-US" w:eastAsia="zh-CN"/>
              </w:rPr>
              <w:t>-10</w:t>
            </w:r>
            <w:r>
              <w:rPr>
                <w:rFonts w:hint="default" w:ascii="Times New Roman" w:hAnsi="Times New Roman" w:eastAsia="宋体" w:cs="Times New Roman"/>
                <w:color w:val="0000FF"/>
                <w:kern w:val="0"/>
                <w:sz w:val="24"/>
                <w:lang w:val="en-US" w:eastAsia="zh-CN"/>
              </w:rPr>
              <w:t>cm/s。</w:t>
            </w:r>
          </w:p>
          <w:p w14:paraId="057B4DB8">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危险废物环境管理要求</w:t>
            </w:r>
          </w:p>
          <w:p w14:paraId="0B2B77FC">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①医疗废物贮存间日常为锁闭状态，由专人进行管理，避免非工作人员进出，以及防鼠、防蚊蝇、防蟑螂、防盗以及预防儿童接触等安全措施；对医疗废物及其他危险废物的产生、储存做好台账管理，定期委托有资质的危险废物集中处置单位。</w:t>
            </w:r>
          </w:p>
          <w:p w14:paraId="5189A1CF">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②医疗废物的贮存、转移、处置</w:t>
            </w:r>
          </w:p>
          <w:p w14:paraId="0F44C029">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a.按照《医疗废物专用包装袋、容器和警示标志标准》（HJ421-2008）、《医疗废物分类目录》（国卫医函〔2021〕283号）、《医疗废物管理条例》（2011年修订）的要求分类收集医疗废物，应采用密闭的、防渗漏、防锐器穿透的医疗废物收集箱贮装，防止医疗废物流失、泄漏、扩散，医疗废物专用收集箱应设置明显的警示标识和警示说明。</w:t>
            </w:r>
          </w:p>
          <w:p w14:paraId="177DF214">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其中废针管针头、手术刀、缝合针等损伤性废物采用黄色利器盒进行收集；废检测试剂盒、一次性输液管、针管等感染性废物；手术废弃组织等病理性废物及废弃或过期药品等药物性废物采用黄色双层医疗废物包装袋及时密封，每个盛装医疗废物的包装袋及容器外设置警示标识，并贴有标签，标注医疗废物产生单位、产生日期、类别及需要的特别说明。</w:t>
            </w:r>
          </w:p>
          <w:p w14:paraId="0A1BE313">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医疗废物在暂存间分区贮存，根据暂存间内部的医疗废物分类上墙标识，损伤性废物直接放入黄色医疗专用锐器盒；其余医疗废物用黄色带盖医疗垃圾桶收集，并套专用黄色医疗垃圾袋，当容器3/4满时，垃圾袋封口并贴上专用标识。</w:t>
            </w:r>
          </w:p>
          <w:p w14:paraId="53E982C2">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b.医疗废物暂存间应当定期消毒和清洁；医疗废物暂时贮存的时间不 得超过2天。</w:t>
            </w:r>
          </w:p>
          <w:p w14:paraId="0B5AA5CE">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c.应委托有资质单位转移、处置医疗废物，并与处置单位签订处理协议，明确双方责任、义务、清运时间、处置费用等内容；应按照《中华人民共和国固体废物污染环境防治法》的规定，执行危险废物转移联单管理制度；医疗废物的转运应符合《医疗废物转运车技术要求》（GB19217-2003）的要求。</w:t>
            </w:r>
          </w:p>
          <w:p w14:paraId="7C16149C">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根据《危险废物转移管理办法》(生态环境部公安部交通运输部部令第23号)，危险废物转移联单应当根据危险废物管理计划中填报的危险废物转移等备案信息填写、运行。移出人每转移一车（船或者其他运输工具）次同类危险废物，应当填写、运行一份危险废物转移联单；每车（船或者其他运输工具）一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1460424E">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危险废物电子转移联单数据应当在信息系统中至少保存十年。因特殊原因无法运行危险废物电子转移联单的，可以先使用纸质转移联单，并于转移活动完成后十个工作日内在信息系统中补录电子转移联单。</w:t>
            </w:r>
          </w:p>
          <w:p w14:paraId="67F0E073">
            <w:pPr>
              <w:pStyle w:val="3"/>
              <w:widowControl w:val="0"/>
              <w:numPr>
                <w:ilvl w:val="0"/>
                <w:numId w:val="0"/>
              </w:numPr>
              <w:spacing w:line="360" w:lineRule="auto"/>
              <w:ind w:firstLine="480" w:firstLineChars="200"/>
              <w:jc w:val="both"/>
              <w:rPr>
                <w:rFonts w:hint="default" w:ascii="Times New Roman" w:hAnsi="Times New Roman" w:eastAsia="宋体" w:cs="Times New Roman"/>
                <w:color w:val="0000FF"/>
                <w:kern w:val="0"/>
                <w:sz w:val="24"/>
                <w:lang w:val="en-US" w:eastAsia="zh-CN"/>
              </w:rPr>
            </w:pPr>
            <w:r>
              <w:rPr>
                <w:rFonts w:hint="default" w:ascii="Times New Roman" w:hAnsi="Times New Roman" w:eastAsia="宋体" w:cs="Times New Roman"/>
                <w:color w:val="0000FF"/>
                <w:kern w:val="0"/>
                <w:sz w:val="24"/>
                <w:lang w:val="en-US" w:eastAsia="zh-CN"/>
              </w:rPr>
              <w:t>综上所述，本项目固体废物分类收集、分类处理，不会对环境造成二次污染，固体废物处理处置具有可行性</w:t>
            </w:r>
            <w:r>
              <w:rPr>
                <w:rFonts w:hint="eastAsia" w:cs="Times New Roman"/>
                <w:color w:val="0000FF"/>
                <w:kern w:val="0"/>
                <w:sz w:val="24"/>
                <w:lang w:val="en-US" w:eastAsia="zh-CN"/>
              </w:rPr>
              <w:t>。</w:t>
            </w:r>
          </w:p>
          <w:p w14:paraId="51813BA1">
            <w:pPr>
              <w:pStyle w:val="6"/>
              <w:jc w:val="both"/>
              <w:outlineLvl w:val="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地下水、土壤污染影响及防治措施</w:t>
            </w:r>
          </w:p>
          <w:p w14:paraId="266B4C1C">
            <w:pPr>
              <w:pStyle w:val="3"/>
              <w:bidi w:val="0"/>
              <w:jc w:val="both"/>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可能对地下水、土壤产生污染的途径主要为：来自医疗废水处理设施、医疗废物暂存间等导致物料中有害成分或废水渗漏到土壤后渗漏到地下含水层，而污染地下水、土壤。本项目医疗废物处理设施地面采取防渗水泥硬化，对地下水、土壤环境基本无影响；医疗废物暂存间地面采用水泥硬化，并采用环氧树脂进行防腐防渗处理，基本从入渗途径阻断了医疗废物泄漏对地下水、土壤的影响。综上，本项目建成运营后基本从入渗途径阻断了项目对地下水、土壤环境的影响。本次评价不再开展土壤、地下水环境影响评价</w:t>
            </w:r>
            <w:r>
              <w:rPr>
                <w:rFonts w:hint="default" w:ascii="Times New Roman" w:hAnsi="Times New Roman" w:cs="Times New Roman"/>
                <w:color w:val="000000" w:themeColor="text1"/>
                <w14:textFill>
                  <w14:solidFill>
                    <w14:schemeClr w14:val="tx1"/>
                  </w14:solidFill>
                </w14:textFill>
              </w:rPr>
              <w:t>。</w:t>
            </w:r>
          </w:p>
          <w:p w14:paraId="4A39BCFC">
            <w:pPr>
              <w:pStyle w:val="6"/>
              <w:jc w:val="both"/>
              <w:outlineLvl w:val="2"/>
              <w:rPr>
                <w:rFonts w:hint="default" w:ascii="Times New Roman" w:hAnsi="Times New Roman" w:eastAsia="宋体" w:cs="Times New Roman"/>
                <w:color w:val="0000FF"/>
                <w:lang w:val="en-US" w:eastAsia="zh-CN"/>
              </w:rPr>
            </w:pPr>
            <w:r>
              <w:rPr>
                <w:rFonts w:hint="default" w:ascii="Times New Roman" w:hAnsi="Times New Roman" w:eastAsia="宋体" w:cs="Times New Roman"/>
                <w:color w:val="0000FF"/>
                <w:lang w:val="en-US" w:eastAsia="zh-CN"/>
              </w:rPr>
              <w:t>6</w:t>
            </w:r>
            <w:r>
              <w:rPr>
                <w:rFonts w:hint="eastAsia" w:cs="Times New Roman"/>
                <w:color w:val="0000FF"/>
                <w:lang w:val="en-US" w:eastAsia="zh-CN"/>
              </w:rPr>
              <w:t xml:space="preserve"> </w:t>
            </w:r>
            <w:r>
              <w:rPr>
                <w:rFonts w:hint="default" w:ascii="Times New Roman" w:hAnsi="Times New Roman" w:eastAsia="宋体" w:cs="Times New Roman"/>
                <w:color w:val="0000FF"/>
                <w:lang w:val="en-US" w:eastAsia="zh-CN"/>
              </w:rPr>
              <w:t>环境风险分析</w:t>
            </w:r>
          </w:p>
          <w:p w14:paraId="7EDAEB14">
            <w:pPr>
              <w:keepNext/>
              <w:keepLines/>
              <w:widowControl w:val="0"/>
              <w:wordWrap w:val="0"/>
              <w:topLinePunct/>
              <w:spacing w:line="360" w:lineRule="auto"/>
              <w:ind w:firstLine="0" w:firstLineChars="0"/>
              <w:jc w:val="both"/>
              <w:outlineLvl w:val="2"/>
              <w:rPr>
                <w:rFonts w:hint="default" w:ascii="Times New Roman" w:hAnsi="Times New Roman" w:eastAsia="宋体" w:cs="Times New Roman"/>
                <w:b/>
                <w:bCs/>
                <w:color w:val="0000FF"/>
                <w:kern w:val="2"/>
                <w:sz w:val="24"/>
                <w:szCs w:val="24"/>
                <w:lang w:val="en-US" w:eastAsia="zh-CN" w:bidi="ar-SA"/>
              </w:rPr>
            </w:pPr>
            <w:r>
              <w:rPr>
                <w:rFonts w:hint="eastAsia" w:ascii="Times New Roman" w:hAnsi="Times New Roman" w:eastAsia="宋体" w:cs="Times New Roman"/>
                <w:b/>
                <w:bCs/>
                <w:color w:val="0000FF"/>
                <w:kern w:val="2"/>
                <w:sz w:val="24"/>
                <w:szCs w:val="24"/>
                <w:lang w:val="en-US" w:eastAsia="zh-CN" w:bidi="ar-SA"/>
              </w:rPr>
              <w:t>6.1</w:t>
            </w:r>
            <w:r>
              <w:rPr>
                <w:rFonts w:hint="eastAsia" w:cs="Times New Roman"/>
                <w:b/>
                <w:bCs/>
                <w:color w:val="0000FF"/>
                <w:kern w:val="2"/>
                <w:sz w:val="24"/>
                <w:szCs w:val="24"/>
                <w:lang w:val="en-US" w:eastAsia="zh-CN" w:bidi="ar-SA"/>
              </w:rPr>
              <w:t xml:space="preserve"> </w:t>
            </w:r>
            <w:r>
              <w:rPr>
                <w:rFonts w:hint="default" w:ascii="Times New Roman" w:hAnsi="Times New Roman" w:eastAsia="宋体" w:cs="Times New Roman"/>
                <w:b/>
                <w:bCs/>
                <w:color w:val="0000FF"/>
                <w:kern w:val="2"/>
                <w:sz w:val="24"/>
                <w:szCs w:val="24"/>
                <w:lang w:val="en-US" w:eastAsia="zh-CN" w:bidi="ar-SA"/>
              </w:rPr>
              <w:t>风险</w:t>
            </w:r>
            <w:r>
              <w:rPr>
                <w:rFonts w:hint="eastAsia" w:ascii="Times New Roman" w:hAnsi="Times New Roman" w:eastAsia="宋体" w:cs="Times New Roman"/>
                <w:b/>
                <w:bCs/>
                <w:color w:val="0000FF"/>
                <w:kern w:val="2"/>
                <w:sz w:val="24"/>
                <w:szCs w:val="24"/>
                <w:lang w:val="en-US" w:eastAsia="zh-CN" w:bidi="ar-SA"/>
              </w:rPr>
              <w:t>物质分布</w:t>
            </w:r>
          </w:p>
          <w:p w14:paraId="2958BEF3">
            <w:pPr>
              <w:bidi w:val="0"/>
              <w:spacing w:line="360" w:lineRule="auto"/>
              <w:ind w:firstLine="480" w:firstLineChars="200"/>
              <w:jc w:val="both"/>
              <w:rPr>
                <w:rFonts w:hint="eastAsia" w:ascii="Times New Roman" w:hAnsi="Times New Roman" w:eastAsia="宋体" w:cs="Times New Roman"/>
                <w:b w:val="0"/>
                <w:bCs w:val="0"/>
                <w:color w:val="0000FF"/>
                <w:sz w:val="24"/>
                <w:szCs w:val="24"/>
                <w:lang w:val="en-US" w:eastAsia="zh-CN"/>
              </w:rPr>
            </w:pPr>
            <w:r>
              <w:rPr>
                <w:rFonts w:hint="default" w:ascii="Times New Roman" w:hAnsi="Times New Roman" w:eastAsia="宋体" w:cs="Times New Roman"/>
                <w:b w:val="0"/>
                <w:bCs w:val="0"/>
                <w:color w:val="0000FF"/>
                <w:sz w:val="24"/>
                <w:szCs w:val="24"/>
                <w:lang w:val="en-US" w:eastAsia="zh-CN"/>
              </w:rPr>
              <w:t>根据《建设项目环境风险评价技术导则》（HJ169-2018）中附录 B 中的危险物质，</w:t>
            </w:r>
            <w:r>
              <w:rPr>
                <w:rFonts w:hint="eastAsia" w:ascii="Times New Roman" w:hAnsi="Times New Roman" w:eastAsia="宋体" w:cs="Times New Roman"/>
                <w:b w:val="0"/>
                <w:bCs w:val="0"/>
                <w:color w:val="0000FF"/>
                <w:sz w:val="24"/>
                <w:szCs w:val="24"/>
                <w:lang w:val="en-US" w:eastAsia="zh-CN"/>
              </w:rPr>
              <w:t>本项目</w:t>
            </w:r>
            <w:r>
              <w:rPr>
                <w:rFonts w:hint="eastAsia" w:cs="Times New Roman"/>
                <w:b w:val="0"/>
                <w:bCs w:val="0"/>
                <w:color w:val="0000FF"/>
                <w:sz w:val="24"/>
                <w:szCs w:val="24"/>
                <w:lang w:val="en-US" w:eastAsia="zh-CN"/>
              </w:rPr>
              <w:t>酒精、污泥、医疗废物、废紫外线灯管</w:t>
            </w:r>
            <w:r>
              <w:rPr>
                <w:rFonts w:hint="eastAsia" w:eastAsia="宋体"/>
                <w:b w:val="0"/>
                <w:bCs w:val="0"/>
                <w:color w:val="0000FF"/>
                <w:sz w:val="24"/>
                <w:szCs w:val="22"/>
                <w:lang w:val="en-US" w:eastAsia="zh-CN"/>
              </w:rPr>
              <w:t>为环境风险物质</w:t>
            </w:r>
            <w:r>
              <w:rPr>
                <w:rFonts w:hint="eastAsia" w:ascii="Times New Roman" w:hAnsi="Times New Roman" w:eastAsia="宋体" w:cs="Times New Roman"/>
                <w:b w:val="0"/>
                <w:bCs w:val="0"/>
                <w:color w:val="0000FF"/>
                <w:sz w:val="24"/>
                <w:szCs w:val="24"/>
                <w:lang w:val="en-US" w:eastAsia="zh-CN"/>
              </w:rPr>
              <w:t>。</w:t>
            </w:r>
          </w:p>
          <w:p w14:paraId="6205C27F">
            <w:pPr>
              <w:bidi w:val="0"/>
              <w:spacing w:line="360" w:lineRule="auto"/>
              <w:ind w:firstLine="480" w:firstLineChars="200"/>
              <w:jc w:val="both"/>
              <w:rPr>
                <w:rFonts w:hint="default" w:ascii="Times New Roman" w:hAnsi="Times New Roman" w:eastAsia="宋体" w:cs="Times New Roman"/>
                <w:b w:val="0"/>
                <w:bCs w:val="0"/>
                <w:color w:val="0000FF"/>
                <w:sz w:val="24"/>
                <w:szCs w:val="24"/>
                <w:lang w:val="en-US" w:eastAsia="zh-CN"/>
              </w:rPr>
            </w:pPr>
            <w:r>
              <w:rPr>
                <w:rFonts w:hint="eastAsia" w:ascii="Times New Roman" w:hAnsi="Times New Roman" w:eastAsia="宋体" w:cs="Times New Roman"/>
                <w:b w:val="0"/>
                <w:bCs w:val="0"/>
                <w:color w:val="0000FF"/>
                <w:sz w:val="24"/>
                <w:szCs w:val="24"/>
                <w:lang w:val="en-US" w:eastAsia="zh-CN"/>
              </w:rPr>
              <w:t>项目风险物质</w:t>
            </w:r>
            <w:r>
              <w:rPr>
                <w:rFonts w:hint="default" w:ascii="Times New Roman" w:hAnsi="Times New Roman" w:eastAsia="宋体" w:cs="Times New Roman"/>
                <w:b w:val="0"/>
                <w:bCs w:val="0"/>
                <w:color w:val="0000FF"/>
                <w:sz w:val="24"/>
                <w:szCs w:val="24"/>
                <w:lang w:val="en-US" w:eastAsia="zh-CN"/>
              </w:rPr>
              <w:t>最大数量和临界量比值计算见表</w:t>
            </w:r>
            <w:r>
              <w:rPr>
                <w:rFonts w:hint="eastAsia" w:ascii="Times New Roman" w:hAnsi="Times New Roman" w:eastAsia="宋体" w:cs="Times New Roman"/>
                <w:b w:val="0"/>
                <w:bCs w:val="0"/>
                <w:color w:val="0000FF"/>
                <w:sz w:val="24"/>
                <w:szCs w:val="24"/>
                <w:lang w:val="en-US" w:eastAsia="zh-CN"/>
              </w:rPr>
              <w:t>4-</w:t>
            </w:r>
            <w:r>
              <w:rPr>
                <w:rFonts w:hint="eastAsia" w:cs="Times New Roman"/>
                <w:b w:val="0"/>
                <w:bCs w:val="0"/>
                <w:color w:val="0000FF"/>
                <w:sz w:val="24"/>
                <w:szCs w:val="24"/>
                <w:lang w:val="en-US" w:eastAsia="zh-CN"/>
              </w:rPr>
              <w:t>11</w:t>
            </w:r>
            <w:r>
              <w:rPr>
                <w:rFonts w:hint="default" w:ascii="Times New Roman" w:hAnsi="Times New Roman" w:eastAsia="宋体" w:cs="Times New Roman"/>
                <w:b w:val="0"/>
                <w:bCs w:val="0"/>
                <w:color w:val="0000FF"/>
                <w:sz w:val="24"/>
                <w:szCs w:val="24"/>
                <w:lang w:val="en-US" w:eastAsia="zh-CN"/>
              </w:rPr>
              <w:t>。</w:t>
            </w:r>
          </w:p>
          <w:p w14:paraId="074B2F76">
            <w:pPr>
              <w:widowControl w:val="0"/>
              <w:wordWrap w:val="0"/>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
                <w:bCs/>
                <w:color w:val="0000FF"/>
                <w:kern w:val="0"/>
                <w:sz w:val="21"/>
                <w:szCs w:val="21"/>
                <w:lang w:val="en-US" w:eastAsia="zh-CN" w:bidi="zh-CN"/>
              </w:rPr>
            </w:pPr>
            <w:r>
              <w:rPr>
                <w:rFonts w:hint="default" w:ascii="Times New Roman" w:hAnsi="Times New Roman" w:eastAsia="宋体" w:cs="Times New Roman"/>
                <w:b/>
                <w:bCs/>
                <w:color w:val="0000FF"/>
                <w:kern w:val="0"/>
                <w:sz w:val="21"/>
                <w:szCs w:val="21"/>
                <w:lang w:val="en-US" w:eastAsia="zh-CN" w:bidi="zh-CN"/>
              </w:rPr>
              <w:t>表</w:t>
            </w:r>
            <w:r>
              <w:rPr>
                <w:rFonts w:hint="eastAsia" w:ascii="Times New Roman" w:hAnsi="Times New Roman" w:eastAsia="宋体" w:cs="Times New Roman"/>
                <w:b/>
                <w:bCs/>
                <w:color w:val="0000FF"/>
                <w:kern w:val="0"/>
                <w:sz w:val="21"/>
                <w:szCs w:val="21"/>
                <w:lang w:val="en-US" w:eastAsia="zh-CN" w:bidi="zh-CN"/>
              </w:rPr>
              <w:t>4-</w:t>
            </w:r>
            <w:r>
              <w:rPr>
                <w:rFonts w:hint="eastAsia" w:cs="Times New Roman"/>
                <w:b/>
                <w:bCs/>
                <w:color w:val="0000FF"/>
                <w:kern w:val="0"/>
                <w:sz w:val="21"/>
                <w:szCs w:val="21"/>
                <w:lang w:val="en-US" w:eastAsia="zh-CN" w:bidi="zh-CN"/>
              </w:rPr>
              <w:t>11</w:t>
            </w:r>
            <w:r>
              <w:rPr>
                <w:rFonts w:hint="eastAsia" w:ascii="Times New Roman" w:hAnsi="Times New Roman" w:eastAsia="宋体" w:cs="Times New Roman"/>
                <w:b/>
                <w:bCs/>
                <w:color w:val="0000FF"/>
                <w:kern w:val="0"/>
                <w:sz w:val="21"/>
                <w:szCs w:val="21"/>
                <w:lang w:val="en-US" w:eastAsia="zh-CN" w:bidi="zh-CN"/>
              </w:rPr>
              <w:t xml:space="preserve">  </w:t>
            </w:r>
            <w:r>
              <w:rPr>
                <w:rFonts w:hint="eastAsia" w:cs="Times New Roman"/>
                <w:b/>
                <w:bCs/>
                <w:color w:val="0000FF"/>
                <w:kern w:val="0"/>
                <w:sz w:val="21"/>
                <w:szCs w:val="21"/>
                <w:lang w:val="en-US" w:eastAsia="zh-CN" w:bidi="zh-CN"/>
              </w:rPr>
              <w:t xml:space="preserve"> </w:t>
            </w:r>
            <w:r>
              <w:rPr>
                <w:rFonts w:hint="default" w:ascii="Times New Roman" w:hAnsi="Times New Roman" w:eastAsia="宋体" w:cs="Times New Roman"/>
                <w:b/>
                <w:bCs/>
                <w:color w:val="0000FF"/>
                <w:kern w:val="0"/>
                <w:sz w:val="21"/>
                <w:szCs w:val="21"/>
                <w:lang w:val="en-US" w:eastAsia="zh-CN" w:bidi="zh-CN"/>
              </w:rPr>
              <w:t>本项目危险物质数量与临界量比值</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2"/>
              <w:gridCol w:w="1523"/>
              <w:gridCol w:w="1432"/>
              <w:gridCol w:w="1889"/>
              <w:gridCol w:w="1169"/>
              <w:gridCol w:w="1241"/>
            </w:tblGrid>
            <w:tr w14:paraId="3DD506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389" w:type="pct"/>
                  <w:tcBorders>
                    <w:bottom w:val="single" w:color="000000" w:sz="12" w:space="0"/>
                  </w:tcBorders>
                  <w:noWrap w:val="0"/>
                  <w:vAlign w:val="center"/>
                </w:tcPr>
                <w:p w14:paraId="4E101321">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default" w:ascii="Times New Roman" w:hAnsi="Times New Roman" w:eastAsia="宋体" w:cs="Times New Roman"/>
                      <w:b w:val="0"/>
                      <w:bCs w:val="0"/>
                      <w:color w:val="0000FF"/>
                      <w:kern w:val="0"/>
                      <w:sz w:val="21"/>
                      <w:szCs w:val="20"/>
                      <w:lang w:val="en-US" w:eastAsia="zh-CN" w:bidi="zh-CN"/>
                    </w:rPr>
                    <w:t>序号</w:t>
                  </w:r>
                </w:p>
              </w:tc>
              <w:tc>
                <w:tcPr>
                  <w:tcW w:w="967" w:type="pct"/>
                  <w:tcBorders>
                    <w:bottom w:val="single" w:color="000000" w:sz="12" w:space="0"/>
                  </w:tcBorders>
                  <w:noWrap w:val="0"/>
                  <w:vAlign w:val="center"/>
                </w:tcPr>
                <w:p w14:paraId="3C3D8244">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default" w:ascii="Times New Roman" w:hAnsi="Times New Roman" w:eastAsia="宋体" w:cs="Times New Roman"/>
                      <w:b w:val="0"/>
                      <w:bCs w:val="0"/>
                      <w:color w:val="0000FF"/>
                      <w:kern w:val="0"/>
                      <w:sz w:val="21"/>
                      <w:szCs w:val="20"/>
                      <w:lang w:val="en-US" w:eastAsia="zh-CN" w:bidi="zh-CN"/>
                    </w:rPr>
                    <w:t>危险物质名称</w:t>
                  </w:r>
                </w:p>
              </w:tc>
              <w:tc>
                <w:tcPr>
                  <w:tcW w:w="910" w:type="pct"/>
                  <w:tcBorders>
                    <w:bottom w:val="single" w:color="000000" w:sz="12" w:space="0"/>
                  </w:tcBorders>
                  <w:noWrap w:val="0"/>
                  <w:vAlign w:val="center"/>
                </w:tcPr>
                <w:p w14:paraId="754953CD">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default" w:ascii="Times New Roman" w:hAnsi="Times New Roman" w:eastAsia="宋体" w:cs="Times New Roman"/>
                      <w:b w:val="0"/>
                      <w:bCs w:val="0"/>
                      <w:color w:val="0000FF"/>
                      <w:kern w:val="0"/>
                      <w:sz w:val="21"/>
                      <w:szCs w:val="20"/>
                      <w:lang w:val="en-US" w:eastAsia="zh-CN" w:bidi="zh-CN"/>
                    </w:rPr>
                    <w:t>储存位置</w:t>
                  </w:r>
                </w:p>
              </w:tc>
              <w:tc>
                <w:tcPr>
                  <w:tcW w:w="1200" w:type="pct"/>
                  <w:tcBorders>
                    <w:bottom w:val="single" w:color="000000" w:sz="12" w:space="0"/>
                  </w:tcBorders>
                  <w:noWrap w:val="0"/>
                  <w:vAlign w:val="center"/>
                </w:tcPr>
                <w:p w14:paraId="22FEAFB8">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default" w:ascii="Times New Roman" w:hAnsi="Times New Roman" w:eastAsia="宋体" w:cs="Times New Roman"/>
                      <w:b w:val="0"/>
                      <w:bCs w:val="0"/>
                      <w:color w:val="0000FF"/>
                      <w:kern w:val="0"/>
                      <w:sz w:val="21"/>
                      <w:szCs w:val="20"/>
                      <w:lang w:val="en-US" w:eastAsia="zh-CN" w:bidi="zh-CN"/>
                    </w:rPr>
                    <w:t>最大存在总量qn/</w:t>
                  </w:r>
                  <w:r>
                    <w:rPr>
                      <w:rFonts w:hint="eastAsia" w:cs="Times New Roman"/>
                      <w:b w:val="0"/>
                      <w:bCs w:val="0"/>
                      <w:color w:val="0000FF"/>
                      <w:kern w:val="0"/>
                      <w:sz w:val="21"/>
                      <w:szCs w:val="20"/>
                      <w:lang w:val="en-US" w:eastAsia="zh-CN" w:bidi="zh-CN"/>
                    </w:rPr>
                    <w:t>吨</w:t>
                  </w:r>
                </w:p>
              </w:tc>
              <w:tc>
                <w:tcPr>
                  <w:tcW w:w="743" w:type="pct"/>
                  <w:tcBorders>
                    <w:bottom w:val="single" w:color="000000" w:sz="12" w:space="0"/>
                  </w:tcBorders>
                  <w:noWrap w:val="0"/>
                  <w:vAlign w:val="center"/>
                </w:tcPr>
                <w:p w14:paraId="35AF5C0A">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default" w:ascii="Times New Roman" w:hAnsi="Times New Roman" w:eastAsia="宋体" w:cs="Times New Roman"/>
                      <w:b w:val="0"/>
                      <w:bCs w:val="0"/>
                      <w:color w:val="0000FF"/>
                      <w:kern w:val="0"/>
                      <w:sz w:val="21"/>
                      <w:szCs w:val="20"/>
                      <w:lang w:val="en-US" w:eastAsia="zh-CN" w:bidi="zh-CN"/>
                    </w:rPr>
                    <w:t>临界量Qn/</w:t>
                  </w:r>
                  <w:r>
                    <w:rPr>
                      <w:rFonts w:hint="eastAsia" w:cs="Times New Roman"/>
                      <w:b w:val="0"/>
                      <w:bCs w:val="0"/>
                      <w:color w:val="0000FF"/>
                      <w:kern w:val="0"/>
                      <w:sz w:val="21"/>
                      <w:szCs w:val="20"/>
                      <w:lang w:val="en-US" w:eastAsia="zh-CN" w:bidi="zh-CN"/>
                    </w:rPr>
                    <w:t>吨</w:t>
                  </w:r>
                </w:p>
              </w:tc>
              <w:tc>
                <w:tcPr>
                  <w:tcW w:w="788" w:type="pct"/>
                  <w:tcBorders>
                    <w:bottom w:val="single" w:color="000000" w:sz="12" w:space="0"/>
                  </w:tcBorders>
                  <w:noWrap w:val="0"/>
                  <w:vAlign w:val="center"/>
                </w:tcPr>
                <w:p w14:paraId="6C24E2A0">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default" w:ascii="Times New Roman" w:hAnsi="Times New Roman" w:eastAsia="宋体" w:cs="Times New Roman"/>
                      <w:b w:val="0"/>
                      <w:bCs w:val="0"/>
                      <w:color w:val="0000FF"/>
                      <w:kern w:val="0"/>
                      <w:sz w:val="21"/>
                      <w:szCs w:val="20"/>
                      <w:lang w:val="en-US" w:eastAsia="zh-CN" w:bidi="zh-CN"/>
                    </w:rPr>
                    <w:t>危险物质</w:t>
                  </w:r>
                </w:p>
                <w:p w14:paraId="7AA5456F">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default" w:ascii="Times New Roman" w:hAnsi="Times New Roman" w:eastAsia="宋体" w:cs="Times New Roman"/>
                      <w:b w:val="0"/>
                      <w:bCs w:val="0"/>
                      <w:color w:val="0000FF"/>
                      <w:kern w:val="0"/>
                      <w:sz w:val="21"/>
                      <w:szCs w:val="20"/>
                      <w:lang w:val="en-US" w:eastAsia="zh-CN" w:bidi="zh-CN"/>
                    </w:rPr>
                    <w:t>Q值</w:t>
                  </w:r>
                </w:p>
              </w:tc>
            </w:tr>
            <w:tr w14:paraId="1576D1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389" w:type="pct"/>
                  <w:tcBorders>
                    <w:top w:val="single" w:color="000000" w:sz="12" w:space="0"/>
                    <w:tl2br w:val="nil"/>
                    <w:tr2bl w:val="nil"/>
                  </w:tcBorders>
                  <w:noWrap w:val="0"/>
                  <w:vAlign w:val="center"/>
                </w:tcPr>
                <w:p w14:paraId="3D429B6C">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default" w:ascii="Times New Roman" w:hAnsi="Times New Roman" w:eastAsia="宋体" w:cs="Times New Roman"/>
                      <w:b w:val="0"/>
                      <w:bCs w:val="0"/>
                      <w:color w:val="0000FF"/>
                      <w:kern w:val="0"/>
                      <w:sz w:val="21"/>
                      <w:szCs w:val="20"/>
                      <w:lang w:val="en-US" w:eastAsia="zh-CN" w:bidi="zh-CN"/>
                    </w:rPr>
                    <w:t>1</w:t>
                  </w:r>
                </w:p>
              </w:tc>
              <w:tc>
                <w:tcPr>
                  <w:tcW w:w="967" w:type="pct"/>
                  <w:tcBorders>
                    <w:top w:val="single" w:color="000000" w:sz="12" w:space="0"/>
                    <w:tl2br w:val="nil"/>
                    <w:tr2bl w:val="nil"/>
                  </w:tcBorders>
                  <w:noWrap w:val="0"/>
                  <w:vAlign w:val="center"/>
                </w:tcPr>
                <w:p w14:paraId="0BF9275A">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酒精</w:t>
                  </w:r>
                </w:p>
              </w:tc>
              <w:tc>
                <w:tcPr>
                  <w:tcW w:w="910" w:type="pct"/>
                  <w:tcBorders>
                    <w:top w:val="single" w:color="000000" w:sz="12" w:space="0"/>
                    <w:tl2br w:val="nil"/>
                    <w:tr2bl w:val="nil"/>
                  </w:tcBorders>
                  <w:noWrap w:val="0"/>
                  <w:vAlign w:val="center"/>
                </w:tcPr>
                <w:p w14:paraId="7DAEE7D0">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储物柜</w:t>
                  </w:r>
                </w:p>
              </w:tc>
              <w:tc>
                <w:tcPr>
                  <w:tcW w:w="1200" w:type="pct"/>
                  <w:tcBorders>
                    <w:top w:val="single" w:color="000000" w:sz="12" w:space="0"/>
                    <w:tl2br w:val="nil"/>
                    <w:tr2bl w:val="nil"/>
                  </w:tcBorders>
                  <w:noWrap w:val="0"/>
                  <w:vAlign w:val="center"/>
                </w:tcPr>
                <w:p w14:paraId="6F669A33">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0.0008</w:t>
                  </w:r>
                </w:p>
              </w:tc>
              <w:tc>
                <w:tcPr>
                  <w:tcW w:w="743" w:type="pct"/>
                  <w:tcBorders>
                    <w:top w:val="single" w:color="000000" w:sz="12" w:space="0"/>
                    <w:tl2br w:val="nil"/>
                    <w:tr2bl w:val="nil"/>
                  </w:tcBorders>
                  <w:noWrap w:val="0"/>
                  <w:vAlign w:val="center"/>
                </w:tcPr>
                <w:p w14:paraId="736DEFDC">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500</w:t>
                  </w:r>
                </w:p>
              </w:tc>
              <w:tc>
                <w:tcPr>
                  <w:tcW w:w="788" w:type="pct"/>
                  <w:tcBorders>
                    <w:top w:val="single" w:color="000000" w:sz="12" w:space="0"/>
                    <w:tl2br w:val="nil"/>
                    <w:tr2bl w:val="nil"/>
                  </w:tcBorders>
                  <w:noWrap w:val="0"/>
                  <w:vAlign w:val="center"/>
                </w:tcPr>
                <w:p w14:paraId="59A218A2">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1.6×10</w:t>
                  </w:r>
                  <w:r>
                    <w:rPr>
                      <w:rFonts w:hint="eastAsia" w:cs="Times New Roman"/>
                      <w:b w:val="0"/>
                      <w:bCs w:val="0"/>
                      <w:color w:val="0000FF"/>
                      <w:kern w:val="0"/>
                      <w:sz w:val="21"/>
                      <w:szCs w:val="20"/>
                      <w:vertAlign w:val="superscript"/>
                      <w:lang w:val="en-US" w:eastAsia="zh-CN" w:bidi="zh-CN"/>
                    </w:rPr>
                    <w:t>-6</w:t>
                  </w:r>
                </w:p>
              </w:tc>
            </w:tr>
            <w:tr w14:paraId="1332CA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389" w:type="pct"/>
                  <w:tcBorders>
                    <w:tl2br w:val="nil"/>
                    <w:tr2bl w:val="nil"/>
                  </w:tcBorders>
                  <w:noWrap w:val="0"/>
                  <w:vAlign w:val="center"/>
                </w:tcPr>
                <w:p w14:paraId="2A6C9965">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2</w:t>
                  </w:r>
                </w:p>
              </w:tc>
              <w:tc>
                <w:tcPr>
                  <w:tcW w:w="967" w:type="pct"/>
                  <w:tcBorders>
                    <w:tl2br w:val="nil"/>
                    <w:tr2bl w:val="nil"/>
                  </w:tcBorders>
                  <w:noWrap w:val="0"/>
                  <w:vAlign w:val="center"/>
                </w:tcPr>
                <w:p w14:paraId="378D42D2">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污泥</w:t>
                  </w:r>
                </w:p>
              </w:tc>
              <w:tc>
                <w:tcPr>
                  <w:tcW w:w="910" w:type="pct"/>
                  <w:tcBorders>
                    <w:tl2br w:val="nil"/>
                    <w:tr2bl w:val="nil"/>
                  </w:tcBorders>
                  <w:noWrap w:val="0"/>
                  <w:vAlign w:val="center"/>
                </w:tcPr>
                <w:p w14:paraId="089EBA30">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default" w:cs="Times New Roman"/>
                      <w:b w:val="0"/>
                      <w:bCs w:val="0"/>
                      <w:color w:val="0000FF"/>
                      <w:kern w:val="0"/>
                      <w:sz w:val="21"/>
                      <w:szCs w:val="20"/>
                      <w:lang w:val="en-US" w:eastAsia="zh-CN" w:bidi="zh-CN"/>
                    </w:rPr>
                    <w:t>医疗废水处理设施</w:t>
                  </w:r>
                </w:p>
              </w:tc>
              <w:tc>
                <w:tcPr>
                  <w:tcW w:w="1200" w:type="pct"/>
                  <w:tcBorders>
                    <w:tl2br w:val="nil"/>
                    <w:tr2bl w:val="nil"/>
                  </w:tcBorders>
                  <w:noWrap w:val="0"/>
                  <w:vAlign w:val="center"/>
                </w:tcPr>
                <w:p w14:paraId="61CE6B84">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0.01</w:t>
                  </w:r>
                </w:p>
              </w:tc>
              <w:tc>
                <w:tcPr>
                  <w:tcW w:w="743" w:type="pct"/>
                  <w:tcBorders>
                    <w:tl2br w:val="nil"/>
                    <w:tr2bl w:val="nil"/>
                  </w:tcBorders>
                  <w:noWrap w:val="0"/>
                  <w:vAlign w:val="center"/>
                </w:tcPr>
                <w:p w14:paraId="45482FA1">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w:t>
                  </w:r>
                </w:p>
              </w:tc>
              <w:tc>
                <w:tcPr>
                  <w:tcW w:w="788" w:type="pct"/>
                  <w:tcBorders>
                    <w:tl2br w:val="nil"/>
                    <w:tr2bl w:val="nil"/>
                  </w:tcBorders>
                  <w:noWrap w:val="0"/>
                  <w:vAlign w:val="center"/>
                </w:tcPr>
                <w:p w14:paraId="55EFAF24">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w:t>
                  </w:r>
                </w:p>
              </w:tc>
            </w:tr>
            <w:tr w14:paraId="0634A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389" w:type="pct"/>
                  <w:tcBorders>
                    <w:tl2br w:val="nil"/>
                    <w:tr2bl w:val="nil"/>
                  </w:tcBorders>
                  <w:noWrap w:val="0"/>
                  <w:vAlign w:val="center"/>
                </w:tcPr>
                <w:p w14:paraId="6F84B5CE">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3</w:t>
                  </w:r>
                </w:p>
              </w:tc>
              <w:tc>
                <w:tcPr>
                  <w:tcW w:w="967" w:type="pct"/>
                  <w:tcBorders>
                    <w:tl2br w:val="nil"/>
                    <w:tr2bl w:val="nil"/>
                  </w:tcBorders>
                  <w:noWrap w:val="0"/>
                  <w:vAlign w:val="center"/>
                </w:tcPr>
                <w:p w14:paraId="7912ED6E">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医疗废物</w:t>
                  </w:r>
                </w:p>
              </w:tc>
              <w:tc>
                <w:tcPr>
                  <w:tcW w:w="910" w:type="pct"/>
                  <w:tcBorders>
                    <w:tl2br w:val="nil"/>
                    <w:tr2bl w:val="nil"/>
                  </w:tcBorders>
                  <w:noWrap w:val="0"/>
                  <w:vAlign w:val="center"/>
                </w:tcPr>
                <w:p w14:paraId="1F8497BC">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医疗废物暂存间</w:t>
                  </w:r>
                </w:p>
              </w:tc>
              <w:tc>
                <w:tcPr>
                  <w:tcW w:w="1200" w:type="pct"/>
                  <w:tcBorders>
                    <w:tl2br w:val="nil"/>
                    <w:tr2bl w:val="nil"/>
                  </w:tcBorders>
                  <w:noWrap w:val="0"/>
                  <w:vAlign w:val="center"/>
                </w:tcPr>
                <w:p w14:paraId="40A40242">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0.1</w:t>
                  </w:r>
                </w:p>
              </w:tc>
              <w:tc>
                <w:tcPr>
                  <w:tcW w:w="743" w:type="pct"/>
                  <w:tcBorders>
                    <w:tl2br w:val="nil"/>
                    <w:tr2bl w:val="nil"/>
                  </w:tcBorders>
                  <w:noWrap w:val="0"/>
                  <w:vAlign w:val="center"/>
                </w:tcPr>
                <w:p w14:paraId="57F0A6B8">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w:t>
                  </w:r>
                </w:p>
              </w:tc>
              <w:tc>
                <w:tcPr>
                  <w:tcW w:w="788" w:type="pct"/>
                  <w:tcBorders>
                    <w:tl2br w:val="nil"/>
                    <w:tr2bl w:val="nil"/>
                  </w:tcBorders>
                  <w:noWrap w:val="0"/>
                  <w:vAlign w:val="center"/>
                </w:tcPr>
                <w:p w14:paraId="352A0E07">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w:t>
                  </w:r>
                </w:p>
              </w:tc>
            </w:tr>
            <w:tr w14:paraId="584F15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389" w:type="pct"/>
                  <w:tcBorders>
                    <w:tl2br w:val="nil"/>
                    <w:tr2bl w:val="nil"/>
                  </w:tcBorders>
                  <w:noWrap w:val="0"/>
                  <w:vAlign w:val="center"/>
                </w:tcPr>
                <w:p w14:paraId="4FE9A565">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4</w:t>
                  </w:r>
                </w:p>
              </w:tc>
              <w:tc>
                <w:tcPr>
                  <w:tcW w:w="967" w:type="pct"/>
                  <w:tcBorders>
                    <w:tl2br w:val="nil"/>
                    <w:tr2bl w:val="nil"/>
                  </w:tcBorders>
                  <w:noWrap w:val="0"/>
                  <w:vAlign w:val="center"/>
                </w:tcPr>
                <w:p w14:paraId="2CAA7C6E">
                  <w:pPr>
                    <w:widowControl w:val="0"/>
                    <w:wordWrap w:val="0"/>
                    <w:autoSpaceDE w:val="0"/>
                    <w:autoSpaceDN w:val="0"/>
                    <w:bidi w:val="0"/>
                    <w:adjustRightInd w:val="0"/>
                    <w:snapToGrid w:val="0"/>
                    <w:spacing w:line="240" w:lineRule="auto"/>
                    <w:ind w:left="0" w:leftChars="0" w:right="0" w:rightChars="0" w:firstLine="0" w:firstLineChars="0"/>
                    <w:jc w:val="center"/>
                    <w:rPr>
                      <w:rFonts w:hint="eastAsia"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废紫外线灯管</w:t>
                  </w:r>
                </w:p>
              </w:tc>
              <w:tc>
                <w:tcPr>
                  <w:tcW w:w="910" w:type="pct"/>
                  <w:tcBorders>
                    <w:tl2br w:val="nil"/>
                    <w:tr2bl w:val="nil"/>
                  </w:tcBorders>
                  <w:noWrap w:val="0"/>
                  <w:vAlign w:val="center"/>
                </w:tcPr>
                <w:p w14:paraId="47B38883">
                  <w:pPr>
                    <w:widowControl w:val="0"/>
                    <w:wordWrap w:val="0"/>
                    <w:autoSpaceDE w:val="0"/>
                    <w:autoSpaceDN w:val="0"/>
                    <w:bidi w:val="0"/>
                    <w:adjustRightInd w:val="0"/>
                    <w:snapToGrid w:val="0"/>
                    <w:spacing w:line="240" w:lineRule="auto"/>
                    <w:ind w:left="0" w:leftChars="0" w:right="0" w:rightChars="0" w:firstLine="0" w:firstLineChars="0"/>
                    <w:jc w:val="center"/>
                    <w:rPr>
                      <w:rFonts w:hint="eastAsia"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医疗废物暂存间</w:t>
                  </w:r>
                </w:p>
              </w:tc>
              <w:tc>
                <w:tcPr>
                  <w:tcW w:w="1200" w:type="pct"/>
                  <w:tcBorders>
                    <w:tl2br w:val="nil"/>
                    <w:tr2bl w:val="nil"/>
                  </w:tcBorders>
                  <w:noWrap w:val="0"/>
                  <w:vAlign w:val="center"/>
                </w:tcPr>
                <w:p w14:paraId="08ABC701">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0.005</w:t>
                  </w:r>
                </w:p>
              </w:tc>
              <w:tc>
                <w:tcPr>
                  <w:tcW w:w="743" w:type="pct"/>
                  <w:tcBorders>
                    <w:tl2br w:val="nil"/>
                    <w:tr2bl w:val="nil"/>
                  </w:tcBorders>
                  <w:shd w:val="clear" w:color="auto" w:fill="auto"/>
                  <w:noWrap w:val="0"/>
                  <w:vAlign w:val="center"/>
                </w:tcPr>
                <w:p w14:paraId="59C8F55B">
                  <w:pPr>
                    <w:widowControl w:val="0"/>
                    <w:wordWrap w:val="0"/>
                    <w:autoSpaceDE w:val="0"/>
                    <w:autoSpaceDN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w:t>
                  </w:r>
                </w:p>
              </w:tc>
              <w:tc>
                <w:tcPr>
                  <w:tcW w:w="788" w:type="pct"/>
                  <w:tcBorders>
                    <w:tl2br w:val="nil"/>
                    <w:tr2bl w:val="nil"/>
                  </w:tcBorders>
                  <w:shd w:val="clear" w:color="auto" w:fill="auto"/>
                  <w:noWrap w:val="0"/>
                  <w:vAlign w:val="center"/>
                </w:tcPr>
                <w:p w14:paraId="5BAD9CCA">
                  <w:pPr>
                    <w:widowControl w:val="0"/>
                    <w:wordWrap w:val="0"/>
                    <w:autoSpaceDE w:val="0"/>
                    <w:autoSpaceDN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w:t>
                  </w:r>
                </w:p>
              </w:tc>
            </w:tr>
            <w:tr w14:paraId="34D81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389" w:type="pct"/>
                  <w:tcBorders>
                    <w:tl2br w:val="nil"/>
                    <w:tr2bl w:val="nil"/>
                  </w:tcBorders>
                  <w:noWrap w:val="0"/>
                  <w:vAlign w:val="center"/>
                </w:tcPr>
                <w:p w14:paraId="642F059F">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5</w:t>
                  </w:r>
                </w:p>
              </w:tc>
              <w:tc>
                <w:tcPr>
                  <w:tcW w:w="967" w:type="pct"/>
                  <w:tcBorders>
                    <w:tl2br w:val="nil"/>
                    <w:tr2bl w:val="nil"/>
                  </w:tcBorders>
                  <w:noWrap w:val="0"/>
                  <w:vAlign w:val="center"/>
                </w:tcPr>
                <w:p w14:paraId="10FB4FCB">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二氧化氯</w:t>
                  </w:r>
                </w:p>
              </w:tc>
              <w:tc>
                <w:tcPr>
                  <w:tcW w:w="910" w:type="pct"/>
                  <w:tcBorders>
                    <w:tl2br w:val="nil"/>
                    <w:tr2bl w:val="nil"/>
                  </w:tcBorders>
                  <w:noWrap w:val="0"/>
                  <w:vAlign w:val="center"/>
                </w:tcPr>
                <w:p w14:paraId="7BBFBFF1">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污水装置</w:t>
                  </w:r>
                </w:p>
              </w:tc>
              <w:tc>
                <w:tcPr>
                  <w:tcW w:w="1200" w:type="pct"/>
                  <w:tcBorders>
                    <w:tl2br w:val="nil"/>
                    <w:tr2bl w:val="nil"/>
                  </w:tcBorders>
                  <w:noWrap w:val="0"/>
                  <w:vAlign w:val="center"/>
                </w:tcPr>
                <w:p w14:paraId="38DFC595">
                  <w:pPr>
                    <w:widowControl w:val="0"/>
                    <w:wordWrap w:val="0"/>
                    <w:autoSpaceDE w:val="0"/>
                    <w:autoSpaceDN w:val="0"/>
                    <w:bidi w:val="0"/>
                    <w:adjustRightInd w:val="0"/>
                    <w:snapToGrid w:val="0"/>
                    <w:spacing w:line="240" w:lineRule="auto"/>
                    <w:ind w:left="0" w:leftChars="0" w:right="0" w:rightChars="0" w:firstLine="0" w:firstLineChars="0"/>
                    <w:jc w:val="center"/>
                    <w:rPr>
                      <w:rFonts w:hint="eastAsia"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0.001</w:t>
                  </w:r>
                </w:p>
              </w:tc>
              <w:tc>
                <w:tcPr>
                  <w:tcW w:w="743" w:type="pct"/>
                  <w:tcBorders>
                    <w:tl2br w:val="nil"/>
                    <w:tr2bl w:val="nil"/>
                  </w:tcBorders>
                  <w:shd w:val="clear" w:color="auto" w:fill="auto"/>
                  <w:noWrap w:val="0"/>
                  <w:vAlign w:val="center"/>
                </w:tcPr>
                <w:p w14:paraId="71626E39">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0.5</w:t>
                  </w:r>
                </w:p>
              </w:tc>
              <w:tc>
                <w:tcPr>
                  <w:tcW w:w="788" w:type="pct"/>
                  <w:tcBorders>
                    <w:tl2br w:val="nil"/>
                    <w:tr2bl w:val="nil"/>
                  </w:tcBorders>
                  <w:shd w:val="clear" w:color="auto" w:fill="auto"/>
                  <w:noWrap w:val="0"/>
                  <w:vAlign w:val="center"/>
                </w:tcPr>
                <w:p w14:paraId="24F7AB8F">
                  <w:pPr>
                    <w:widowControl w:val="0"/>
                    <w:wordWrap w:val="0"/>
                    <w:autoSpaceDE w:val="0"/>
                    <w:autoSpaceDN w:val="0"/>
                    <w:bidi w:val="0"/>
                    <w:adjustRightInd w:val="0"/>
                    <w:snapToGrid w:val="0"/>
                    <w:spacing w:line="240" w:lineRule="auto"/>
                    <w:ind w:left="0" w:leftChars="0" w:right="0" w:rightChars="0" w:firstLine="0" w:firstLineChars="0"/>
                    <w:jc w:val="center"/>
                    <w:rPr>
                      <w:rFonts w:hint="eastAsia"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0.002</w:t>
                  </w:r>
                </w:p>
              </w:tc>
            </w:tr>
            <w:tr w14:paraId="3A8EE9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8" w:hRule="atLeast"/>
                <w:jc w:val="center"/>
              </w:trPr>
              <w:tc>
                <w:tcPr>
                  <w:tcW w:w="1357" w:type="pct"/>
                  <w:gridSpan w:val="2"/>
                  <w:tcBorders>
                    <w:tl2br w:val="nil"/>
                    <w:tr2bl w:val="nil"/>
                  </w:tcBorders>
                  <w:noWrap w:val="0"/>
                  <w:vAlign w:val="center"/>
                </w:tcPr>
                <w:p w14:paraId="78D961A8">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eastAsia" w:ascii="Times New Roman" w:hAnsi="Times New Roman" w:eastAsia="宋体" w:cs="Times New Roman"/>
                      <w:b w:val="0"/>
                      <w:bCs w:val="0"/>
                      <w:color w:val="0000FF"/>
                      <w:kern w:val="0"/>
                      <w:sz w:val="21"/>
                      <w:szCs w:val="20"/>
                      <w:lang w:val="en-US" w:eastAsia="zh-CN" w:bidi="zh-CN"/>
                    </w:rPr>
                    <w:t>合计</w:t>
                  </w:r>
                </w:p>
              </w:tc>
              <w:tc>
                <w:tcPr>
                  <w:tcW w:w="910" w:type="pct"/>
                  <w:tcBorders>
                    <w:tl2br w:val="nil"/>
                    <w:tr2bl w:val="nil"/>
                  </w:tcBorders>
                  <w:noWrap w:val="0"/>
                  <w:vAlign w:val="center"/>
                </w:tcPr>
                <w:p w14:paraId="3650E6AD">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p>
              </w:tc>
              <w:tc>
                <w:tcPr>
                  <w:tcW w:w="1200" w:type="pct"/>
                  <w:tcBorders>
                    <w:tl2br w:val="nil"/>
                    <w:tr2bl w:val="nil"/>
                  </w:tcBorders>
                  <w:noWrap w:val="0"/>
                  <w:vAlign w:val="center"/>
                </w:tcPr>
                <w:p w14:paraId="274094BD">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p>
              </w:tc>
              <w:tc>
                <w:tcPr>
                  <w:tcW w:w="743" w:type="pct"/>
                  <w:tcBorders>
                    <w:tl2br w:val="nil"/>
                    <w:tr2bl w:val="nil"/>
                  </w:tcBorders>
                  <w:noWrap w:val="0"/>
                  <w:vAlign w:val="center"/>
                </w:tcPr>
                <w:p w14:paraId="5B8E6E36">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p>
              </w:tc>
              <w:tc>
                <w:tcPr>
                  <w:tcW w:w="788" w:type="pct"/>
                  <w:tcBorders>
                    <w:tl2br w:val="nil"/>
                    <w:tr2bl w:val="nil"/>
                  </w:tcBorders>
                  <w:noWrap w:val="0"/>
                  <w:vAlign w:val="center"/>
                </w:tcPr>
                <w:p w14:paraId="35B0F78C">
                  <w:pPr>
                    <w:widowControl w:val="0"/>
                    <w:wordWrap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FF"/>
                      <w:kern w:val="0"/>
                      <w:sz w:val="21"/>
                      <w:szCs w:val="20"/>
                      <w:lang w:val="en-US" w:eastAsia="zh-CN" w:bidi="zh-CN"/>
                    </w:rPr>
                  </w:pPr>
                  <w:r>
                    <w:rPr>
                      <w:rFonts w:hint="eastAsia" w:cs="Times New Roman"/>
                      <w:b w:val="0"/>
                      <w:bCs w:val="0"/>
                      <w:color w:val="0000FF"/>
                      <w:kern w:val="0"/>
                      <w:sz w:val="21"/>
                      <w:szCs w:val="20"/>
                      <w:lang w:val="en-US" w:eastAsia="zh-CN" w:bidi="zh-CN"/>
                    </w:rPr>
                    <w:t>0.002</w:t>
                  </w:r>
                </w:p>
              </w:tc>
            </w:tr>
          </w:tbl>
          <w:p w14:paraId="0798175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b w:val="0"/>
                <w:bCs w:val="0"/>
                <w:iCs/>
                <w:color w:val="0000FF"/>
                <w:sz w:val="24"/>
                <w:szCs w:val="24"/>
                <w:highlight w:val="none"/>
                <w:lang w:eastAsia="zh-CN"/>
              </w:rPr>
            </w:pPr>
            <w:bookmarkStart w:id="1" w:name="_Toc58589477"/>
            <w:bookmarkStart w:id="2" w:name="_Toc43373980"/>
            <w:r>
              <w:rPr>
                <w:rFonts w:hint="default" w:ascii="Times New Roman" w:hAnsi="Times New Roman" w:eastAsia="宋体" w:cs="Times New Roman"/>
                <w:b w:val="0"/>
                <w:bCs w:val="0"/>
                <w:iCs/>
                <w:color w:val="0000FF"/>
                <w:sz w:val="24"/>
                <w:szCs w:val="24"/>
                <w:highlight w:val="none"/>
              </w:rPr>
              <w:t>危险物质数量与临界量比值</w:t>
            </w:r>
            <w:r>
              <w:rPr>
                <w:rFonts w:hint="eastAsia" w:cs="Times New Roman"/>
                <w:b w:val="0"/>
                <w:bCs w:val="0"/>
                <w:iCs/>
                <w:color w:val="0000FF"/>
                <w:sz w:val="24"/>
                <w:szCs w:val="24"/>
                <w:highlight w:val="none"/>
                <w:lang w:eastAsia="zh-CN"/>
              </w:rPr>
              <w:t>（</w:t>
            </w:r>
            <w:r>
              <w:rPr>
                <w:rFonts w:hint="default" w:ascii="Times New Roman" w:hAnsi="Times New Roman" w:eastAsia="宋体" w:cs="Times New Roman"/>
                <w:b w:val="0"/>
                <w:bCs w:val="0"/>
                <w:iCs/>
                <w:color w:val="0000FF"/>
                <w:sz w:val="24"/>
                <w:szCs w:val="24"/>
                <w:highlight w:val="none"/>
              </w:rPr>
              <w:t>Q</w:t>
            </w:r>
            <w:r>
              <w:rPr>
                <w:rFonts w:hint="eastAsia" w:cs="Times New Roman"/>
                <w:b w:val="0"/>
                <w:bCs w:val="0"/>
                <w:iCs/>
                <w:color w:val="0000FF"/>
                <w:sz w:val="24"/>
                <w:szCs w:val="24"/>
                <w:highlight w:val="none"/>
                <w:lang w:eastAsia="zh-CN"/>
              </w:rPr>
              <w:t>）</w:t>
            </w:r>
          </w:p>
          <w:p w14:paraId="3DADCCF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计算所涉及的每种危险物质在厂界内的最大存在总量与其在《建设项目环境风险评价技术导则》</w:t>
            </w:r>
            <w:r>
              <w:rPr>
                <w:rFonts w:hint="eastAsia" w:cs="Times New Roman"/>
                <w:b w:val="0"/>
                <w:bCs w:val="0"/>
                <w:iCs/>
                <w:color w:val="0000FF"/>
                <w:sz w:val="24"/>
                <w:szCs w:val="24"/>
                <w:highlight w:val="none"/>
                <w:lang w:eastAsia="zh-CN"/>
              </w:rPr>
              <w:t>（</w:t>
            </w:r>
            <w:r>
              <w:rPr>
                <w:rFonts w:hint="default" w:ascii="Times New Roman" w:hAnsi="Times New Roman" w:eastAsia="宋体" w:cs="Times New Roman"/>
                <w:b w:val="0"/>
                <w:bCs w:val="0"/>
                <w:iCs/>
                <w:color w:val="0000FF"/>
                <w:sz w:val="24"/>
                <w:szCs w:val="24"/>
                <w:highlight w:val="none"/>
              </w:rPr>
              <w:t>HJ169-2018</w:t>
            </w:r>
            <w:r>
              <w:rPr>
                <w:rFonts w:hint="eastAsia" w:cs="Times New Roman"/>
                <w:b w:val="0"/>
                <w:bCs w:val="0"/>
                <w:iCs/>
                <w:color w:val="0000FF"/>
                <w:sz w:val="24"/>
                <w:szCs w:val="24"/>
                <w:highlight w:val="none"/>
                <w:lang w:eastAsia="zh-CN"/>
              </w:rPr>
              <w:t>）</w:t>
            </w:r>
            <w:r>
              <w:rPr>
                <w:rFonts w:hint="default" w:ascii="Times New Roman" w:hAnsi="Times New Roman" w:eastAsia="宋体" w:cs="Times New Roman"/>
                <w:b w:val="0"/>
                <w:bCs w:val="0"/>
                <w:iCs/>
                <w:color w:val="0000FF"/>
                <w:sz w:val="24"/>
                <w:szCs w:val="24"/>
                <w:highlight w:val="none"/>
              </w:rPr>
              <w:t>附录B中对应临界量的比值Q。在不同厂区的同一种物质，按其在厂界内的最大存在总量计算。</w:t>
            </w:r>
          </w:p>
          <w:p w14:paraId="3D22258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（1）当企业只涉及一种风险物质时，该物质的数量与其临界量比值，即为Q。</w:t>
            </w:r>
          </w:p>
          <w:p w14:paraId="76ED9ED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（2）当企业存在多种风险物质时，则按</w:t>
            </w:r>
            <w:r>
              <w:rPr>
                <w:rFonts w:hint="eastAsia" w:ascii="Times New Roman" w:hAnsi="Times New Roman" w:eastAsia="宋体" w:cs="Times New Roman"/>
                <w:b w:val="0"/>
                <w:bCs w:val="0"/>
                <w:iCs/>
                <w:color w:val="0000FF"/>
                <w:sz w:val="24"/>
                <w:szCs w:val="24"/>
                <w:highlight w:val="none"/>
                <w:lang w:val="en-US" w:eastAsia="zh-CN"/>
              </w:rPr>
              <w:t>下</w:t>
            </w:r>
            <w:r>
              <w:rPr>
                <w:rFonts w:hint="default" w:ascii="Times New Roman" w:hAnsi="Times New Roman" w:eastAsia="宋体" w:cs="Times New Roman"/>
                <w:b w:val="0"/>
                <w:bCs w:val="0"/>
                <w:iCs/>
                <w:color w:val="0000FF"/>
                <w:sz w:val="24"/>
                <w:szCs w:val="24"/>
                <w:highlight w:val="none"/>
              </w:rPr>
              <w:t>式计算：</w:t>
            </w:r>
          </w:p>
          <w:p w14:paraId="6B750F6D">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eastAsia="宋体" w:cs="Times New Roman"/>
                <w:b w:val="0"/>
                <w:bCs w:val="0"/>
                <w:iCs/>
                <w:color w:val="0000FF"/>
                <w:sz w:val="24"/>
                <w:szCs w:val="24"/>
                <w:highlight w:val="none"/>
                <w:lang w:eastAsia="zh-CN"/>
              </w:rPr>
            </w:pPr>
            <w:r>
              <w:rPr>
                <w:rFonts w:hint="default" w:ascii="Times New Roman" w:hAnsi="Times New Roman" w:eastAsia="宋体" w:cs="Times New Roman"/>
                <w:b w:val="0"/>
                <w:bCs w:val="0"/>
                <w:color w:val="0000FF"/>
                <w:sz w:val="24"/>
                <w:szCs w:val="24"/>
                <w:highlight w:val="none"/>
              </w:rPr>
              <mc:AlternateContent>
                <mc:Choice Requires="wpc">
                  <w:drawing>
                    <wp:inline distT="0" distB="0" distL="114300" distR="114300">
                      <wp:extent cx="4930775" cy="554355"/>
                      <wp:effectExtent l="0" t="0" r="0" b="17145"/>
                      <wp:docPr id="4" name="画布 4"/>
                      <wp:cNvGraphicFramePr/>
                      <a:graphic xmlns:a="http://schemas.openxmlformats.org/drawingml/2006/main">
                        <a:graphicData uri="http://schemas.microsoft.com/office/word/2010/wordprocessingCanvas">
                          <wpc:wpc>
                            <wpc:bg/>
                            <wpc:whole/>
                            <pic:pic xmlns:pic="http://schemas.openxmlformats.org/drawingml/2006/picture">
                              <pic:nvPicPr>
                                <pic:cNvPr id="6" name="图片 6"/>
                                <pic:cNvPicPr>
                                  <a:picLocks noChangeAspect="1"/>
                                </pic:cNvPicPr>
                              </pic:nvPicPr>
                              <pic:blipFill>
                                <a:blip r:embed="rId24"/>
                                <a:stretch>
                                  <a:fillRect/>
                                </a:stretch>
                              </pic:blipFill>
                              <pic:spPr>
                                <a:xfrm>
                                  <a:off x="965200" y="48895"/>
                                  <a:ext cx="2826385" cy="469900"/>
                                </a:xfrm>
                                <a:prstGeom prst="rect">
                                  <a:avLst/>
                                </a:prstGeom>
                                <a:noFill/>
                                <a:ln>
                                  <a:noFill/>
                                </a:ln>
                              </pic:spPr>
                            </pic:pic>
                          </wpc:wpc>
                        </a:graphicData>
                      </a:graphic>
                    </wp:inline>
                  </w:drawing>
                </mc:Choice>
                <mc:Fallback>
                  <w:pict>
                    <v:group id="_x0000_s1026" o:spid="_x0000_s1026" o:spt="203" style="height:43.65pt;width:388.25pt;" coordsize="4930775,554355" editas="canvas" o:gfxdata="UEsDBAoAAAAAAIdO4kAAAAAAAAAAAAAAAAAEAAAAZHJzL1BLAwQUAAAACACHTuJAwu6MfdcAAAAE&#10;AQAADwAAAGRycy9kb3ducmV2LnhtbE2PQWvCQBCF7wX/wzJCL6VubKmRmI0HQZRSEGP1PGanSWh2&#10;NmbXxP77bntpLwOP93jvm3R5M43oqXO1ZQXTSQSCuLC65lLB+2H9OAfhPLLGxjIp+CIHy2x0l2Ki&#10;7cB76nNfilDCLkEFlfdtIqUrKjLoJrYlDt6H7Qz6ILtS6g6HUG4a+RRFM2mw5rBQYUuriorP/GoU&#10;DMWuPx3eNnL3cNpavmwvq/z4qtT9eBotQHi6+b8w/OAHdMgC09leWTvRKAiP+N8bvDievYA4K5jH&#10;zyCzVP6Hz74BUEsDBBQAAAAIAIdO4kARInXiUwIAAD0FAAAOAAAAZHJzL2Uyb0RvYy54bWytVM2O&#10;0zAQviPxDpbvNN02ybZR0xWibIW0goqfB3AdJ7GIf2S7P3vmgLhz40WQkHib1b4GYydtty2CFeKQ&#10;xB6PZ77vm5lMrraiQWtmLFcyxxe9PkZMUlVwWeX4w/vrZyOMrCOyII2SLMe3zOKr6dMnk43O2EDV&#10;qimYQRBE2myjc1w7p7MosrRmgtie0kzCYamMIA62pooKQzYQXTTRoN9Po40yhTaKMmvBOmsPcRfR&#10;PCagKktO2UzRlWDStVENa4gDSrbm2uJpQFuWjLo3ZWmZQ02OgakLb0gC66V/R9MJySpDdM1pB4E8&#10;BsIJJ0G4hKT7UDPiCFoZfhZKcGqUVaXrUSWilkhQBFhc9E+0mRu10oFLlW0qvRcdCnWi+j+Hpa/X&#10;C4N4keMYI0kEFPz+64+7759Q7LXZ6CoDl7nR7/TCdIaq3Xm629II/wUiaBtUvd2ryrYOUTDG42H/&#10;8jLBiMJZksTDJGllpzXU5uwarV/++WK0Sxt5dHswmtMMnk4kWJ2J9PfWhFtuZRhI7qPJ9YLThWk3&#10;B6HSnVB3337ef/mMUs/G+3uX9gLxSG4U/WiRVC9qIiv23GpoRhg47x0du4ftUbZlw/U1bxqvrV//&#10;3+lAJmNiyaDo5lURAJHMOsMcrX3CEhK/BbAe6IODgPIAzFOw0BS/aYNxmsCkYwT1jkejcVfuXT8M&#10;RoN0OOr6IU7HY3BtU+26SRvr5kwJ5BcAErBASUhG1je2Q7Vz8WapvFQQgmSNPDIAfG8JyFusYQnQ&#10;wei7B6YqkOz+AH5sH+6D1+GvN/0FUEsDBAoAAAAAAIdO4kAAAAAAAAAAAAAAAAAKAAAAZHJzL21l&#10;ZGlhL1BLAwQUAAAACACHTuJATUO8m4ENAAB8DQAAFAAAAGRycy9tZWRpYS9pbWFnZTEucG5nAXwN&#10;g/KJUE5HDQoaCgAAAA1JSERSAAABuAAAAFgIAgAAAAibddIAAAADc0JJVAgICNvhT+AAAAAJcEhZ&#10;cwAADsQAAA7EAZUrDhsAAA0fSURBVHic7d19bBPnHQfwnw1itKWwdmPlDBVdwpKwhlHhDFZRdSYM&#10;Z2vXUjnQl004LFEXNl5UouBgClO7MFjiKJAC6wA5DWmhbeCsRCmtcGWTaVBGZNNWICV2ISJtuGML&#10;qxrHoxDi8/6wkziJk8PJ2fHZ389ffjk7j5/n8r275557TuH3+wkAAEamnOgCAADEOwQlAIAIBCUA&#10;gAgEJQCACAQlAIAIBCUAgAgEJQCACAQlAIAIBCUAgAgEJQCACAQlAIAIBCUAgAgEJQCACAQlAIAI&#10;BCUAgAgEJQCACAQlAIAIBCUAgAgEJQCACAQlAIAIBCUAgAgE5dh43PYGi8VisRwuWaZSLNvj9Aoj&#10;LCl4W4/kqdZZ+N5wrysUCoUq70Az3xP1IkcRaiOpJGVz+yFCdxym1KG1qDbYOsMte5s7v1/PEJHG&#10;5Oge8p6Pc9SbDZrRPi4DqI2kkrTNjaAcB1+HzagNrCyMwdY19O3bnO01TXBlStWzX4b7ijscW0ia&#10;Ske3L/rFjTLURlJJsubGofc4KGdnby0xMEREPHvhi0GHFx63ZefWU4+WsYH3r5xt+0/vsC8Q+NP7&#10;Gh62HVuvnib/hkBtJJUka24ZFDGuTf9Jzho1EdGVy+2d/SuDp7X6T2XtOX/dvSorM30BERFdudje&#10;OfijAm+vOnpz7QFjNjMlhiWOJtRGUkmm5kZQjtO0OekpRETkauNuEREJfPMbh6yZJYc3L2WUpExZ&#10;uCLQqXO2jRvYqgre1vcrj3/nxaKVaXLYnN411EZSSaLmlk1B49WUWY/MY4iIuju7bpFwzV51vOOX&#10;v9+0mAnW7OQfpCxNJQrd6nrc9g+blb8q3rSU6a9+gXc2WCwnKvJUWSX2GzH/FVKRqDaoh3d+eKIi&#10;cF40IKek2mJ3e2L9g2A0UjW3DEye6ALInfLeGQ/eS0T0zfWr/7LUKDNf3pA9aDv5wNwFDxNdCWx1&#10;BXI1nuuer31q0DIee0nG8nI+8ERtiGHppSZFbVDPtYbDdXcefXrdW1zxESIigXfWH31jQ+5yXmu0&#10;Ve/Mni2rf7EEJklzy4P8ShxvlPc/mEpEdA91PfD42qeGHU1MVaWkExGR62Tdu42c6hmdZugy07PL&#10;OL/f32kzqGNT5uiRoDZoyuyV6zevCnldyah1RfveMTJk3V126vJIg/Yg5qRobpmI2fl1H+eoZ1mW&#10;PWrSZw4rBaMxHGJZtt7ByWCkwBAcq2f0ledHLLnPZdaS1lAz8hJBgaCUx7CyEUlWG0M/12UzMpSZ&#10;z16V3xqSwKRp7m9d5tXBJNCaXb5AWBwyaBgiYvQ1LXEwfijaQXmbc5xkgyNLA2lYb3MNGXTV5bLV&#10;HzfpmWBm6k1W19DxqUkhIYIyOnyc1ah52sC2JOWKkQx83Y5KDakNtg7OcdRkMtc7OF8wQFebXd9O&#10;dPGiF5Qh2wQircFsc4lsFvrH8RMRozFaZbhvOU4IyrB83S7WaKiyDt2+QgLxXWXzMxm96b1KU1Xf&#10;3qevg81nGI3pfDxsHaMRlLc5R21fRDIaAysWkf1C9sCT8SALQTlMt8tqNtfYkvMII3kE+lWI0e8/&#10;z93ue7HTZlATs57tuD3aR2NF6qDsbmEN2r6w00Z6rDToSlI9y0lcuDgX/aDkWL1cKtbHOWrNZnZI&#10;p7Wv23U6Wh3ZMqqcUcjxV/hazFpmcF9k4Eg8M5+9eqe7+38TWbggSc9AeS9Vr1+dW24NpKTRVr1b&#10;lzEtgs8LN7u+villgWRCaK3OUSkUM5eXO4mc5ctnKhSqnOrWJD2763XbT1TkzVFl6QsKcrNUkxQh&#10;Jt1f+Omc9Ifked4Uwuq5Vr9/u3VR0aaVGf0nxAV33TZTE7NovuA86eB64+A/QbpxlN5L1etfKqi9&#10;REREmfnsocjHu33tOGUNjiYkRvvzHz8kWeHimzIj/xSXP9GliBfT0rJXFWevCgyhhIQ3ZbZuP+cf&#10;/Fr8/UdItW3+xvn3rX0pSUz+639+bm6EXy14nW+XljuDzxhdYU6K+DfwljzF+ORZeNG/AgDJTaI9&#10;Ss+FusqTfU+eLvpjxDuTAm/bVWxqCj7TGt8xPjf7Lq6WZ3RH/P6o7nooFIpofv3Y+f1+8YUkFbdV&#10;MUTsayZhyKWJRxeVFUCSns5BJ2EYo60rwt727ovmgVHomXrzxfg5yyl9jUskfHEDffnjMfJ5AEmK&#10;HQMjtmU0Kyd20MRiolHrUQjKVJPjTgSf9XFnKgdSUmu0dSTZqKAYkuMp0ZhJjMpJjF8Rf6Tpo5yc&#10;/uS64MBJoivNn7fdurvPedwf7/md+omi2ksUHEXVuCuio3b0UQJA9El0Mmda1ro3d/ddV3N8+1/M&#10;YjcM8rjt71fkLU3XFtXyxOhNrIPrOLJ+caSzeDK6I+PcUhzRMeJ/BgCSmlRnvZXTMvLecp6vMWiJ&#10;iK/dsET1TJgJBAdmXZyRvvzFLR8vMh2vt7m6uCPFOrW8pqcDGMLjtmxbFjhMUeXtaeaHDf4b/wIw&#10;YaScj1LJLM4rO7XmFWfjufY7bQ2bCnLLhy6SqTcZV6akrNx/+lXtk3KdcAlgdOmzHpwU5QUgthT+&#10;KJ3qEnhn4wd1extoTVHB87KdhA4AIBoznAu8s/Gjur0Fb5OhrOKYRS2TmwcBAIxEwh29Ht75QXVJ&#10;ziRV1h/+MWubq/V02ZoIU9LjtjdY7G6vdGWS2g17SZb4OXSPvUQ12lKKnGp3oP+p11kxL+wSsrhz&#10;DmojsaF9Q0gxxqjLZXsv3LzlfTQGMxswfNZef3ByX5Zl2dN3PSHbBBsy9nPECZxD51LSGNkRZlT0&#10;cVZjYHCVxmBmTzq4uJhX6u6hNhIb2tfv90ty6D09LfuF4uwXQqcxEHhn47l2X/BJW8OG3Nqh4xUZ&#10;jeH1jUu+RzR17uO/0KnldISuZNIXzvpO4DFjKHk1b/H0cIsJ3f9tv84FltKu0T+XFnapnn+3fHLO&#10;tcJkfXXdirRIJluKF6iNxIb2pejdhVHJqFfqBm6VpUuwyWCEG1c/C64TC9JV4dq7h28+vH3HiVZr&#10;YKIQ1WOPfD9MN4e31VJavI/yD7p3yPh8F2ojsaF9cbvaMfJyrouBPeSw64THbdlnbn9yS/G1bGsT&#10;ERFlLZn/3cHLCF53fWlhNW2saIxs1s74g9pIbGhf3K52bHq/uMAGexJS0ucMbndvq6XEYKbcHZt/&#10;qvzqcnCp1HlzZ4Zuk3p4e+kzhY4lB4+VyXO9CYXaSGxoX8Ie5Zj0drZfvhJ4mLp4YcrU/jcE/mzV&#10;3qa5BeVladOJbnS42gKvM7mLfjR5YKHmqq2/+WzxsWMvR3zJZjxCbSQ2tC8RgnJMvmk57wg+XJqi&#10;ClZhD998ePtBKty5JbhC9LZfYAPzEA/07Aj82aqt2z97bOc/31qaKNdsojYSG9qXCEE5FgN925S6&#10;YO5Mor5uGs3OwwMrhND2+cfBDXH6ioVzlAPdNG8ekO0BSBiojcSG9iUiBOVYDPRtq3MXzZ3sbbWU&#10;7j2/5JUdm0NXCMHbcfli8HF6iqrHbdlVuI82HjymCz9sQrZQG4kN7UtECMoxCO3bnkef7ilt7uum&#10;CdVz/Wpf37bmvra9L224/my9zLtpwkJtJDa0b9BEj3iXnTscW9hfe4Nv2R7qS1bfP+l7pr7yTHTu&#10;RT3hUBuJDe0bhKCMVKfNoBZfIQZujnH3N7cIXMp51KTPZAy28Nd/xZ3o1Ybf7+Mc9UcHXRqrMZjl&#10;c51rQohm+8oKgjJCvhazliHSGtiWUe6A5nOZtTTaFa/D9K+RRESyCcpo1Ybf77taX7n/uM3V/7U+&#10;zsGa9AwRaV6zyeQCYdmLXvvKDYIyQhyrF18hfF02Y6q+piXifR9fl83IyCgoo1sbwwU2J4zW3JKQ&#10;uy1xJ9btG78QlHFFbkEZa502g5qY9WwH9igT27cu8+rg4ZXW7PIF+mEOGTQMETETEcoyHwYKSaSH&#10;tx8obdayTbt0sxPodCqEMTUt/71uR6WG1IaSnPs/PVZR+VHHnF/vPt3mMq/ma09+wo1+70LpYXgQ&#10;yILHbdlnbvvZwcYVspt4BsZC+Mr6t2qXPm/d5+8eX/rbomJGSSRcs5RtP6Mx1T+fNlX8GySFoIQ4&#10;J3jdtroznY88sbFMlyCjl0GM4Gk6uKH6Eunv+eGLL78QHI95o+mNXdWkY196LPaX+iAoIX4JfPPR&#10;j1ruW6hdmx96rbDHbT/XPX8ZbseUsAT3ibIa0tfYD6zJCB5ACF7n26Xlt/PZLc/O6LlJU+6NbYlw&#10;FBMnbrmrn1coJs1Yvpsn4suXzwi92UjSEbzuphMVeXNUS/QFa3OzVJMG3WIlo/DCA+lIyYTVc61+&#10;/3broqJNKzP6u1kEd902UxOzaL7gPOngemP+fxG129UCACQK7FECAIhAUAIAiEBQAgCIQFACAIhA&#10;UAIAiEBQAgCIQFACAIhAUAIAiEBQAgCIQFACAIhAUAIAiEBQAgCIQFACAIhAUAIAiEBQAgCIQFAC&#10;AIhAUAIAiEBQAgCI+D8Q5uzsOCTyO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sxMAAFtDb250ZW50X1R5cGVzXS54&#10;bWxQSwECFAAKAAAAAACHTuJAAAAAAAAAAAAAAAAABgAAAAAAAAAAABAAAACAEQAAX3JlbHMvUEsB&#10;AhQAFAAAAAgAh07iQIoUZjzRAAAAlAEAAAsAAAAAAAAAAQAgAAAApBEAAF9yZWxzLy5yZWxzUEsB&#10;AhQACgAAAAAAh07iQAAAAAAAAAAAAAAAAAQAAAAAAAAAAAAQAAAAAAAAAGRycy9QSwECFAAKAAAA&#10;AACHTuJAAAAAAAAAAAAAAAAACgAAAAAAAAAAABAAAACeEgAAZHJzL19yZWxzL1BLAQIUABQAAAAI&#10;AIdO4kCqJg6+tgAAACEBAAAZAAAAAAAAAAEAIAAAAMYSAABkcnMvX3JlbHMvZTJvRG9jLnhtbC5y&#10;ZWxzUEsBAhQAFAAAAAgAh07iQMLujH3XAAAABAEAAA8AAAAAAAAAAQAgAAAAIgAAAGRycy9kb3du&#10;cmV2LnhtbFBLAQIUABQAAAAIAIdO4kARInXiUwIAAD0FAAAOAAAAAAAAAAEAIAAAACYBAABkcnMv&#10;ZTJvRG9jLnhtbFBLAQIUAAoAAAAAAIdO4kAAAAAAAAAAAAAAAAAKAAAAAAAAAAAAEAAAAKUDAABk&#10;cnMvbWVkaWEvUEsBAhQAFAAAAAgAh07iQE1DvJuBDQAAfA0AABQAAAAAAAAAAQAgAAAAzQMAAGRy&#10;cy9tZWRpYS9pbWFnZTEucG5nUEsFBgAAAAAKAAoAUgIAAOgUAAAAAA==&#10;">
                      <o:lock v:ext="edit" aspectratio="f"/>
                      <v:shape id="_x0000_s1026" o:spid="_x0000_s1026" style="position:absolute;left:0;top:0;height:554355;width:4930775;" filled="f" stroked="f" coordsize="21600,21600" o:gfxdata="UEsDBAoAAAAAAIdO4kAAAAAAAAAAAAAAAAAEAAAAZHJzL1BLAwQUAAAACACHTuJAwu6MfdcAAAAE&#10;AQAADwAAAGRycy9kb3ducmV2LnhtbE2PQWvCQBCF7wX/wzJCL6VubKmRmI0HQZRSEGP1PGanSWh2&#10;NmbXxP77bntpLwOP93jvm3R5M43oqXO1ZQXTSQSCuLC65lLB+2H9OAfhPLLGxjIp+CIHy2x0l2Ki&#10;7cB76nNfilDCLkEFlfdtIqUrKjLoJrYlDt6H7Qz6ILtS6g6HUG4a+RRFM2mw5rBQYUuriorP/GoU&#10;DMWuPx3eNnL3cNpavmwvq/z4qtT9eBotQHi6+b8w/OAHdMgC09leWTvRKAiP+N8bvDievYA4K5jH&#10;zyCzVP6Hz74BUEsDBBQAAAAIAIdO4kDyfIXwCAIAAIYEAAAOAAAAZHJzL2Uyb0RvYy54bWytlF1u&#10;00AQx9+RuMNq34nTQKzEilOhRkVIFUQIDjBZj+0V3g/tbuz0BIgzcBdug7hGZ9cJbdoH+tCHOLM7&#10;4//85iNZXR5Ux3p0Xhpd8ovJlDPUwlRSNyX/9vX6zYIzH0BX0BmNJb9Fzy/Xr1+tBlvgzLSmq9Ax&#10;EtG+GGzJ2xBskWVetKjAT4xFTc7aOAWBjq7JKgcDqasum02neTYYV1lnBHpPt5vRyY+K7jmCpq6l&#10;wI0Re4U6jKoOOwhUkm+l9XydaOsaRfhc1x4D60pOlYb0pCRk7+IzW6+gaBzYVoojAjwH4VFNCqSm&#10;pP+kNhCA7Z18IqWkcMabOkyEUdlYSOoIVXExfdSbK9A9jMUI6vUJkKwX1N011AOSLAYaLZJtpSjo&#10;c+wGWU+S/X/G9FbYO6SWRDXdb6XYuvEgPvVbx2RV8pwzDYpW7M+v339//mB5nEaMjyHjCxBJboz4&#10;7pk2Vy3oBt97S1OlzY3R2Xl4Op5l23XSXsuui7OJ9suuGXMFqh1SLe5jlYCg8MFhEG1MWFPiLwQb&#10;QR84EuU9WCzB29geKA61U/GbFoMdSr7M5/ST4ey25O8Wi+V8XFc8BCbIO1vM8reLOWci+vPlkkLH&#10;VCcZ63z4gEaxaBAksaQthf7GH6lOITGrNrFVJAFFp88uCD/eJPKRNZmETpdpeWy0zvb/4TlF3f99&#10;rO8AUEsDBAoAAAAAAIdO4kAAAAAAAAAAAAAAAAAKAAAAZHJzL21lZGlhL1BLAwQUAAAACACHTuJA&#10;TUO8m4ENAAB8DQAAFAAAAGRycy9tZWRpYS9pbWFnZTEucG5nAXwNg/KJUE5HDQoaCgAAAA1JSERS&#10;AAABuAAAAFgIAgAAAAibddIAAAADc0JJVAgICNvhT+AAAAAJcEhZcwAADsQAAA7EAZUrDhsAAA0f&#10;SURBVHic7d19bBPnHQfwnw1itKWwdmPlDBVdwpKwhlHhDFZRdSYMZ2vXUjnQl004LFEXNl5UouBg&#10;ClO7MFjiKJAC6wA5DWmhbeCsRCmtcGWTaVBGZNNWICV2ISJtuGMLqxrHoxDi8/6wkziJk8PJ2fHZ&#10;389ffjk7j5/n8r275557TuH3+wkAAEamnOgCAADEOwQlAIAIBCUAgAgEJQCACAQlAIAIBCUAgAgE&#10;JQCACAQlAIAIBCUAgAgEJQCACAQlAIAIBCUAgAgEJQCACAQlAIAIBCUAgAgEJQCACAQlAIAIBCUA&#10;gAgEJQCACAQlAIAIBCUAgAgE5dh43PYGi8VisRwuWaZSLNvj9AojLCl4W4/kqdZZ+N5wrysUCoUq&#10;70Az3xP1IkcRaiOpJGVz+yFCdxym1KG1qDbYOsMte5s7v1/PEJHG5Oge8p6Pc9SbDZrRPi4DqI2k&#10;krTNjaAcB1+HzagNrCyMwdY19O3bnO01TXBlStWzX4b7ijscW0iaSke3L/rFjTLURlJJsubGofc4&#10;KGdnby0xMEREPHvhi0GHFx63ZefWU4+WsYH3r5xt+0/vsC8Q+NP7Gh62HVuvnib/hkBtJJUka24Z&#10;FDGuTf9Jzho1EdGVy+2d/SuDp7X6T2XtOX/dvSorM30BERFdudjeOfijAm+vOnpz7QFjNjMlhiWO&#10;JtRGUkmm5kZQjtO0OekpRETkauNuEREJfPMbh6yZJYc3L2WUpExZuCLQqXO2jRvYqgre1vcrj3/n&#10;xaKVaXLYnN411EZSSaLmlk1B49WUWY/MY4iIuju7bpFwzV51vOOXv9+0mAnW7OQfpCxNJQrd6nrc&#10;9g+blb8q3rSU6a9+gXc2WCwnKvJUWSX2GzH/FVKRqDaoh3d+eKIicF40IKek2mJ3e2L9g2A0UjW3&#10;DEye6ALInfLeGQ/eS0T0zfWr/7LUKDNf3pA9aDv5wNwFDxNdCWx1BXI1nuuer31q0DIee0nG8nI+&#10;8ERtiGHppSZFbVDPtYbDdXcefXrdW1zxESIigXfWH31jQ+5yXmu0Ve/Mni2rf7EEJklzy4P8Shxv&#10;lPc/mEpEdA91PfD42qeGHU1MVaWkExGR62Tdu42c6hmdZugy07PLOL/f32kzqGNT5uiRoDZoyuyV&#10;6zevCnldyah1RfveMTJk3V126vJIg/Yg5qRobpmI2fl1H+eoZ1mWPWrSZw4rBaMxHGJZtt7ByWCk&#10;wBAcq2f0ledHLLnPZdaS1lAz8hJBgaCUx7CyEUlWG0M/12UzMpSZz16V3xqSwKRp7m9d5tXBJNCa&#10;Xb5AWBwyaBgiYvQ1LXEwfijaQXmbc5xkgyNLA2lYb3MNGXTV5bLVHzfpmWBm6k1W19DxqUkhIYIy&#10;Onyc1ah52sC2JOWKkQx83Y5KDakNtg7OcdRkMtc7OF8wQFebXd9OdPGiF5Qh2wQircFsc4lsFvrH&#10;8RMRozFaZbhvOU4IyrB83S7WaKiyDt2+QgLxXWXzMxm96b1KU1Xf3qevg81nGI3pfDxsHaMRlLc5&#10;R21fRDIaAysWkf1C9sCT8SALQTlMt8tqNtfYkvMII3kE+lWI0e8/z93ue7HTZlATs57tuD3aR2NF&#10;6qDsbmEN2r6w00Z6rDToSlI9y0lcuDgX/aDkWL1cKtbHOWrNZnZIp7Wv23U6Wh3ZMqqcUcjxV/ha&#10;zFpmcF9k4Eg8M5+9eqe7+38TWbggSc9AeS9Vr1+dW24NpKTRVr1blzEtgs8LN7u+villgWRCaK3O&#10;USkUM5eXO4mc5ctnKhSqnOrWJD2763XbT1TkzVFl6QsKcrNUkxQhJt1f+Omc9Ifked4Uwuq5Vr9/&#10;u3VR0aaVGf0nxAV33TZTE7NovuA86eB64+A/QbpxlN5L1etfKqi9REREmfnsocjHu33tOGUNjiYk&#10;RvvzHz8kWeHimzIj/xSXP9GliBfT0rJXFWevCgyhhIQ3ZbZuP+cf/Fr8/UdItW3+xvn3rX0pSUz+&#10;639+bm6EXy14nW+XljuDzxhdYU6K+DfwljzF+ORZeNG/AgDJTaI9Ss+FusqTfU+eLvpjxDuTAm/b&#10;VWxqCj7TGt8xPjf7Lq6WZ3RH/P6o7nooFIpofv3Y+f1+8YUkFbdVMUTsayZhyKWJRxeVFUCSns5B&#10;J2EYo60rwt727ovmgVHomXrzxfg5yyl9jUskfHEDffnjMfJ5AEmKHQMjtmU0Kyd20MRiolHrUQjK&#10;VJPjTgSf9XFnKgdSUmu0dSTZqKAYkuMp0ZhJjMpJjF8Rf6Tpo5yc/uS64MBJoivNn7fdurvPedwf&#10;7/md+omi2ksUHEXVuCuio3b0UQJA9El0Mmda1ro3d/ddV3N8+1/MYjcM8rjt71fkLU3XFtXyxOhN&#10;rIPrOLJ+caSzeDK6I+PcUhzRMeJ/BgCSmlRnvZXTMvLecp6vMWiJiK/dsET1TJgJBAdmXZyRvvzF&#10;LR8vMh2vt7m6uCPFOrW8pqcDGMLjtmxbFjhMUeXtaeaHDf4b/wIwYaScj1LJLM4rO7XmFWfjufY7&#10;bQ2bCnLLhy6SqTcZV6akrNx/+lXtk3KdcAlgdOmzHpwU5QUgthT+KJ3qEnhn4wd1extoTVHB87Kd&#10;hA4AIBoznAu8s/Gjur0Fb5OhrOKYRS2TmwcBAIxEwh29Ht75QXVJziRV1h/+MWubq/V02ZoIU9Lj&#10;tjdY7G6vdGWS2g17SZb4OXSPvUQ12lKKnGp3oP+p11kxL+wSsrhzDmojsaF9Q0gxxqjLZXsv3Lzl&#10;fTQGMxswfNZef3ByX5Zl2dN3PSHbBBsy9nPECZxD51LSGNkRZlT0cVZjYHCVxmBmTzq4uJhX6u6h&#10;NhIb2tfv90ty6D09LfuF4uwXQqcxEHhn47l2X/BJW8OG3Nqh4xUZjeH1jUu+RzR17uO/0KnldISu&#10;ZNIXzvpO4DFjKHk1b/H0cIsJ3f9tv84FltKu0T+XFnapnn+3fHLOtcJkfXXdirRIJluKF6iNxIb2&#10;pejdhVHJqFfqBm6VpUuwyWCEG1c/C64TC9JV4dq7h28+vH3HiVZrYKIQ1WOPfD9MN4e31VJavI/y&#10;D7p3yPh8F2ojsaF9cbvaMfJyrouBPeSw64THbdlnbn9yS/G1bGsTERFlLZn/3cHLCF53fWlhNW2s&#10;aIxs1s74g9pIbGhf3K52bHq/uMAGexJS0ucMbndvq6XEYKbcHZt/qvzqcnCp1HlzZ4Zuk3p4e+kz&#10;hY4lB4+VyXO9CYXaSGxoX8Ie5Zj0drZfvhJ4mLp4YcrU/jcE/mzV3qa5BeVladOJbnS42gKvM7mL&#10;fjR5YKHmqq2/+WzxsWMvR3zJZjxCbSQ2tC8RgnJMvmk57wg+XJqiClZhD998ePtBKty5JbhC9LZf&#10;YAPzEA/07Aj82aqt2z97bOc/31qaKNdsojYSG9qXCEE5FgN925S6YO5Mor5uGs3OwwMrhND2+cfB&#10;DXH6ioVzlAPdNG8ekO0BSBiojcSG9iUiBOVYDPRtq3MXzZ3sbbWU7j2/5JUdm0NXCMHbcfli8HF6&#10;iqrHbdlVuI82HjymCz9sQrZQG4kN7UtECMoxCO3bnkef7ilt7uumCdVz/Wpf37bmvra9L224/my9&#10;zLtpwkJtJDa0b9BEj3iXnTscW9hfe4Nv2R7qS1bfP+l7pr7yTHTuRT3hUBuJDe0bhKCMVKfNoBZf&#10;IQZujnH3N7cIXMp51KTPZAy28Nd/xZ3o1Ybf7+Mc9UcHXRqrMZjlc51rQohm+8oKgjJCvhazliHS&#10;GtiWUe6A5nOZtTTaFa/D9K+RRESyCcpo1Ybf77taX7n/uM3V/7U+zsGa9AwRaV6zyeQCYdmLXvvK&#10;DYIyQhyrF18hfF02Y6q+piXifR9fl83IyCgoo1sbwwU2J4zW3JKQuy1xJ9btG78QlHFFbkEZa502&#10;g5qY9WwH9igT27cu8+rg4ZXW7PIF+mEOGTQMETETEcoyHwYKSaSHtx8obdayTbt0sxPodCqEMTUt&#10;/71uR6WG1IaSnPs/PVZR+VHHnF/vPt3mMq/ma09+wo1+70LpYXgQyILHbdlnbvvZwcYVspt4BsZC&#10;+Mr6t2qXPm/d5+8eX/rbomJGSSRcs5RtP6Mx1T+fNlX8GySFoIQ4J3jdtroznY88sbFMlyCjl0GM&#10;4Gk6uKH6Eunv+eGLL78QHI95o+mNXdWkY196LPaX+iAoIX4JfPPRj1ruW6hdmx96rbDHbT/XPX8Z&#10;bseUsAT3ibIa0tfYD6zJCB5ACF7n26Xlt/PZLc/O6LlJU+6NbYlwFBMnbrmrn1coJs1Yvpsn4suX&#10;zwi92UjSEbzuphMVeXNUS/QFa3OzVJMG3WIlo/DCA+lIyYTVc61+/3broqJNKzP6u1kEd902UxOz&#10;aL7gPOngemP+fxG129UCACQK7FECAIhAUAIAiEBQAgCIQFACAIhAUAIAiEBQAgCIQFACAIhAUAIA&#10;iEBQAgCIQFACAIhAUAIAiEBQAgCIQFACAIhAUAIAiEBQAgCIQFACAIhAUAIAiEBQAgCI+D8Q5uzs&#10;OCTyO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aBMAAFtDb250ZW50X1R5cGVzXS54bWxQSwECFAAKAAAAAACHTuJA&#10;AAAAAAAAAAAAAAAABgAAAAAAAAAAABAAAAA1EQAAX3JlbHMvUEsBAhQAFAAAAAgAh07iQIoUZjzR&#10;AAAAlAEAAAsAAAAAAAAAAQAgAAAAWREAAF9yZWxzLy5yZWxzUEsBAhQACgAAAAAAh07iQAAAAAAA&#10;AAAAAAAAAAQAAAAAAAAAAAAQAAAAAAAAAGRycy9QSwECFAAKAAAAAACHTuJAAAAAAAAAAAAAAAAA&#10;CgAAAAAAAAAAABAAAABTEgAAZHJzL19yZWxzL1BLAQIUABQAAAAIAIdO4kCqJg6+tgAAACEBAAAZ&#10;AAAAAAAAAAEAIAAAAHsSAABkcnMvX3JlbHMvZTJvRG9jLnhtbC5yZWxzUEsBAhQAFAAAAAgAh07i&#10;QMLujH3XAAAABAEAAA8AAAAAAAAAAQAgAAAAIgAAAGRycy9kb3ducmV2LnhtbFBLAQIUABQAAAAI&#10;AIdO4kDyfIXwCAIAAIYEAAAOAAAAAAAAAAEAIAAAACYBAABkcnMvZTJvRG9jLnhtbFBLAQIUAAoA&#10;AAAAAIdO4kAAAAAAAAAAAAAAAAAKAAAAAAAAAAAAEAAAAFoDAABkcnMvbWVkaWEvUEsBAhQAFAAA&#10;AAgAh07iQE1DvJuBDQAAfA0AABQAAAAAAAAAAQAgAAAAggMAAGRycy9tZWRpYS9pbWFnZTEucG5n&#10;UEsFBgAAAAAKAAoAUgIAAJ0UAAAAAA==&#10;">
                        <v:fill on="f" focussize="0,0"/>
                        <v:stroke on="f"/>
                        <v:imagedata o:title=""/>
                        <o:lock v:ext="edit" aspectratio="f"/>
                      </v:shape>
                      <v:shape id="_x0000_s1026" o:spid="_x0000_s1026" o:spt="75" type="#_x0000_t75" style="position:absolute;left:965200;top:48895;height:469900;width:2826385;" filled="f" o:preferrelative="t" stroked="f" coordsize="21600,21600" o:gfxdata="UEsDBAoAAAAAAIdO4kAAAAAAAAAAAAAAAAAEAAAAZHJzL1BLAwQUAAAACACHTuJAR4CdC9MAAAAE&#10;AQAADwAAAGRycy9kb3ducmV2LnhtbE2PzWrDMBCE74W8g9hAbo3slsbB9TqHQAqFXuKGnhVrY4lY&#10;K2PJ+Xn7qr20l4Vhhplvq83N9eJCY7CeEfJlBoK49dpyh3D43D2uQYSoWKveMyHcKcCmnj1UqtT+&#10;ynu6NLETqYRDqRBMjEMpZWgNORWWfiBO3smPTsUkx07qUV1TuevlU5atpFOW04JRA20NtedmcgiT&#10;a968Kd63pzywNR9fVtq9RVzM8+wVRKRb/AvDD35ChzoxHf3EOogeIT0Sf2/yimL1AuKIsC6eQdaV&#10;/A9ffwNQSwMEFAAAAAgAh07iQObcsTXSAQAABQQAAA4AAABkcnMvZTJvRG9jLnhtbK2TXY7TMBDH&#10;35G4g+V3NqXQqI2arhDVIqQVVAgOMHUmjYW/NHY/9gSIM3AXboO4xo6TLLQ8rYCHOGPP5D+/GU+W&#10;1ydrxAEpau9q+fxqIgU65RvtdrX89PHm2VyKmMA1YLzDWt5hlNerp0+Wx1Dh1HfeNEiCRVysjqGW&#10;XUqhKoqoOrQQr3xAx87Wk4XEW9oVDcGR1a0pppNJWRw9NYG8whj5dD045ahIjxH0basVrr3aW3Rp&#10;UCU0kLik2OkQ5aqnbVtU6X3bRkzC1JIrTf3KSdje5rVYLaHaEYROqxEBHoPwR00WtOOkv6TWkEDs&#10;Sf+FVNAq7QlZja2KnxGLrX9Wc4eNVhsapNW7w4aEbmpZSuHA8l3/+Pb959cvosxtydlzyPABZJJb&#10;rz5H4fzrDtwOX8XA7eURytHFZXi/vci2NTrcaGNyk7L9f+9bUIV2i1wLvW16IKhiIkyqywlbTvyB&#10;YTPomaOn/A2WS4ghtweqU0s2v3nUxKmWi3LGsyvFXS1fzueL2TA3eEpCsXc6n5Yv5jMpVPaXiwWH&#10;DqkeZALF9Aa9FdlgSGbpxwUOt3GkegjJWZ3PrWIJqIy7OGD8fNKTD6y9yeh9aeMk5/E737N9/veu&#10;7gFQSwMECgAAAAAAh07iQAAAAAAAAAAAAAAAAAoAAABkcnMvbWVkaWEvUEsDBBQAAAAIAIdO4kBN&#10;Q7ybgQ0AAHwNAAAUAAAAZHJzL21lZGlhL2ltYWdlMS5wbmcBfA2D8olQTkcNChoKAAAADUlIRFIA&#10;AAG4AAAAWAgCAAAACJt10gAAAANzQklUCAgI2+FP4AAAAAlwSFlzAAAOxAAADsQBlSsOGwAADR9J&#10;REFUeJzt3X1sE+cdB/CfDWK0pbB2Y+UMFV3CkrCGUeEMVlF1Jgxna9dSOdCXTTgsURc2XlSi4GAK&#10;U7swWOIokALrADkNaaFt4KxEKa1wZZNpUEZk01YgJXYhIm24YwurGsejEOLz/rCTOImTw8nZ8dnf&#10;z19+OTuPn+fyvbvnnntO4ff7CQAARqac6AIAAMQ7BCUAgAgEJQCACAQlAIAIBCUAgAgEJQCACAQl&#10;AIAIBCUAgAgEJQCACAQlAIAIBCUAgAgEJQCACAQlAIAIBCUAgAgEJQCACAQlAIAIBCUAgAgEJQCA&#10;CAQlAIAIBCUAgAgEJQCACATl2Hjc9gaLxWKxHC5ZplIs2+P0CiMsKXhbj+Sp1ln43nCvKxQKhSrv&#10;QDPfE/UiRxFqI6kkZXP7IUJ3HKbUobWoNtg6wy17mzu/X88Qkcbk6B7yno9z1JsNmtE+LgOojaSS&#10;tM2NoBwHX4fNqA2sLIzB1jX07duc7TVNcGVK1bNfhvuKOxxbSJpKR7cv+sWNMtRGUkmy5sah9zgo&#10;Z2dvLTEwREQ8e+GLQYcXHrdl59ZTj5axgfevnG37T++wLxD40/saHrYdW6+eJv+GQG0klSRrbhkU&#10;Ma5N/0nOGjUR0ZXL7Z39K4OntfpPZe05f929KiszfQEREV252N45+KMCb686enPtAWM2MyWGJY4m&#10;1EZSSabmRlCO07Q56SlERORq424REQl88xuHrJklhzcvZZSkTFm4ItCpc7aNG9iqCt7W9yuPf+fF&#10;opVpctic3jXURlJJouaWTUHj1ZRZj8xjiIi6O7tukXDNXnW845e/37SYCdbs5B+kLE0lCt3qetz2&#10;D5uVvyretJTpr36BdzZYLCcq8lRZJfYbMf8VUpGoNqiHd354oiJwXjQgp6TaYnd7Yv2DYDRSNbcM&#10;TJ7oAsid8t4ZD95LRPTN9av/stQoM1/ekD1oO/nA3AUPE10JbHUFcjWe656vfWrQMh57Scbycj7w&#10;RG2IYemlJkVtUM+1hsN1dx59et1bXPERIiKBd9YffWND7nJea7RV78yeLat/sQQmSXPLg/xKHG+U&#10;9z+YSkR0D3U98Pjap4YdTUxVpaQTEZHrZN27jZzqGZ1m6DLTs8s4v9/faTOoY1Pm6JGgNmjK7JXr&#10;N68KeV3JqHVF+94xMmTdXXbq8kiD9iDmpGhumYjZ+XUf56hnWZY9atJnDisFozEcYlm23sHJYKTA&#10;EByrZ/SV50csuc9l1pLWUDPyEkGBoJTHsLIRSVYbQz/XZTMylJnPXpXfGpLApGnub13m1cEk0Jpd&#10;vkBYHDJoGCJi9DUtcTB+KNpBeZtznGSDI0sDaVhvcw0ZdNXlstUfN+mZYGbqTVbX0PGpSSEhgjI6&#10;fJzVqHnawLYk5YqRDHzdjkoNqQ22Ds5x1GQy1zs4XzBAV5td30508aIXlCHbBCKtwWxziWwW+sfx&#10;ExGjMVpluG85TgjKsHzdLtZoqLIO3b5CAvFdZfMzGb3pvUpTVd/ep6+DzWcYjel8PGwdoxGUtzlH&#10;bV9EMhoDKxaR/UL2wJPxIAtBOUy3y2o219iS8wgjeQT6VYjR7z/P3e57sdNmUBOznu24PdpHY0Xq&#10;oOxuYQ3avrDTRnqsNOhKUj3LSVy4OBf9oORYvVwq1sc5as1mdkinta/bdTpaHdkyqpxRyPFX+FrM&#10;WmZwX2TgSDwzn716p7v7fxNZuCBJz0B5L1WvX51bbg2kpNFWvVuXMS2Czws3u76+KWWBZEJorc5R&#10;KRQzl5c7iZzly2cqFKqc6tYkPbvrddtPVOTNUWXpCwpys1STFCEm3V/46Zz0h+R53hTC6rlWv3+7&#10;dVHRppUZ/SfEBXfdNlMTs2i+4Dzp4Hrj4D9BunGU3kvV618qqL1ERESZ+eyhyMe7fe04ZQ2OJiRG&#10;+/MfPyRZ4eKbMiP/FJc/0aWIF9PSslcVZ68KDKGEhDdltm4/5x/8Wvz9R0i1bf7G+fetfSlJTP7r&#10;f35uboRfLXidb5eWO4PPGF1hTor4N/CWPMX45Fl40b8CAMlNoj1Kz4W6ypN9T54u+mPEO5MCb9tV&#10;bGoKPtMa3zE+N/surpZndEf8/qjueigUimh+/dj5/X7xhSQVt1UxROxrJmHIpYlHF5UVQJKezkEn&#10;YRijrSvC3vbui+aBUeiZevPF+DnLKX2NSyR8cQN9+eMx8nkASYodAyO2ZTQrJ3bQxGKiUetRCMpU&#10;k+NOBJ/1cWcqB1JSa7R1JNmooBiS4ynRmEmMykmMXxF/pOmjnJz+5LrgwEmiK82ft926u8953B/v&#10;+Z36iaLaSxQcRdW4K6KjdvRRAkD0SXQyZ1rWujd3911Xc3z7X8xiNwzyuO3vV+QtTdcW1fLE6E2s&#10;g+s4sn5xpLN4Mroj49xSHNEx4n8GAJKaVGe9ldMy8t5ynq8xaImIr92wRPVMmAkEB2ZdnJG+/MUt&#10;Hy8yHa+3ubq4I8U6tbympwMYwuO2bFsWOExR5e1p5ocN/hv/AjBhpJyPUskszis7teYVZ+O59jtt&#10;DZsKcsuHLpKpNxlXpqSs3H/6Ve2Tcp1wCWB06bMenBTlBSC2FP4oneoSeGfjB3V7G2hNUcHzsp2E&#10;DgAgGjOcC7yz8aO6vQVvk6Gs4phFLZObBwEAjETCHb0e3vlBdUnOJFXWH/4xa5ur9XTZmghT0uO2&#10;N1jsbq90ZZLaDXtJlvg5dI+9RDXaUoqcaneg/6nXWTEv7BKyuHMOaiOxoX1DSDHGqMtley/cvOV9&#10;NAYzGzB81l5/cHJflmXZ03c9IdsEGzL2c8QJnEPnUtIY2RFmVPRxVmNgcJXGYGZPOri4mFfq7qE2&#10;Ehva1+/3S3LoPT0t+4Xi7BdCpzEQeGfjuXZf8Elbw4bc2qHjFRmN4fWNS75HNHXu47/QqeV0hK5k&#10;0hfO+k7gMWMoeTVv8fRwiwnd/22/zgWW0q7RP5cWdqmef7d8cs61wmR9dd2KtEgmW4oXqI3Ehval&#10;6N2FUcmoV+oGbpWlS7DJYIQbVz8LrhML0lXh2ruHbz68fceJVmtgohDVY498P0w3h7fVUlq8j/IP&#10;unfI+HwXaiOxoX1xu9ox8nKui4E95LDrhMdt2Wduf3JL8bVsaxMREWUtmf/dwcsIXnd9aWE1baxo&#10;jGzWzviD2khsaF/crnZser+4wAZ7ElLS5wxud2+rpcRgptwdm3+q/OpycKnUeXNnhm6Tenh76TOF&#10;jiUHj5XJc70JhdpIbGhfwh7lmPR2tl++EniYunhhytT+NwT+bNXeprkF5WVp04ludLjaAq8zuYt+&#10;NHlgoeaqrb/5bPGxYy9HfMlmPEJtJDa0LxGCcky+aTnvCD5cmqIKVmEP33x4+0Eq3LkluEL0tl9g&#10;A/MQD/TsCPzZqq3bP3ts5z/fWpoo12yiNhIb2pcIQTkWA33blLpg7kyivm4azc7DAyuE0Pb5x8EN&#10;cfqKhXOUA900bx6Q7QFIGKiNxIb2JSIE5VgM9G2rcxfNnexttZTuPb/klR2bQ1cIwdtx+WLwcXqK&#10;qsdt2VW4jzYePKYLP2xCtlAbiQ3tS0QIyjEI7dueR5/uKW3u66YJ1XP9al/ftua+tr0vbbj+bL3M&#10;u2nCQm0kNrRv0ESPeJedOxxb2F97g2/ZHupLVt8/6XumvvJMdO5FPeFQG4kN7RuEoIxUp82gFl8h&#10;Bm6Ocfc3twhcynnUpM9kDLbw13/FnejVht/v4xz1RwddGqsxmOVznWtCiGb7ygqCMkK+FrOWIdIa&#10;2JZR7oDmc5m1NNoVr8P0r5FERLIJymjVht/vu1pfuf+4zdX/tT7OwZr0DBFpXrPJ5AJh2Yte+8oN&#10;gjJCHKsXXyF8XTZjqr6mJeJ9H1+XzcjIKCijWxvDBTYnjNbckpC7LXEn1u0bvxCUcUVuQRlrnTaD&#10;mpj1bAf2KBPbty7z6uDhldbs8gX6YQ4ZNAwRMRMRyjIfBgpJpIe3Hyht1rJNu3SzE+h0KoQxNS3/&#10;vW5HpYbUhpKc+z89VlH5UcecX+8+3eYyr+ZrT37CjX7vQulheBDIgsdt2Wdu+9nBxhWym3gGxkL4&#10;yvq3apc+b93n7x5f+tuiYkZJJFyzlG0/ozHVP582VfwbJIWghDgneN22ujOdjzyxsUyXIKOXQYzg&#10;aTq4ofoS6e/54YsvvxAcj3mj6Y1d1aRjX3os9pf6ICghfgl889GPWu5bqF2bH3qtsMdtP9c9fxlu&#10;x5SwBPeJshrS19gPrMkIHkAIXufbpeW389ktz87ouUlT7o1tiXAUEyduuaufVygmzVi+myfiy5fP&#10;CL3ZSNIRvO6mExV5c1RL9AVrc7NUkwbdYiWj8MID6UjJhNVzrX7/duuiok0rM/q7WQR33TZTE7No&#10;vuA86eB6Y/5/EbXb1QIAJArsUQIAiEBQAgCIQFACAIhAUAIAiEBQAgCIQFACAIhAUAIAiEBQAgCI&#10;QFACAIhAUAIAiEBQAgCIQFACAIhAUAIAiEBQAgCIQFACAIhAUAIAiEBQAgCIQFACAIj4PxDm7Ow4&#10;JPI7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uEwAAW0NvbnRlbnRfVHlwZXNdLnhtbFBLAQIUAAoAAAAAAIdO4kAA&#10;AAAAAAAAAAAAAAAGAAAAAAAAAAAAEAAAAPsQAABfcmVscy9QSwECFAAUAAAACACHTuJAihRmPNEA&#10;AACUAQAACwAAAAAAAAABACAAAAAfEQAAX3JlbHMvLnJlbHNQSwECFAAKAAAAAACHTuJAAAAAAAAA&#10;AAAAAAAABAAAAAAAAAAAABAAAAAAAAAAZHJzL1BLAQIUAAoAAAAAAIdO4kAAAAAAAAAAAAAAAAAK&#10;AAAAAAAAAAAAEAAAABkSAABkcnMvX3JlbHMvUEsBAhQAFAAAAAgAh07iQKomDr62AAAAIQEAABkA&#10;AAAAAAAAAQAgAAAAQRIAAGRycy9fcmVscy9lMm9Eb2MueG1sLnJlbHNQSwECFAAUAAAACACHTuJA&#10;R4CdC9MAAAAEAQAADwAAAAAAAAABACAAAAAiAAAAZHJzL2Rvd25yZXYueG1sUEsBAhQAFAAAAAgA&#10;h07iQObcsTXSAQAABQQAAA4AAAAAAAAAAQAgAAAAIgEAAGRycy9lMm9Eb2MueG1sUEsBAhQACgAA&#10;AAAAh07iQAAAAAAAAAAAAAAAAAoAAAAAAAAAAAAQAAAAIAMAAGRycy9tZWRpYS9QSwECFAAUAAAA&#10;CACHTuJATUO8m4ENAAB8DQAAFAAAAAAAAAABACAAAABIAwAAZHJzL21lZGlhL2ltYWdlMS5wbmdQ&#10;SwUGAAAAAAoACgBSAgAAYxQAAAAA&#10;">
                        <v:fill on="f" focussize="0,0"/>
                        <v:stroke on="f"/>
                        <v:imagedata r:id="rId24" o:title=""/>
                        <o:lock v:ext="edit" aspectratio="t"/>
                      </v:shape>
                      <w10:wrap type="none"/>
                      <w10:anchorlock/>
                    </v:group>
                  </w:pict>
                </mc:Fallback>
              </mc:AlternateContent>
            </w:r>
          </w:p>
          <w:p w14:paraId="60D3D72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式中：w1，w2，...，wn——每种风险物质的存在量，</w:t>
            </w:r>
            <w:r>
              <w:rPr>
                <w:rFonts w:hint="eastAsia" w:cs="Times New Roman"/>
                <w:b w:val="0"/>
                <w:bCs w:val="0"/>
                <w:iCs/>
                <w:color w:val="0000FF"/>
                <w:sz w:val="24"/>
                <w:szCs w:val="24"/>
                <w:highlight w:val="none"/>
                <w:lang w:val="en-US" w:eastAsia="zh-CN"/>
              </w:rPr>
              <w:t>吨</w:t>
            </w:r>
            <w:r>
              <w:rPr>
                <w:rFonts w:hint="default" w:ascii="Times New Roman" w:hAnsi="Times New Roman" w:eastAsia="宋体" w:cs="Times New Roman"/>
                <w:b w:val="0"/>
                <w:bCs w:val="0"/>
                <w:iCs/>
                <w:color w:val="0000FF"/>
                <w:sz w:val="24"/>
                <w:szCs w:val="24"/>
                <w:highlight w:val="none"/>
              </w:rPr>
              <w:t>；</w:t>
            </w:r>
          </w:p>
          <w:p w14:paraId="600609C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W1，W2，...，Wn——每种风险物质的临界量，</w:t>
            </w:r>
            <w:r>
              <w:rPr>
                <w:rFonts w:hint="eastAsia" w:cs="Times New Roman"/>
                <w:b w:val="0"/>
                <w:bCs w:val="0"/>
                <w:iCs/>
                <w:color w:val="0000FF"/>
                <w:sz w:val="24"/>
                <w:szCs w:val="24"/>
                <w:highlight w:val="none"/>
                <w:lang w:val="en-US" w:eastAsia="zh-CN"/>
              </w:rPr>
              <w:t>吨</w:t>
            </w:r>
            <w:r>
              <w:rPr>
                <w:rFonts w:hint="default" w:ascii="Times New Roman" w:hAnsi="Times New Roman" w:eastAsia="宋体" w:cs="Times New Roman"/>
                <w:b w:val="0"/>
                <w:bCs w:val="0"/>
                <w:iCs/>
                <w:color w:val="0000FF"/>
                <w:sz w:val="24"/>
                <w:szCs w:val="24"/>
                <w:highlight w:val="none"/>
              </w:rPr>
              <w:t>。</w:t>
            </w:r>
          </w:p>
          <w:p w14:paraId="145BAF7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eastAsia" w:ascii="Times New Roman" w:hAnsi="Times New Roman" w:eastAsia="宋体" w:cs="Times New Roman"/>
                <w:b w:val="0"/>
                <w:bCs w:val="0"/>
                <w:iCs/>
                <w:color w:val="0000FF"/>
                <w:sz w:val="24"/>
                <w:szCs w:val="24"/>
                <w:highlight w:val="none"/>
                <w:lang w:val="en-US" w:eastAsia="zh-CN"/>
              </w:rPr>
              <w:t>当</w:t>
            </w:r>
            <w:r>
              <w:rPr>
                <w:rFonts w:hint="default" w:ascii="Times New Roman" w:hAnsi="Times New Roman" w:eastAsia="宋体" w:cs="Times New Roman"/>
                <w:b w:val="0"/>
                <w:bCs w:val="0"/>
                <w:iCs/>
                <w:color w:val="0000FF"/>
                <w:sz w:val="24"/>
                <w:szCs w:val="24"/>
                <w:highlight w:val="none"/>
              </w:rPr>
              <w:t>Q＜1，该项目环境风险潜势为Ⅰ；</w:t>
            </w:r>
          </w:p>
          <w:p w14:paraId="063EC70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lang w:val="en-US" w:eastAsia="zh-CN"/>
              </w:rPr>
            </w:pPr>
            <w:r>
              <w:rPr>
                <w:rFonts w:hint="eastAsia" w:ascii="Times New Roman" w:hAnsi="Times New Roman" w:eastAsia="宋体" w:cs="Times New Roman"/>
                <w:b w:val="0"/>
                <w:bCs w:val="0"/>
                <w:iCs/>
                <w:color w:val="0000FF"/>
                <w:sz w:val="24"/>
                <w:szCs w:val="24"/>
                <w:highlight w:val="none"/>
                <w:lang w:val="en-US" w:eastAsia="zh-CN"/>
              </w:rPr>
              <w:t>当Q＞1时，将Q值分为（1）</w:t>
            </w:r>
            <w:r>
              <w:rPr>
                <w:rFonts w:hint="default" w:ascii="Times New Roman" w:hAnsi="Times New Roman" w:eastAsia="宋体" w:cs="Times New Roman"/>
                <w:b w:val="0"/>
                <w:bCs w:val="0"/>
                <w:iCs/>
                <w:color w:val="0000FF"/>
                <w:sz w:val="24"/>
                <w:szCs w:val="24"/>
                <w:highlight w:val="none"/>
              </w:rPr>
              <w:t>1≤Q＜10；（</w:t>
            </w:r>
            <w:r>
              <w:rPr>
                <w:rFonts w:hint="eastAsia" w:ascii="Times New Roman" w:hAnsi="Times New Roman" w:eastAsia="宋体" w:cs="Times New Roman"/>
                <w:b w:val="0"/>
                <w:bCs w:val="0"/>
                <w:iCs/>
                <w:color w:val="0000FF"/>
                <w:sz w:val="24"/>
                <w:szCs w:val="24"/>
                <w:highlight w:val="none"/>
                <w:lang w:val="en-US" w:eastAsia="zh-CN"/>
              </w:rPr>
              <w:t>2</w:t>
            </w:r>
            <w:r>
              <w:rPr>
                <w:rFonts w:hint="default" w:ascii="Times New Roman" w:hAnsi="Times New Roman" w:eastAsia="宋体" w:cs="Times New Roman"/>
                <w:b w:val="0"/>
                <w:bCs w:val="0"/>
                <w:iCs/>
                <w:color w:val="0000FF"/>
                <w:sz w:val="24"/>
                <w:szCs w:val="24"/>
                <w:highlight w:val="none"/>
              </w:rPr>
              <w:t>）10≤Q＜100；（</w:t>
            </w:r>
            <w:r>
              <w:rPr>
                <w:rFonts w:hint="eastAsia" w:ascii="Times New Roman" w:hAnsi="Times New Roman" w:eastAsia="宋体" w:cs="Times New Roman"/>
                <w:b w:val="0"/>
                <w:bCs w:val="0"/>
                <w:iCs/>
                <w:color w:val="0000FF"/>
                <w:sz w:val="24"/>
                <w:szCs w:val="24"/>
                <w:highlight w:val="none"/>
                <w:lang w:val="en-US" w:eastAsia="zh-CN"/>
              </w:rPr>
              <w:t>3</w:t>
            </w:r>
            <w:r>
              <w:rPr>
                <w:rFonts w:hint="default" w:ascii="Times New Roman" w:hAnsi="Times New Roman" w:eastAsia="宋体" w:cs="Times New Roman"/>
                <w:b w:val="0"/>
                <w:bCs w:val="0"/>
                <w:iCs/>
                <w:color w:val="0000FF"/>
                <w:sz w:val="24"/>
                <w:szCs w:val="24"/>
                <w:highlight w:val="none"/>
              </w:rPr>
              <w:t>）Q≥100。</w:t>
            </w:r>
          </w:p>
          <w:p w14:paraId="32B8D494">
            <w:pPr>
              <w:keepNext/>
              <w:keepLines/>
              <w:widowControl w:val="0"/>
              <w:wordWrap w:val="0"/>
              <w:topLinePunct/>
              <w:spacing w:line="360" w:lineRule="auto"/>
              <w:ind w:firstLine="480" w:firstLineChars="200"/>
              <w:jc w:val="both"/>
              <w:outlineLvl w:val="2"/>
              <w:rPr>
                <w:rFonts w:hint="default" w:ascii="Times New Roman" w:hAnsi="Times New Roman" w:eastAsia="宋体" w:cs="Times New Roman"/>
                <w:b w:val="0"/>
                <w:bCs w:val="0"/>
                <w:color w:val="0000FF"/>
                <w:kern w:val="2"/>
                <w:sz w:val="24"/>
                <w:szCs w:val="24"/>
                <w:lang w:val="en-US" w:eastAsia="zh-CN" w:bidi="ar-SA"/>
              </w:rPr>
            </w:pPr>
            <w:r>
              <w:rPr>
                <w:rFonts w:hint="default" w:ascii="Times New Roman" w:hAnsi="Times New Roman" w:eastAsia="宋体" w:cs="Times New Roman"/>
                <w:b w:val="0"/>
                <w:bCs w:val="0"/>
                <w:iCs/>
                <w:color w:val="0000FF"/>
                <w:sz w:val="24"/>
                <w:szCs w:val="24"/>
                <w:highlight w:val="none"/>
              </w:rPr>
              <w:t>由</w:t>
            </w:r>
            <w:r>
              <w:rPr>
                <w:rFonts w:hint="eastAsia" w:ascii="Times New Roman" w:hAnsi="Times New Roman" w:eastAsia="宋体" w:cs="Times New Roman"/>
                <w:b w:val="0"/>
                <w:bCs w:val="0"/>
                <w:iCs/>
                <w:color w:val="0000FF"/>
                <w:sz w:val="24"/>
                <w:szCs w:val="24"/>
                <w:highlight w:val="none"/>
                <w:lang w:val="en-US" w:eastAsia="zh-CN"/>
              </w:rPr>
              <w:t>上式计算得知</w:t>
            </w:r>
            <w:r>
              <w:rPr>
                <w:rFonts w:hint="default" w:ascii="Times New Roman" w:hAnsi="Times New Roman" w:eastAsia="宋体" w:cs="Times New Roman"/>
                <w:b w:val="0"/>
                <w:bCs w:val="0"/>
                <w:iCs/>
                <w:color w:val="0000FF"/>
                <w:sz w:val="24"/>
                <w:szCs w:val="24"/>
                <w:highlight w:val="none"/>
              </w:rPr>
              <w:t>，</w:t>
            </w:r>
            <w:r>
              <w:rPr>
                <w:rFonts w:hint="eastAsia" w:ascii="Times New Roman" w:hAnsi="Times New Roman" w:eastAsia="宋体" w:cs="Times New Roman"/>
                <w:b w:val="0"/>
                <w:bCs w:val="0"/>
                <w:iCs/>
                <w:color w:val="0000FF"/>
                <w:sz w:val="24"/>
                <w:szCs w:val="24"/>
                <w:highlight w:val="none"/>
                <w:lang w:val="en-US" w:eastAsia="zh-CN"/>
              </w:rPr>
              <w:t>本项目Q值为</w:t>
            </w:r>
            <w:r>
              <w:rPr>
                <w:rFonts w:hint="eastAsia" w:cs="Times New Roman"/>
                <w:b w:val="0"/>
                <w:bCs w:val="0"/>
                <w:iCs/>
                <w:color w:val="0000FF"/>
                <w:sz w:val="24"/>
                <w:szCs w:val="24"/>
                <w:highlight w:val="none"/>
                <w:lang w:val="en-US" w:eastAsia="zh-CN"/>
              </w:rPr>
              <w:t>0.002</w:t>
            </w:r>
            <w:r>
              <w:rPr>
                <w:rFonts w:hint="default" w:ascii="Times New Roman" w:hAnsi="Times New Roman" w:eastAsia="宋体" w:cs="Times New Roman"/>
                <w:b w:val="0"/>
                <w:bCs w:val="0"/>
                <w:iCs/>
                <w:color w:val="0000FF"/>
                <w:sz w:val="24"/>
                <w:szCs w:val="24"/>
                <w:highlight w:val="none"/>
              </w:rPr>
              <w:t>＜1，</w:t>
            </w:r>
            <w:r>
              <w:rPr>
                <w:rFonts w:hint="eastAsia" w:ascii="Times New Roman" w:hAnsi="Times New Roman" w:eastAsia="宋体" w:cs="Times New Roman"/>
                <w:b w:val="0"/>
                <w:bCs w:val="0"/>
                <w:iCs/>
                <w:color w:val="0000FF"/>
                <w:sz w:val="24"/>
                <w:szCs w:val="24"/>
                <w:highlight w:val="none"/>
                <w:lang w:val="en-US" w:eastAsia="zh-CN"/>
              </w:rPr>
              <w:t>故可不开展专项分析。</w:t>
            </w:r>
          </w:p>
          <w:p w14:paraId="126AF030">
            <w:pPr>
              <w:keepNext/>
              <w:keepLines/>
              <w:widowControl w:val="0"/>
              <w:wordWrap w:val="0"/>
              <w:topLinePunct/>
              <w:spacing w:line="360" w:lineRule="auto"/>
              <w:ind w:firstLine="0" w:firstLineChars="0"/>
              <w:jc w:val="both"/>
              <w:outlineLvl w:val="2"/>
              <w:rPr>
                <w:rFonts w:ascii="宋体" w:hAnsi="宋体" w:eastAsia="宋体" w:cs="宋体"/>
                <w:color w:val="0000FF"/>
                <w:sz w:val="24"/>
                <w:szCs w:val="24"/>
              </w:rPr>
            </w:pPr>
            <w:r>
              <w:rPr>
                <w:rFonts w:hint="eastAsia" w:ascii="Times New Roman" w:hAnsi="Times New Roman" w:eastAsia="宋体" w:cs="Times New Roman"/>
                <w:b/>
                <w:bCs/>
                <w:color w:val="0000FF"/>
                <w:kern w:val="2"/>
                <w:sz w:val="24"/>
                <w:szCs w:val="24"/>
                <w:lang w:val="en-US" w:eastAsia="zh-CN" w:bidi="ar-SA"/>
              </w:rPr>
              <w:t>6.2</w:t>
            </w:r>
            <w:r>
              <w:rPr>
                <w:rFonts w:hint="eastAsia" w:cs="Times New Roman"/>
                <w:b/>
                <w:bCs/>
                <w:color w:val="0000FF"/>
                <w:kern w:val="2"/>
                <w:sz w:val="24"/>
                <w:szCs w:val="24"/>
                <w:lang w:val="en-US" w:eastAsia="zh-CN" w:bidi="ar-SA"/>
              </w:rPr>
              <w:t xml:space="preserve"> </w:t>
            </w:r>
            <w:bookmarkEnd w:id="1"/>
            <w:bookmarkEnd w:id="2"/>
            <w:r>
              <w:rPr>
                <w:rFonts w:ascii="宋体" w:hAnsi="宋体" w:eastAsia="宋体" w:cs="宋体"/>
                <w:color w:val="0000FF"/>
                <w:sz w:val="24"/>
                <w:szCs w:val="24"/>
              </w:rPr>
              <w:t>环境风险识别</w:t>
            </w:r>
          </w:p>
          <w:p w14:paraId="3E54A40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①污水处理设施出现故障时，泄漏的医疗废水对外环境地下水、土壤 的污染。</w:t>
            </w:r>
          </w:p>
          <w:p w14:paraId="1095A11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②医院涉及的动物可能发生的狂犬病等对周边人群的风险影响。</w:t>
            </w:r>
          </w:p>
          <w:p w14:paraId="05C95BB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③各类医用化学品存储、使用过程中的环境风险。</w:t>
            </w:r>
          </w:p>
          <w:p w14:paraId="176E307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lang w:val="en-US" w:eastAsia="zh-CN"/>
              </w:rPr>
            </w:pPr>
            <w:r>
              <w:rPr>
                <w:rFonts w:hint="default" w:ascii="Times New Roman" w:hAnsi="Times New Roman" w:eastAsia="宋体" w:cs="Times New Roman"/>
                <w:b w:val="0"/>
                <w:bCs w:val="0"/>
                <w:iCs/>
                <w:color w:val="0000FF"/>
                <w:sz w:val="24"/>
                <w:szCs w:val="24"/>
                <w:highlight w:val="none"/>
              </w:rPr>
              <w:t>④医疗废物泄漏风险。</w:t>
            </w:r>
          </w:p>
          <w:p w14:paraId="2DAE4008">
            <w:pPr>
              <w:keepNext/>
              <w:keepLines/>
              <w:widowControl w:val="0"/>
              <w:wordWrap w:val="0"/>
              <w:topLinePunct/>
              <w:spacing w:line="360" w:lineRule="auto"/>
              <w:ind w:firstLine="0" w:firstLineChars="0"/>
              <w:jc w:val="both"/>
              <w:outlineLvl w:val="2"/>
              <w:rPr>
                <w:rFonts w:hint="default" w:ascii="宋体" w:hAnsi="宋体" w:eastAsia="宋体" w:cs="宋体"/>
                <w:color w:val="0000FF"/>
                <w:sz w:val="24"/>
                <w:szCs w:val="24"/>
                <w:lang w:val="en-US" w:eastAsia="zh-CN"/>
              </w:rPr>
            </w:pPr>
            <w:bookmarkStart w:id="3" w:name="_Toc58589478"/>
            <w:r>
              <w:rPr>
                <w:rFonts w:hint="default" w:ascii="Times New Roman" w:hAnsi="Times New Roman" w:eastAsia="宋体" w:cs="Times New Roman"/>
                <w:color w:val="0000FF"/>
                <w:sz w:val="24"/>
                <w:szCs w:val="24"/>
                <w:lang w:val="en-US" w:eastAsia="zh-CN"/>
              </w:rPr>
              <w:t xml:space="preserve">6.3 </w:t>
            </w:r>
            <w:r>
              <w:rPr>
                <w:rFonts w:hint="default" w:ascii="宋体" w:hAnsi="宋体" w:eastAsia="宋体" w:cs="宋体"/>
                <w:color w:val="0000FF"/>
                <w:sz w:val="24"/>
                <w:szCs w:val="24"/>
                <w:lang w:val="en-US" w:eastAsia="zh-CN"/>
              </w:rPr>
              <w:t>环境风险防范措施</w:t>
            </w:r>
            <w:bookmarkEnd w:id="3"/>
          </w:p>
          <w:p w14:paraId="54C9490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（1）污水处理设施的风险防范措施</w:t>
            </w:r>
          </w:p>
          <w:p w14:paraId="0C0D06F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①建设单位必须防止污水事故性外排。安排专人定期对一体化医疗废 水处理设施进行维修，确保其正常运行，严防污水事故性排放。一旦一体化医疗废水处理设施出现故障时，立即通知科室停止用水，减少废水产生量，同时切断一体化污水处理设备的出口阀门，未处理废水由空桶（容积为0.</w:t>
            </w:r>
            <w:r>
              <w:rPr>
                <w:rFonts w:hint="eastAsia" w:ascii="Times New Roman" w:hAnsi="Times New Roman" w:eastAsia="宋体" w:cs="Times New Roman"/>
                <w:b w:val="0"/>
                <w:bCs w:val="0"/>
                <w:iCs/>
                <w:color w:val="0000FF"/>
                <w:sz w:val="24"/>
                <w:szCs w:val="24"/>
                <w:highlight w:val="none"/>
                <w:lang w:val="en-US" w:eastAsia="zh-CN"/>
              </w:rPr>
              <w:t>5</w:t>
            </w:r>
            <w:r>
              <w:rPr>
                <w:rFonts w:hint="default" w:ascii="Times New Roman" w:hAnsi="Times New Roman" w:eastAsia="宋体" w:cs="Times New Roman"/>
                <w:b w:val="0"/>
                <w:bCs w:val="0"/>
                <w:iCs/>
                <w:color w:val="0000FF"/>
                <w:sz w:val="24"/>
                <w:szCs w:val="24"/>
                <w:highlight w:val="none"/>
              </w:rPr>
              <w:t>m</w:t>
            </w:r>
            <w:r>
              <w:rPr>
                <w:rFonts w:hint="default" w:ascii="Times New Roman" w:hAnsi="Times New Roman" w:eastAsia="宋体" w:cs="Times New Roman"/>
                <w:b w:val="0"/>
                <w:bCs w:val="0"/>
                <w:iCs/>
                <w:color w:val="0000FF"/>
                <w:sz w:val="24"/>
                <w:szCs w:val="24"/>
                <w:highlight w:val="none"/>
                <w:vertAlign w:val="superscript"/>
              </w:rPr>
              <w:t>3</w:t>
            </w:r>
            <w:r>
              <w:rPr>
                <w:rFonts w:hint="default" w:ascii="Times New Roman" w:hAnsi="Times New Roman" w:eastAsia="宋体" w:cs="Times New Roman"/>
                <w:b w:val="0"/>
                <w:bCs w:val="0"/>
                <w:iCs/>
                <w:color w:val="0000FF"/>
                <w:sz w:val="24"/>
                <w:szCs w:val="24"/>
                <w:highlight w:val="none"/>
              </w:rPr>
              <w:t>）收集后待设备恢复正常运行再由一体化医疗废水处理设施进行 处理，防止医疗废水未经消毒处理直接排入市政污水管网。</w:t>
            </w:r>
          </w:p>
          <w:p w14:paraId="7626D01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②要求加强项目污水处理设施的日常管理工作，定期检查污水处理设 施内的药剂。</w:t>
            </w:r>
          </w:p>
          <w:p w14:paraId="647D519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eastAsia" w:ascii="Times New Roman" w:hAnsi="Times New Roman" w:eastAsia="宋体" w:cs="Times New Roman"/>
                <w:b w:val="0"/>
                <w:bCs w:val="0"/>
                <w:iCs/>
                <w:color w:val="0000FF"/>
                <w:sz w:val="24"/>
                <w:szCs w:val="24"/>
                <w:highlight w:val="none"/>
                <w:lang w:eastAsia="zh-CN"/>
              </w:rPr>
              <w:t>（</w:t>
            </w:r>
            <w:r>
              <w:rPr>
                <w:rFonts w:hint="eastAsia" w:ascii="Times New Roman" w:hAnsi="Times New Roman" w:eastAsia="宋体" w:cs="Times New Roman"/>
                <w:b w:val="0"/>
                <w:bCs w:val="0"/>
                <w:iCs/>
                <w:color w:val="0000FF"/>
                <w:sz w:val="24"/>
                <w:szCs w:val="24"/>
                <w:highlight w:val="none"/>
                <w:lang w:val="en-US" w:eastAsia="zh-CN"/>
              </w:rPr>
              <w:t>2）</w:t>
            </w:r>
            <w:r>
              <w:rPr>
                <w:rFonts w:hint="default" w:ascii="Times New Roman" w:hAnsi="Times New Roman" w:eastAsia="宋体" w:cs="Times New Roman"/>
                <w:b w:val="0"/>
                <w:bCs w:val="0"/>
                <w:iCs/>
                <w:color w:val="0000FF"/>
                <w:sz w:val="24"/>
                <w:szCs w:val="24"/>
                <w:highlight w:val="none"/>
              </w:rPr>
              <w:t>传染病、疫情等卫生风险防范措施</w:t>
            </w:r>
          </w:p>
          <w:p w14:paraId="0E33C2B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做好医院内部消毒、杀虫、灭鼠工作；对于患病宠物和可疑患病宠物应加强管理。院内要进行房舍隔离，严密消毒（用具、饲料、粪便等）。严格遵守《中华人民共和国动物防疫法》《重大动物疫情应急条例》《动物疫情报告管理办法》等法律法规，一旦发现宠物传染病或疑似宠物疫情的，及时按照规定程序上报，不得接收患传染病或疫情的宠物。注意房间通风换气，每晚进行紫外线灯照射消毒。同时采取应急措施控制疫情蔓延 。</w:t>
            </w:r>
          </w:p>
          <w:p w14:paraId="01EB360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eastAsia" w:ascii="Times New Roman" w:hAnsi="Times New Roman" w:eastAsia="宋体" w:cs="Times New Roman"/>
                <w:b w:val="0"/>
                <w:bCs w:val="0"/>
                <w:iCs/>
                <w:color w:val="0000FF"/>
                <w:sz w:val="24"/>
                <w:szCs w:val="24"/>
                <w:highlight w:val="none"/>
                <w:lang w:eastAsia="zh-CN"/>
              </w:rPr>
              <w:t>（</w:t>
            </w:r>
            <w:r>
              <w:rPr>
                <w:rFonts w:hint="eastAsia" w:ascii="Times New Roman" w:hAnsi="Times New Roman" w:eastAsia="宋体" w:cs="Times New Roman"/>
                <w:b w:val="0"/>
                <w:bCs w:val="0"/>
                <w:iCs/>
                <w:color w:val="0000FF"/>
                <w:sz w:val="24"/>
                <w:szCs w:val="24"/>
                <w:highlight w:val="none"/>
                <w:lang w:val="en-US" w:eastAsia="zh-CN"/>
              </w:rPr>
              <w:t>3）</w:t>
            </w:r>
            <w:r>
              <w:rPr>
                <w:rFonts w:hint="default" w:ascii="Times New Roman" w:hAnsi="Times New Roman" w:eastAsia="宋体" w:cs="Times New Roman"/>
                <w:b w:val="0"/>
                <w:bCs w:val="0"/>
                <w:iCs/>
                <w:color w:val="0000FF"/>
                <w:sz w:val="24"/>
                <w:szCs w:val="24"/>
                <w:highlight w:val="none"/>
              </w:rPr>
              <w:t>医疗废物处置风险防范措施</w:t>
            </w:r>
          </w:p>
          <w:p w14:paraId="15AC4CB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医疗废物贮存间日常为锁闭状态，由专人进行管理，避免非工作人员进出，以及防鼠、防蚊蝇、防蟑螂、防盗以及预防儿童接触等安全措施；医疗废物贮存间地面与裙脚要用坚固、防渗的材料建造，建筑材料必须与危险废物相容；必须有耐腐蚀的硬化地面，且表面无裂隙；不相容的危险废物必须分开存放，并设有隔离间隔断。医疗废物贮存间门口应张贴医疗废物标识、标牌，医疗废物暂存于专用的容器内，在医废桶下方，设置防渗托盘。对医疗废物及其他危险废物的产生、储存做好台账管理，定期委托有资质的危险废物集中处置单位。</w:t>
            </w:r>
          </w:p>
          <w:p w14:paraId="57455AB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医疗废物转运过程中由于盛装容器破损、车辆密封不严或者由于交通事故造成的渗漏和遗洒，可能造成传染性病菌的传播和蔓延。出现这些情况，应立即向卫生、公安等有关部门报告，封锁现场，并采取严密的清理和消毒措施。此外，应加强对转运过程中的操作人员和司乘人员加强防护知识和安全教育，配备必要的防护工具，如防护服和消毒剂等。加强和完善危险废物的收集、暂存、交接等环节的管理，对危险废物的处理应设专人责任负责制，负责人在接管前应全面学习有关危险废物处理的有关法规和操作方法。做好危险废物有关资料的记录。</w:t>
            </w:r>
          </w:p>
          <w:p w14:paraId="2F1C8EA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eastAsia" w:ascii="Times New Roman" w:hAnsi="Times New Roman" w:eastAsia="宋体" w:cs="Times New Roman"/>
                <w:b w:val="0"/>
                <w:bCs w:val="0"/>
                <w:iCs/>
                <w:color w:val="0000FF"/>
                <w:sz w:val="24"/>
                <w:szCs w:val="24"/>
                <w:highlight w:val="none"/>
                <w:lang w:eastAsia="zh-CN"/>
              </w:rPr>
              <w:t>（</w:t>
            </w:r>
            <w:r>
              <w:rPr>
                <w:rFonts w:hint="eastAsia" w:ascii="Times New Roman" w:hAnsi="Times New Roman" w:eastAsia="宋体" w:cs="Times New Roman"/>
                <w:b w:val="0"/>
                <w:bCs w:val="0"/>
                <w:iCs/>
                <w:color w:val="0000FF"/>
                <w:sz w:val="24"/>
                <w:szCs w:val="24"/>
                <w:highlight w:val="none"/>
                <w:lang w:val="en-US" w:eastAsia="zh-CN"/>
              </w:rPr>
              <w:t>4）</w:t>
            </w:r>
            <w:r>
              <w:rPr>
                <w:rFonts w:hint="default" w:ascii="Times New Roman" w:hAnsi="Times New Roman" w:eastAsia="宋体" w:cs="Times New Roman"/>
                <w:b w:val="0"/>
                <w:bCs w:val="0"/>
                <w:iCs/>
                <w:color w:val="0000FF"/>
                <w:sz w:val="24"/>
                <w:szCs w:val="24"/>
                <w:highlight w:val="none"/>
              </w:rPr>
              <w:t>化学品管理</w:t>
            </w:r>
          </w:p>
          <w:p w14:paraId="3A33E9C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对于化学品的购买、储存、保管、使用等需要按照《危险化学品安全管理条例》的规定管理，化学品出入库，必须进行核查登记，并定期监测库存。做好化学品的存储及使用的安全防范措施，具体如下：</w:t>
            </w:r>
          </w:p>
          <w:p w14:paraId="2805A4A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①化学品必须储存在专用储存柜内，其储存方式、方法与储存量必须符合国家标准，并由专人管理。</w:t>
            </w:r>
          </w:p>
          <w:p w14:paraId="0DCB581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②化学品设有专用存储柜，应当符合国家标准对安全、消防的要求，设置明显标志。</w:t>
            </w:r>
          </w:p>
          <w:p w14:paraId="353BEBF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eastAsia" w:ascii="Times New Roman" w:hAnsi="Times New Roman" w:eastAsia="宋体" w:cs="Times New Roman"/>
                <w:b w:val="0"/>
                <w:bCs w:val="0"/>
                <w:iCs/>
                <w:color w:val="0000FF"/>
                <w:sz w:val="24"/>
                <w:szCs w:val="24"/>
                <w:highlight w:val="none"/>
                <w:lang w:eastAsia="zh-CN"/>
              </w:rPr>
              <w:t>（</w:t>
            </w:r>
            <w:r>
              <w:rPr>
                <w:rFonts w:hint="eastAsia" w:ascii="Times New Roman" w:hAnsi="Times New Roman" w:eastAsia="宋体" w:cs="Times New Roman"/>
                <w:b w:val="0"/>
                <w:bCs w:val="0"/>
                <w:iCs/>
                <w:color w:val="0000FF"/>
                <w:sz w:val="24"/>
                <w:szCs w:val="24"/>
                <w:highlight w:val="none"/>
                <w:lang w:val="en-US" w:eastAsia="zh-CN"/>
              </w:rPr>
              <w:t>5）</w:t>
            </w:r>
            <w:r>
              <w:rPr>
                <w:rFonts w:hint="default" w:ascii="Times New Roman" w:hAnsi="Times New Roman" w:eastAsia="宋体" w:cs="Times New Roman"/>
                <w:b w:val="0"/>
                <w:bCs w:val="0"/>
                <w:iCs/>
                <w:color w:val="0000FF"/>
                <w:sz w:val="24"/>
                <w:szCs w:val="24"/>
                <w:highlight w:val="none"/>
              </w:rPr>
              <w:t>火灾风险防范措施</w:t>
            </w:r>
          </w:p>
          <w:p w14:paraId="0D17C94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①集中现有的灭火器材和人员积极扑救尽量消灭火势或控制火势。</w:t>
            </w:r>
          </w:p>
          <w:p w14:paraId="1117534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②在保证人员安全撤离的情况下，尽量撤出易燃易爆物。</w:t>
            </w:r>
          </w:p>
          <w:p w14:paraId="3ADE351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rPr>
            </w:pPr>
            <w:r>
              <w:rPr>
                <w:rFonts w:hint="default" w:ascii="Times New Roman" w:hAnsi="Times New Roman" w:eastAsia="宋体" w:cs="Times New Roman"/>
                <w:b w:val="0"/>
                <w:bCs w:val="0"/>
                <w:iCs/>
                <w:color w:val="0000FF"/>
                <w:sz w:val="24"/>
                <w:szCs w:val="24"/>
                <w:highlight w:val="none"/>
              </w:rPr>
              <w:t>③火灾后需及时通风，在烟雾能够弥散的区域进行有害气体及异味的彻底分解处理。</w:t>
            </w:r>
          </w:p>
          <w:p w14:paraId="0429478E">
            <w:pPr>
              <w:pStyle w:val="2"/>
              <w:jc w:val="both"/>
              <w:rPr>
                <w:rFonts w:ascii="宋体" w:hAnsi="宋体" w:eastAsia="宋体" w:cs="宋体"/>
                <w:color w:val="0000FF"/>
                <w:sz w:val="24"/>
                <w:szCs w:val="24"/>
              </w:rPr>
            </w:pPr>
            <w:r>
              <w:rPr>
                <w:rFonts w:hint="default" w:ascii="Times New Roman" w:hAnsi="Times New Roman" w:eastAsia="宋体" w:cs="Times New Roman"/>
                <w:color w:val="0000FF"/>
                <w:sz w:val="24"/>
                <w:szCs w:val="24"/>
                <w:lang w:val="en-US" w:eastAsia="zh-CN"/>
              </w:rPr>
              <w:t>6.4</w:t>
            </w:r>
            <w:r>
              <w:rPr>
                <w:rFonts w:hint="default" w:ascii="Times New Roman" w:hAnsi="Times New Roman" w:eastAsia="宋体" w:cs="Times New Roman"/>
                <w:color w:val="0000FF"/>
                <w:sz w:val="24"/>
                <w:szCs w:val="24"/>
              </w:rPr>
              <w:t>环</w:t>
            </w:r>
            <w:r>
              <w:rPr>
                <w:rFonts w:ascii="宋体" w:hAnsi="宋体" w:eastAsia="宋体" w:cs="宋体"/>
                <w:color w:val="0000FF"/>
                <w:sz w:val="24"/>
                <w:szCs w:val="24"/>
              </w:rPr>
              <w:t>境风险评价结论</w:t>
            </w:r>
          </w:p>
          <w:p w14:paraId="1DA5561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Cs/>
                <w:color w:val="0000FF"/>
                <w:sz w:val="24"/>
                <w:szCs w:val="24"/>
                <w:highlight w:val="none"/>
                <w:lang w:val="en-US" w:eastAsia="zh-CN"/>
              </w:rPr>
            </w:pPr>
            <w:r>
              <w:rPr>
                <w:rFonts w:hint="default" w:ascii="Times New Roman" w:hAnsi="Times New Roman" w:eastAsia="宋体" w:cs="Times New Roman"/>
                <w:b w:val="0"/>
                <w:bCs w:val="0"/>
                <w:iCs/>
                <w:color w:val="0000FF"/>
                <w:sz w:val="24"/>
                <w:szCs w:val="24"/>
                <w:highlight w:val="none"/>
                <w:lang w:val="en-US" w:eastAsia="zh-CN"/>
              </w:rPr>
              <w:t>本项目在采取并严格落实建设相应风险防范措施的前提下，项目风险事故发生的概率较小，风险水平控制在可接受程度内。</w:t>
            </w:r>
          </w:p>
          <w:p w14:paraId="7E7F05CE">
            <w:pPr>
              <w:pStyle w:val="6"/>
              <w:jc w:val="both"/>
              <w:outlineLvl w:val="2"/>
              <w:rPr>
                <w:rFonts w:hint="default" w:ascii="Times New Roman" w:hAnsi="Times New Roman" w:eastAsia="宋体" w:cs="Times New Roman"/>
                <w:color w:val="0000FF"/>
                <w:lang w:val="en-US" w:eastAsia="zh-CN"/>
              </w:rPr>
            </w:pPr>
            <w:r>
              <w:rPr>
                <w:rFonts w:hint="eastAsia" w:cs="Times New Roman"/>
                <w:color w:val="0000FF"/>
                <w:lang w:val="en-US" w:eastAsia="zh-CN"/>
              </w:rPr>
              <w:t xml:space="preserve">7 </w:t>
            </w:r>
            <w:r>
              <w:rPr>
                <w:rFonts w:hint="default" w:ascii="Times New Roman" w:hAnsi="Times New Roman" w:eastAsia="宋体" w:cs="Times New Roman"/>
                <w:color w:val="0000FF"/>
                <w:lang w:val="en-US" w:eastAsia="zh-CN"/>
              </w:rPr>
              <w:t>环保投资估算</w:t>
            </w:r>
          </w:p>
          <w:p w14:paraId="0AF8E3FF">
            <w:pPr>
              <w:pStyle w:val="3"/>
              <w:ind w:firstLine="480"/>
              <w:jc w:val="both"/>
              <w:rPr>
                <w:rFonts w:hint="default" w:ascii="Times New Roman" w:hAnsi="Times New Roman" w:cs="Times New Roman"/>
                <w:color w:val="0000FF"/>
              </w:rPr>
            </w:pPr>
            <w:r>
              <w:rPr>
                <w:rFonts w:hint="default" w:ascii="Times New Roman" w:hAnsi="Times New Roman" w:cs="Times New Roman"/>
                <w:color w:val="0000FF"/>
              </w:rPr>
              <w:t>本项目总投资</w:t>
            </w:r>
            <w:r>
              <w:rPr>
                <w:rFonts w:hint="eastAsia" w:cs="Times New Roman"/>
                <w:color w:val="0000FF"/>
                <w:lang w:val="en-US" w:eastAsia="zh-CN"/>
              </w:rPr>
              <w:t>12</w:t>
            </w:r>
            <w:r>
              <w:rPr>
                <w:rFonts w:hint="default" w:ascii="Times New Roman" w:hAnsi="Times New Roman" w:cs="Times New Roman"/>
                <w:color w:val="0000FF"/>
                <w:lang w:val="en-US" w:eastAsia="zh-CN"/>
              </w:rPr>
              <w:t>.0</w:t>
            </w:r>
            <w:r>
              <w:rPr>
                <w:rFonts w:hint="default" w:ascii="Times New Roman" w:hAnsi="Times New Roman" w:cs="Times New Roman"/>
                <w:color w:val="0000FF"/>
              </w:rPr>
              <w:t>万元，环保投资</w:t>
            </w:r>
            <w:r>
              <w:rPr>
                <w:rFonts w:hint="eastAsia" w:cs="Times New Roman"/>
                <w:color w:val="0000FF"/>
                <w:lang w:val="en-US" w:eastAsia="zh-CN"/>
              </w:rPr>
              <w:t>3</w:t>
            </w:r>
            <w:r>
              <w:rPr>
                <w:rFonts w:hint="default" w:ascii="Times New Roman" w:hAnsi="Times New Roman" w:cs="Times New Roman"/>
                <w:color w:val="0000FF"/>
              </w:rPr>
              <w:t>万元，占总投资的</w:t>
            </w:r>
            <w:r>
              <w:rPr>
                <w:rFonts w:hint="eastAsia" w:cs="Times New Roman"/>
                <w:color w:val="0000FF"/>
                <w:lang w:val="en-US" w:eastAsia="zh-CN"/>
              </w:rPr>
              <w:t>25</w:t>
            </w:r>
            <w:r>
              <w:rPr>
                <w:rFonts w:hint="default" w:ascii="Times New Roman" w:hAnsi="Times New Roman" w:cs="Times New Roman"/>
                <w:color w:val="0000FF"/>
              </w:rPr>
              <w:t>%。本项目环保工程主要包括废气治理工程、噪声治理工程</w:t>
            </w:r>
            <w:r>
              <w:rPr>
                <w:rFonts w:hint="default" w:ascii="Times New Roman" w:hAnsi="Times New Roman" w:cs="Times New Roman"/>
                <w:color w:val="0000FF"/>
                <w:lang w:eastAsia="zh-CN"/>
              </w:rPr>
              <w:t>、</w:t>
            </w:r>
            <w:r>
              <w:rPr>
                <w:rFonts w:hint="default" w:ascii="Times New Roman" w:hAnsi="Times New Roman" w:cs="Times New Roman"/>
                <w:color w:val="0000FF"/>
                <w:lang w:val="en-US" w:eastAsia="zh-CN"/>
              </w:rPr>
              <w:t>废水治理工程</w:t>
            </w:r>
            <w:r>
              <w:rPr>
                <w:rFonts w:hint="eastAsia" w:cs="Times New Roman"/>
                <w:color w:val="0000FF"/>
                <w:lang w:val="en-US" w:eastAsia="zh-CN"/>
              </w:rPr>
              <w:t>、</w:t>
            </w:r>
            <w:r>
              <w:rPr>
                <w:rFonts w:hint="eastAsia" w:ascii="Times New Roman" w:hAnsi="Times New Roman" w:eastAsia="宋体" w:cs="Times New Roman"/>
                <w:color w:val="0000FF"/>
                <w:lang w:val="en-US" w:eastAsia="zh-CN"/>
              </w:rPr>
              <w:t>环境监测及管理、</w:t>
            </w:r>
            <w:r>
              <w:rPr>
                <w:rFonts w:hint="eastAsia" w:cs="Times New Roman"/>
                <w:color w:val="0000FF"/>
                <w:lang w:val="en-US" w:eastAsia="zh-CN"/>
              </w:rPr>
              <w:t>运行维护</w:t>
            </w:r>
            <w:r>
              <w:rPr>
                <w:rFonts w:hint="default" w:ascii="Times New Roman" w:hAnsi="Times New Roman" w:cs="Times New Roman"/>
                <w:color w:val="0000FF"/>
              </w:rPr>
              <w:t>，具体见表4-</w:t>
            </w:r>
            <w:r>
              <w:rPr>
                <w:rFonts w:hint="eastAsia" w:cs="Times New Roman"/>
                <w:color w:val="0000FF"/>
                <w:lang w:val="en-US" w:eastAsia="zh-CN"/>
              </w:rPr>
              <w:t>12</w:t>
            </w:r>
            <w:r>
              <w:rPr>
                <w:rFonts w:hint="default" w:ascii="Times New Roman" w:hAnsi="Times New Roman" w:cs="Times New Roman"/>
                <w:color w:val="0000FF"/>
              </w:rPr>
              <w:t>。</w:t>
            </w:r>
          </w:p>
          <w:p w14:paraId="15B2B8F6">
            <w:pPr>
              <w:pStyle w:val="34"/>
              <w:rPr>
                <w:rFonts w:hint="default" w:ascii="Times New Roman" w:hAnsi="Times New Roman" w:cs="Times New Roman"/>
                <w:color w:val="0000FF"/>
                <w:sz w:val="21"/>
                <w:szCs w:val="21"/>
              </w:rPr>
            </w:pPr>
            <w:r>
              <w:rPr>
                <w:rFonts w:hint="default" w:ascii="Times New Roman" w:hAnsi="Times New Roman" w:cs="Times New Roman"/>
                <w:color w:val="0000FF"/>
                <w:sz w:val="21"/>
                <w:szCs w:val="21"/>
              </w:rPr>
              <w:t>表4-</w:t>
            </w:r>
            <w:r>
              <w:rPr>
                <w:rFonts w:hint="eastAsia" w:cs="Times New Roman"/>
                <w:color w:val="0000FF"/>
                <w:sz w:val="21"/>
                <w:szCs w:val="21"/>
                <w:lang w:val="en-US" w:eastAsia="zh-CN"/>
              </w:rPr>
              <w:t xml:space="preserve">12 </w:t>
            </w:r>
            <w:r>
              <w:rPr>
                <w:rFonts w:hint="default" w:ascii="Times New Roman" w:hAnsi="Times New Roman" w:cs="Times New Roman"/>
                <w:color w:val="0000FF"/>
                <w:sz w:val="21"/>
                <w:szCs w:val="21"/>
              </w:rPr>
              <w:t xml:space="preserve">  环保工程项目及投资估算</w:t>
            </w:r>
          </w:p>
          <w:tbl>
            <w:tblPr>
              <w:tblStyle w:val="25"/>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284"/>
              <w:gridCol w:w="4349"/>
              <w:gridCol w:w="1535"/>
            </w:tblGrid>
            <w:tr w14:paraId="53E6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op w:val="single" w:color="auto" w:sz="12" w:space="0"/>
                    <w:left w:val="nil"/>
                    <w:bottom w:val="single" w:color="auto" w:sz="12" w:space="0"/>
                    <w:right w:val="single" w:color="auto" w:sz="4" w:space="0"/>
                  </w:tcBorders>
                  <w:vAlign w:val="center"/>
                </w:tcPr>
                <w:p w14:paraId="6FB39F68">
                  <w:pPr>
                    <w:pStyle w:val="35"/>
                    <w:rPr>
                      <w:rFonts w:hint="default" w:ascii="Times New Roman" w:hAnsi="Times New Roman" w:cs="Times New Roman"/>
                      <w:b/>
                      <w:bCs/>
                      <w:color w:val="0000FF"/>
                    </w:rPr>
                  </w:pPr>
                  <w:r>
                    <w:rPr>
                      <w:rFonts w:hint="default" w:ascii="Times New Roman" w:hAnsi="Times New Roman" w:cs="Times New Roman"/>
                      <w:b/>
                      <w:bCs/>
                      <w:color w:val="0000FF"/>
                    </w:rPr>
                    <w:t>序号</w:t>
                  </w:r>
                </w:p>
              </w:tc>
              <w:tc>
                <w:tcPr>
                  <w:tcW w:w="818" w:type="pct"/>
                  <w:tcBorders>
                    <w:top w:val="single" w:color="auto" w:sz="12" w:space="0"/>
                    <w:left w:val="nil"/>
                    <w:bottom w:val="single" w:color="auto" w:sz="12" w:space="0"/>
                    <w:right w:val="single" w:color="auto" w:sz="4" w:space="0"/>
                  </w:tcBorders>
                  <w:vAlign w:val="center"/>
                </w:tcPr>
                <w:p w14:paraId="0C0CA2F0">
                  <w:pPr>
                    <w:pStyle w:val="35"/>
                    <w:rPr>
                      <w:rFonts w:hint="default" w:ascii="Times New Roman" w:hAnsi="Times New Roman" w:cs="Times New Roman"/>
                      <w:b/>
                      <w:bCs/>
                      <w:color w:val="0000FF"/>
                    </w:rPr>
                  </w:pPr>
                  <w:r>
                    <w:rPr>
                      <w:rFonts w:hint="default" w:ascii="Times New Roman" w:hAnsi="Times New Roman" w:cs="Times New Roman"/>
                      <w:b/>
                      <w:bCs/>
                      <w:color w:val="0000FF"/>
                    </w:rPr>
                    <w:t>内容</w:t>
                  </w:r>
                </w:p>
              </w:tc>
              <w:tc>
                <w:tcPr>
                  <w:tcW w:w="2770" w:type="pct"/>
                  <w:tcBorders>
                    <w:top w:val="single" w:color="auto" w:sz="12" w:space="0"/>
                    <w:left w:val="nil"/>
                    <w:bottom w:val="single" w:color="auto" w:sz="12" w:space="0"/>
                    <w:right w:val="single" w:color="auto" w:sz="4" w:space="0"/>
                  </w:tcBorders>
                  <w:vAlign w:val="center"/>
                </w:tcPr>
                <w:p w14:paraId="7631B59C">
                  <w:pPr>
                    <w:pStyle w:val="35"/>
                    <w:rPr>
                      <w:rFonts w:hint="default" w:ascii="Times New Roman" w:hAnsi="Times New Roman" w:cs="Times New Roman"/>
                      <w:b/>
                      <w:bCs/>
                      <w:color w:val="0000FF"/>
                    </w:rPr>
                  </w:pPr>
                  <w:r>
                    <w:rPr>
                      <w:rFonts w:hint="default" w:ascii="Times New Roman" w:hAnsi="Times New Roman" w:cs="Times New Roman"/>
                      <w:b/>
                      <w:bCs/>
                      <w:color w:val="0000FF"/>
                    </w:rPr>
                    <w:t>环保设施</w:t>
                  </w:r>
                </w:p>
              </w:tc>
              <w:tc>
                <w:tcPr>
                  <w:tcW w:w="978" w:type="pct"/>
                  <w:tcBorders>
                    <w:top w:val="single" w:color="auto" w:sz="12" w:space="0"/>
                    <w:left w:val="nil"/>
                    <w:bottom w:val="single" w:color="auto" w:sz="12" w:space="0"/>
                    <w:right w:val="nil"/>
                  </w:tcBorders>
                  <w:vAlign w:val="center"/>
                </w:tcPr>
                <w:p w14:paraId="3A43B407">
                  <w:pPr>
                    <w:pStyle w:val="35"/>
                    <w:rPr>
                      <w:rFonts w:hint="default" w:ascii="Times New Roman" w:hAnsi="Times New Roman" w:cs="Times New Roman"/>
                      <w:b/>
                      <w:bCs/>
                      <w:color w:val="0000FF"/>
                    </w:rPr>
                  </w:pPr>
                  <w:r>
                    <w:rPr>
                      <w:rFonts w:hint="default" w:ascii="Times New Roman" w:hAnsi="Times New Roman" w:cs="Times New Roman"/>
                      <w:b/>
                      <w:bCs/>
                      <w:color w:val="0000FF"/>
                    </w:rPr>
                    <w:t>投资（万元）</w:t>
                  </w:r>
                </w:p>
              </w:tc>
            </w:tr>
            <w:tr w14:paraId="2E53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op w:val="single" w:color="auto" w:sz="12" w:space="0"/>
                    <w:left w:val="nil"/>
                    <w:bottom w:val="single" w:color="auto" w:sz="4" w:space="0"/>
                    <w:right w:val="single" w:color="auto" w:sz="4" w:space="0"/>
                  </w:tcBorders>
                  <w:vAlign w:val="center"/>
                </w:tcPr>
                <w:p w14:paraId="285EAE81">
                  <w:pPr>
                    <w:pStyle w:val="35"/>
                    <w:rPr>
                      <w:rFonts w:hint="default" w:ascii="Times New Roman" w:hAnsi="Times New Roman" w:eastAsia="宋体" w:cs="Times New Roman"/>
                      <w:color w:val="0000FF"/>
                      <w:kern w:val="2"/>
                      <w:sz w:val="21"/>
                      <w:szCs w:val="24"/>
                      <w:lang w:val="en-US" w:eastAsia="zh-CN" w:bidi="ar-SA"/>
                    </w:rPr>
                  </w:pPr>
                  <w:r>
                    <w:rPr>
                      <w:rFonts w:hint="default" w:ascii="Times New Roman" w:hAnsi="Times New Roman" w:cs="Times New Roman"/>
                      <w:color w:val="0000FF"/>
                      <w:lang w:val="en-US" w:eastAsia="zh-CN"/>
                    </w:rPr>
                    <w:t>1</w:t>
                  </w:r>
                </w:p>
              </w:tc>
              <w:tc>
                <w:tcPr>
                  <w:tcW w:w="818" w:type="pct"/>
                  <w:tcBorders>
                    <w:top w:val="single" w:color="auto" w:sz="12" w:space="0"/>
                    <w:left w:val="single" w:color="auto" w:sz="4" w:space="0"/>
                    <w:bottom w:val="single" w:color="auto" w:sz="4" w:space="0"/>
                    <w:right w:val="single" w:color="auto" w:sz="4" w:space="0"/>
                  </w:tcBorders>
                  <w:vAlign w:val="center"/>
                </w:tcPr>
                <w:p w14:paraId="07E8F2E9">
                  <w:pPr>
                    <w:pStyle w:val="35"/>
                    <w:rPr>
                      <w:rFonts w:hint="default" w:ascii="Times New Roman" w:hAnsi="Times New Roman" w:eastAsia="宋体" w:cs="Times New Roman"/>
                      <w:color w:val="0000FF"/>
                      <w:kern w:val="2"/>
                      <w:sz w:val="21"/>
                      <w:szCs w:val="24"/>
                      <w:lang w:val="zh-TW" w:eastAsia="zh-TW" w:bidi="ar-SA"/>
                    </w:rPr>
                  </w:pPr>
                  <w:r>
                    <w:rPr>
                      <w:rFonts w:hint="default" w:ascii="Times New Roman" w:hAnsi="Times New Roman" w:cs="Times New Roman"/>
                      <w:color w:val="0000FF"/>
                      <w:lang w:val="en-US" w:eastAsia="zh-CN"/>
                    </w:rPr>
                    <w:t>废水</w:t>
                  </w:r>
                  <w:r>
                    <w:rPr>
                      <w:rFonts w:hint="default" w:ascii="Times New Roman" w:hAnsi="Times New Roman" w:cs="Times New Roman"/>
                      <w:color w:val="0000FF"/>
                    </w:rPr>
                    <w:t>治理</w:t>
                  </w:r>
                </w:p>
              </w:tc>
              <w:tc>
                <w:tcPr>
                  <w:tcW w:w="2770" w:type="pct"/>
                  <w:tcBorders>
                    <w:top w:val="single" w:color="auto" w:sz="12" w:space="0"/>
                    <w:left w:val="single" w:color="auto" w:sz="4" w:space="0"/>
                    <w:bottom w:val="single" w:color="auto" w:sz="4" w:space="0"/>
                    <w:right w:val="single" w:color="auto" w:sz="4" w:space="0"/>
                  </w:tcBorders>
                  <w:vAlign w:val="center"/>
                </w:tcPr>
                <w:p w14:paraId="2343E4FE">
                  <w:pPr>
                    <w:pStyle w:val="35"/>
                    <w:rPr>
                      <w:rFonts w:hint="default" w:ascii="Times New Roman" w:hAnsi="Times New Roman" w:eastAsia="宋体" w:cs="Times New Roman"/>
                      <w:color w:val="0000FF"/>
                      <w:kern w:val="2"/>
                      <w:sz w:val="21"/>
                      <w:szCs w:val="24"/>
                      <w:lang w:val="en-US" w:eastAsia="zh-CN" w:bidi="ar-SA"/>
                    </w:rPr>
                  </w:pPr>
                  <w:r>
                    <w:rPr>
                      <w:rFonts w:hint="default" w:ascii="Times New Roman" w:hAnsi="Times New Roman" w:eastAsia="宋体" w:cs="Times New Roman"/>
                      <w:color w:val="0000FF"/>
                      <w:lang w:val="en-US" w:eastAsia="zh-CN"/>
                    </w:rPr>
                    <w:t>一体化污水处理设</w:t>
                  </w:r>
                  <w:r>
                    <w:rPr>
                      <w:rFonts w:hint="eastAsia" w:ascii="Times New Roman" w:hAnsi="Times New Roman" w:eastAsia="宋体" w:cs="Times New Roman"/>
                      <w:color w:val="0000FF"/>
                      <w:lang w:val="en-US" w:eastAsia="zh-CN"/>
                    </w:rPr>
                    <w:t>备1</w:t>
                  </w:r>
                  <w:r>
                    <w:rPr>
                      <w:rFonts w:hint="default" w:ascii="Times New Roman" w:hAnsi="Times New Roman" w:eastAsia="宋体" w:cs="Times New Roman"/>
                      <w:color w:val="0000FF"/>
                      <w:lang w:val="en-US" w:eastAsia="zh-CN"/>
                    </w:rPr>
                    <w:t>套，处理能力均为0.5m</w:t>
                  </w:r>
                  <w:r>
                    <w:rPr>
                      <w:rFonts w:hint="default" w:ascii="Times New Roman" w:hAnsi="Times New Roman" w:eastAsia="宋体" w:cs="Times New Roman"/>
                      <w:color w:val="0000FF"/>
                      <w:vertAlign w:val="superscript"/>
                      <w:lang w:val="en-US" w:eastAsia="zh-CN"/>
                    </w:rPr>
                    <w:t>3</w:t>
                  </w:r>
                  <w:r>
                    <w:rPr>
                      <w:rFonts w:hint="default" w:ascii="Times New Roman" w:hAnsi="Times New Roman" w:eastAsia="宋体" w:cs="Times New Roman"/>
                      <w:color w:val="0000FF"/>
                      <w:lang w:val="en-US" w:eastAsia="zh-CN"/>
                    </w:rPr>
                    <w:t>/d</w:t>
                  </w:r>
                </w:p>
              </w:tc>
              <w:tc>
                <w:tcPr>
                  <w:tcW w:w="978" w:type="pct"/>
                  <w:tcBorders>
                    <w:top w:val="single" w:color="auto" w:sz="12" w:space="0"/>
                    <w:left w:val="single" w:color="auto" w:sz="4" w:space="0"/>
                    <w:bottom w:val="single" w:color="auto" w:sz="4" w:space="0"/>
                    <w:right w:val="nil"/>
                  </w:tcBorders>
                  <w:vAlign w:val="center"/>
                </w:tcPr>
                <w:p w14:paraId="266FE9CE">
                  <w:pPr>
                    <w:pStyle w:val="35"/>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0.8</w:t>
                  </w:r>
                </w:p>
              </w:tc>
            </w:tr>
            <w:tr w14:paraId="6BFD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op w:val="single" w:color="auto" w:sz="4" w:space="0"/>
                    <w:left w:val="nil"/>
                    <w:bottom w:val="single" w:color="auto" w:sz="4" w:space="0"/>
                    <w:right w:val="single" w:color="auto" w:sz="4" w:space="0"/>
                  </w:tcBorders>
                  <w:vAlign w:val="center"/>
                </w:tcPr>
                <w:p w14:paraId="243771C6">
                  <w:pPr>
                    <w:pStyle w:val="35"/>
                    <w:rPr>
                      <w:rFonts w:hint="default" w:ascii="Times New Roman" w:hAnsi="Times New Roman" w:eastAsia="宋体" w:cs="Times New Roman"/>
                      <w:color w:val="0000FF"/>
                      <w:kern w:val="2"/>
                      <w:sz w:val="21"/>
                      <w:szCs w:val="24"/>
                      <w:lang w:val="en-US" w:eastAsia="zh-CN" w:bidi="ar-SA"/>
                    </w:rPr>
                  </w:pPr>
                  <w:r>
                    <w:rPr>
                      <w:rFonts w:hint="default" w:ascii="Times New Roman" w:hAnsi="Times New Roman" w:cs="Times New Roman"/>
                      <w:color w:val="0000FF"/>
                    </w:rPr>
                    <w:t>2</w:t>
                  </w:r>
                </w:p>
              </w:tc>
              <w:tc>
                <w:tcPr>
                  <w:tcW w:w="818" w:type="pct"/>
                  <w:tcBorders>
                    <w:top w:val="single" w:color="auto" w:sz="4" w:space="0"/>
                    <w:left w:val="nil"/>
                    <w:bottom w:val="single" w:color="auto" w:sz="4" w:space="0"/>
                    <w:right w:val="single" w:color="auto" w:sz="4" w:space="0"/>
                  </w:tcBorders>
                  <w:vAlign w:val="center"/>
                </w:tcPr>
                <w:p w14:paraId="15D76D80">
                  <w:pPr>
                    <w:pStyle w:val="35"/>
                    <w:rPr>
                      <w:rFonts w:hint="default" w:ascii="Times New Roman" w:hAnsi="Times New Roman" w:cs="Times New Roman"/>
                      <w:color w:val="0000FF"/>
                    </w:rPr>
                  </w:pPr>
                  <w:r>
                    <w:rPr>
                      <w:rFonts w:hint="default" w:ascii="Times New Roman" w:hAnsi="Times New Roman" w:cs="Times New Roman"/>
                      <w:color w:val="0000FF"/>
                    </w:rPr>
                    <w:t>噪声治理</w:t>
                  </w:r>
                </w:p>
              </w:tc>
              <w:tc>
                <w:tcPr>
                  <w:tcW w:w="2770" w:type="pct"/>
                  <w:tcBorders>
                    <w:top w:val="single" w:color="auto" w:sz="4" w:space="0"/>
                    <w:left w:val="nil"/>
                    <w:bottom w:val="single" w:color="auto" w:sz="4" w:space="0"/>
                    <w:right w:val="single" w:color="auto" w:sz="4" w:space="0"/>
                  </w:tcBorders>
                  <w:vAlign w:val="center"/>
                </w:tcPr>
                <w:p w14:paraId="10F818BA">
                  <w:pPr>
                    <w:pStyle w:val="35"/>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基础隔声、降噪</w:t>
                  </w:r>
                </w:p>
              </w:tc>
              <w:tc>
                <w:tcPr>
                  <w:tcW w:w="978" w:type="pct"/>
                  <w:tcBorders>
                    <w:top w:val="single" w:color="auto" w:sz="4" w:space="0"/>
                    <w:left w:val="nil"/>
                    <w:bottom w:val="single" w:color="auto" w:sz="4" w:space="0"/>
                    <w:right w:val="nil"/>
                  </w:tcBorders>
                  <w:vAlign w:val="center"/>
                </w:tcPr>
                <w:p w14:paraId="6F6039F8">
                  <w:pPr>
                    <w:pStyle w:val="35"/>
                    <w:rPr>
                      <w:rFonts w:hint="default" w:ascii="Times New Roman" w:hAnsi="Times New Roman" w:eastAsia="宋体" w:cs="Times New Roman"/>
                      <w:color w:val="0000FF"/>
                      <w:lang w:val="en-US" w:eastAsia="zh-CN"/>
                    </w:rPr>
                  </w:pPr>
                  <w:r>
                    <w:rPr>
                      <w:rFonts w:hint="eastAsia" w:cs="Times New Roman"/>
                      <w:color w:val="0000FF"/>
                      <w:lang w:val="en-US" w:eastAsia="zh-CN"/>
                    </w:rPr>
                    <w:t>0.5</w:t>
                  </w:r>
                </w:p>
              </w:tc>
            </w:tr>
            <w:tr w14:paraId="358D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op w:val="single" w:color="auto" w:sz="4" w:space="0"/>
                    <w:left w:val="nil"/>
                    <w:right w:val="single" w:color="auto" w:sz="4" w:space="0"/>
                  </w:tcBorders>
                  <w:vAlign w:val="center"/>
                </w:tcPr>
                <w:p w14:paraId="73A08CA5">
                  <w:pPr>
                    <w:pStyle w:val="35"/>
                    <w:rPr>
                      <w:rFonts w:hint="default" w:ascii="Times New Roman" w:hAnsi="Times New Roman" w:eastAsia="宋体" w:cs="Times New Roman"/>
                      <w:color w:val="0000FF"/>
                      <w:kern w:val="2"/>
                      <w:sz w:val="21"/>
                      <w:szCs w:val="24"/>
                      <w:lang w:val="zh-TW" w:eastAsia="zh-TW" w:bidi="ar-SA"/>
                    </w:rPr>
                  </w:pPr>
                  <w:r>
                    <w:rPr>
                      <w:rFonts w:hint="default" w:ascii="Times New Roman" w:hAnsi="Times New Roman" w:cs="Times New Roman"/>
                      <w:color w:val="0000FF"/>
                    </w:rPr>
                    <w:t>3</w:t>
                  </w:r>
                </w:p>
              </w:tc>
              <w:tc>
                <w:tcPr>
                  <w:tcW w:w="818" w:type="pct"/>
                  <w:tcBorders>
                    <w:top w:val="single" w:color="auto" w:sz="4" w:space="0"/>
                    <w:left w:val="nil"/>
                    <w:right w:val="single" w:color="auto" w:sz="4" w:space="0"/>
                  </w:tcBorders>
                  <w:vAlign w:val="center"/>
                </w:tcPr>
                <w:p w14:paraId="4441E9C0">
                  <w:pPr>
                    <w:pStyle w:val="35"/>
                    <w:rPr>
                      <w:rFonts w:hint="default" w:ascii="Times New Roman" w:hAnsi="Times New Roman" w:cs="Times New Roman"/>
                      <w:color w:val="0000FF"/>
                      <w:lang w:eastAsia="zh-CN"/>
                    </w:rPr>
                  </w:pPr>
                  <w:r>
                    <w:rPr>
                      <w:rFonts w:hint="default" w:ascii="Times New Roman" w:hAnsi="Times New Roman" w:cs="Times New Roman"/>
                      <w:color w:val="0000FF"/>
                      <w:lang w:eastAsia="zh-CN"/>
                    </w:rPr>
                    <w:t>废气治理</w:t>
                  </w:r>
                </w:p>
              </w:tc>
              <w:tc>
                <w:tcPr>
                  <w:tcW w:w="2770" w:type="pct"/>
                  <w:tcBorders>
                    <w:top w:val="single" w:color="auto" w:sz="4" w:space="0"/>
                    <w:left w:val="nil"/>
                    <w:bottom w:val="single" w:color="auto" w:sz="4" w:space="0"/>
                    <w:right w:val="single" w:color="auto" w:sz="4" w:space="0"/>
                  </w:tcBorders>
                  <w:vAlign w:val="center"/>
                </w:tcPr>
                <w:p w14:paraId="4303B2EE">
                  <w:pPr>
                    <w:pStyle w:val="35"/>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新风系统</w:t>
                  </w:r>
                  <w:r>
                    <w:rPr>
                      <w:rFonts w:hint="eastAsia" w:cs="Times New Roman"/>
                      <w:color w:val="0000FF"/>
                      <w:lang w:val="en-US" w:eastAsia="zh-CN"/>
                    </w:rPr>
                    <w:t>、紫外线消毒灯</w:t>
                  </w:r>
                </w:p>
              </w:tc>
              <w:tc>
                <w:tcPr>
                  <w:tcW w:w="978" w:type="pct"/>
                  <w:tcBorders>
                    <w:top w:val="single" w:color="auto" w:sz="4" w:space="0"/>
                    <w:left w:val="nil"/>
                    <w:bottom w:val="single" w:color="auto" w:sz="4" w:space="0"/>
                    <w:right w:val="nil"/>
                  </w:tcBorders>
                  <w:vAlign w:val="center"/>
                </w:tcPr>
                <w:p w14:paraId="4BB3858E">
                  <w:pPr>
                    <w:pStyle w:val="35"/>
                    <w:rPr>
                      <w:rFonts w:hint="default" w:ascii="Times New Roman" w:hAnsi="Times New Roman" w:eastAsia="宋体" w:cs="Times New Roman"/>
                      <w:color w:val="0000FF"/>
                      <w:lang w:val="en-US" w:eastAsia="zh-CN"/>
                    </w:rPr>
                  </w:pPr>
                  <w:r>
                    <w:rPr>
                      <w:rFonts w:hint="eastAsia" w:cs="Times New Roman"/>
                      <w:color w:val="0000FF"/>
                      <w:lang w:val="en-US" w:eastAsia="zh-CN"/>
                    </w:rPr>
                    <w:t>0.7</w:t>
                  </w:r>
                </w:p>
              </w:tc>
            </w:tr>
            <w:tr w14:paraId="5AEB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op w:val="single" w:color="auto" w:sz="4" w:space="0"/>
                    <w:left w:val="nil"/>
                    <w:bottom w:val="single" w:color="auto" w:sz="4" w:space="0"/>
                    <w:right w:val="single" w:color="auto" w:sz="4" w:space="0"/>
                  </w:tcBorders>
                  <w:vAlign w:val="center"/>
                </w:tcPr>
                <w:p w14:paraId="046C2B79">
                  <w:pPr>
                    <w:pStyle w:val="35"/>
                    <w:rPr>
                      <w:rFonts w:hint="default" w:ascii="Times New Roman" w:hAnsi="Times New Roman" w:eastAsia="宋体" w:cs="Times New Roman"/>
                      <w:color w:val="0000FF"/>
                      <w:kern w:val="2"/>
                      <w:sz w:val="21"/>
                      <w:szCs w:val="24"/>
                      <w:lang w:val="en-US" w:eastAsia="zh-CN" w:bidi="ar-SA"/>
                    </w:rPr>
                  </w:pPr>
                  <w:r>
                    <w:rPr>
                      <w:rFonts w:hint="default" w:ascii="Times New Roman" w:hAnsi="Times New Roman" w:cs="Times New Roman"/>
                      <w:color w:val="0000FF"/>
                      <w:lang w:val="en-US" w:eastAsia="zh-CN"/>
                    </w:rPr>
                    <w:t>4</w:t>
                  </w:r>
                </w:p>
              </w:tc>
              <w:tc>
                <w:tcPr>
                  <w:tcW w:w="818" w:type="pct"/>
                  <w:tcBorders>
                    <w:top w:val="single" w:color="auto" w:sz="4" w:space="0"/>
                    <w:left w:val="nil"/>
                    <w:bottom w:val="single" w:color="auto" w:sz="4" w:space="0"/>
                    <w:right w:val="single" w:color="auto" w:sz="4" w:space="0"/>
                  </w:tcBorders>
                  <w:vAlign w:val="center"/>
                </w:tcPr>
                <w:p w14:paraId="43082A04">
                  <w:pPr>
                    <w:pStyle w:val="35"/>
                    <w:rPr>
                      <w:rFonts w:hint="default" w:ascii="Times New Roman" w:hAnsi="Times New Roman" w:eastAsia="宋体" w:cs="Times New Roman"/>
                      <w:color w:val="0000FF"/>
                      <w:kern w:val="2"/>
                      <w:sz w:val="21"/>
                      <w:szCs w:val="24"/>
                      <w:lang w:val="en-US" w:eastAsia="zh-CN" w:bidi="ar-SA"/>
                    </w:rPr>
                  </w:pPr>
                  <w:r>
                    <w:rPr>
                      <w:rFonts w:hint="default" w:ascii="Times New Roman" w:hAnsi="Times New Roman" w:cs="Times New Roman"/>
                      <w:color w:val="0000FF"/>
                      <w:lang w:val="en-US" w:eastAsia="zh-CN"/>
                    </w:rPr>
                    <w:t>固废治理</w:t>
                  </w:r>
                </w:p>
              </w:tc>
              <w:tc>
                <w:tcPr>
                  <w:tcW w:w="2770" w:type="pct"/>
                  <w:tcBorders>
                    <w:top w:val="single" w:color="auto" w:sz="4" w:space="0"/>
                    <w:left w:val="nil"/>
                    <w:bottom w:val="single" w:color="auto" w:sz="4" w:space="0"/>
                    <w:right w:val="single" w:color="auto" w:sz="4" w:space="0"/>
                  </w:tcBorders>
                  <w:vAlign w:val="center"/>
                </w:tcPr>
                <w:p w14:paraId="5979FD88">
                  <w:pPr>
                    <w:pStyle w:val="35"/>
                    <w:rPr>
                      <w:rFonts w:hint="default" w:ascii="Times New Roman" w:hAnsi="Times New Roman" w:eastAsia="宋体" w:cs="Times New Roman"/>
                      <w:b w:val="0"/>
                      <w:bCs/>
                      <w:color w:val="0000FF"/>
                      <w:kern w:val="2"/>
                      <w:sz w:val="21"/>
                      <w:szCs w:val="21"/>
                      <w:lang w:val="en-US" w:eastAsia="zh-CN" w:bidi="ar-SA"/>
                    </w:rPr>
                  </w:pPr>
                  <w:r>
                    <w:rPr>
                      <w:rFonts w:hint="default" w:ascii="Times New Roman" w:hAnsi="Times New Roman" w:eastAsia="宋体" w:cs="Times New Roman"/>
                      <w:b w:val="0"/>
                      <w:bCs/>
                      <w:color w:val="0000FF"/>
                      <w:sz w:val="21"/>
                      <w:szCs w:val="21"/>
                      <w:lang w:eastAsia="zh-CN"/>
                    </w:rPr>
                    <w:t>垃圾桶、医疗废物暂存间</w:t>
                  </w:r>
                </w:p>
              </w:tc>
              <w:tc>
                <w:tcPr>
                  <w:tcW w:w="978" w:type="pct"/>
                  <w:tcBorders>
                    <w:top w:val="single" w:color="auto" w:sz="4" w:space="0"/>
                    <w:left w:val="nil"/>
                    <w:bottom w:val="single" w:color="auto" w:sz="4" w:space="0"/>
                    <w:right w:val="nil"/>
                  </w:tcBorders>
                  <w:vAlign w:val="center"/>
                </w:tcPr>
                <w:p w14:paraId="54FDCD34">
                  <w:pPr>
                    <w:pStyle w:val="35"/>
                    <w:rPr>
                      <w:rFonts w:hint="default" w:ascii="Times New Roman" w:hAnsi="Times New Roman" w:eastAsia="宋体" w:cs="Times New Roman"/>
                      <w:color w:val="0000FF"/>
                      <w:kern w:val="2"/>
                      <w:sz w:val="21"/>
                      <w:szCs w:val="24"/>
                      <w:lang w:val="en-US" w:eastAsia="zh-CN" w:bidi="ar-SA"/>
                    </w:rPr>
                  </w:pPr>
                  <w:r>
                    <w:rPr>
                      <w:rFonts w:hint="eastAsia" w:cs="Times New Roman"/>
                      <w:color w:val="0000FF"/>
                      <w:kern w:val="2"/>
                      <w:sz w:val="21"/>
                      <w:szCs w:val="24"/>
                      <w:lang w:val="en-US" w:eastAsia="zh-CN" w:bidi="ar-SA"/>
                    </w:rPr>
                    <w:t>0.7</w:t>
                  </w:r>
                </w:p>
              </w:tc>
            </w:tr>
            <w:tr w14:paraId="5928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op w:val="single" w:color="auto" w:sz="4" w:space="0"/>
                    <w:left w:val="nil"/>
                    <w:bottom w:val="single" w:color="auto" w:sz="4" w:space="0"/>
                    <w:right w:val="single" w:color="auto" w:sz="4" w:space="0"/>
                  </w:tcBorders>
                  <w:vAlign w:val="center"/>
                </w:tcPr>
                <w:p w14:paraId="647887EF">
                  <w:pPr>
                    <w:pStyle w:val="35"/>
                    <w:rPr>
                      <w:rFonts w:hint="default" w:ascii="Times New Roman" w:hAnsi="Times New Roman" w:cs="Times New Roman"/>
                      <w:color w:val="0000FF"/>
                      <w:lang w:val="en-US" w:eastAsia="zh-CN"/>
                    </w:rPr>
                  </w:pPr>
                  <w:r>
                    <w:rPr>
                      <w:rFonts w:hint="eastAsia" w:cs="Times New Roman"/>
                      <w:color w:val="0000FF"/>
                      <w:lang w:val="en-US" w:eastAsia="zh-CN"/>
                    </w:rPr>
                    <w:t>5</w:t>
                  </w:r>
                </w:p>
              </w:tc>
              <w:tc>
                <w:tcPr>
                  <w:tcW w:w="818" w:type="pct"/>
                  <w:tcBorders>
                    <w:top w:val="single" w:color="auto" w:sz="4" w:space="0"/>
                    <w:left w:val="nil"/>
                    <w:bottom w:val="single" w:color="auto" w:sz="4" w:space="0"/>
                    <w:right w:val="single" w:color="auto" w:sz="4" w:space="0"/>
                  </w:tcBorders>
                  <w:vAlign w:val="center"/>
                </w:tcPr>
                <w:p w14:paraId="6EE86642">
                  <w:pPr>
                    <w:pStyle w:val="35"/>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环境监测及管理</w:t>
                  </w:r>
                </w:p>
              </w:tc>
              <w:tc>
                <w:tcPr>
                  <w:tcW w:w="2770" w:type="pct"/>
                  <w:tcBorders>
                    <w:top w:val="single" w:color="auto" w:sz="4" w:space="0"/>
                    <w:left w:val="nil"/>
                    <w:bottom w:val="single" w:color="auto" w:sz="4" w:space="0"/>
                    <w:right w:val="single" w:color="auto" w:sz="4" w:space="0"/>
                  </w:tcBorders>
                  <w:vAlign w:val="center"/>
                </w:tcPr>
                <w:p w14:paraId="445057F2">
                  <w:pPr>
                    <w:pStyle w:val="35"/>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建立环境管理和监测体系</w:t>
                  </w:r>
                </w:p>
              </w:tc>
              <w:tc>
                <w:tcPr>
                  <w:tcW w:w="978" w:type="pct"/>
                  <w:tcBorders>
                    <w:top w:val="single" w:color="auto" w:sz="4" w:space="0"/>
                    <w:left w:val="nil"/>
                    <w:bottom w:val="single" w:color="auto" w:sz="4" w:space="0"/>
                    <w:right w:val="nil"/>
                  </w:tcBorders>
                  <w:vAlign w:val="center"/>
                </w:tcPr>
                <w:p w14:paraId="315EB450">
                  <w:pPr>
                    <w:pStyle w:val="35"/>
                    <w:rPr>
                      <w:rFonts w:hint="default" w:cs="Times New Roman"/>
                      <w:color w:val="0000FF"/>
                      <w:lang w:val="en-US" w:eastAsia="zh-CN"/>
                    </w:rPr>
                  </w:pPr>
                  <w:r>
                    <w:rPr>
                      <w:rFonts w:hint="eastAsia" w:cs="Times New Roman"/>
                      <w:color w:val="0000FF"/>
                      <w:lang w:val="en-US" w:eastAsia="zh-CN"/>
                    </w:rPr>
                    <w:t>0.2</w:t>
                  </w:r>
                </w:p>
              </w:tc>
            </w:tr>
            <w:tr w14:paraId="21F4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2" w:type="pct"/>
                  <w:tcBorders>
                    <w:top w:val="single" w:color="auto" w:sz="4" w:space="0"/>
                    <w:left w:val="nil"/>
                    <w:bottom w:val="single" w:color="auto" w:sz="4" w:space="0"/>
                    <w:right w:val="single" w:color="auto" w:sz="4" w:space="0"/>
                  </w:tcBorders>
                  <w:vAlign w:val="center"/>
                </w:tcPr>
                <w:p w14:paraId="43FE8A66">
                  <w:pPr>
                    <w:pStyle w:val="35"/>
                    <w:rPr>
                      <w:rFonts w:hint="default" w:ascii="Times New Roman" w:hAnsi="Times New Roman" w:cs="Times New Roman"/>
                      <w:color w:val="0000FF"/>
                      <w:lang w:val="en-US" w:eastAsia="zh-CN"/>
                    </w:rPr>
                  </w:pPr>
                  <w:r>
                    <w:rPr>
                      <w:rFonts w:hint="eastAsia" w:cs="Times New Roman"/>
                      <w:color w:val="0000FF"/>
                      <w:lang w:val="en-US" w:eastAsia="zh-CN"/>
                    </w:rPr>
                    <w:t>6</w:t>
                  </w:r>
                </w:p>
              </w:tc>
              <w:tc>
                <w:tcPr>
                  <w:tcW w:w="818" w:type="pct"/>
                  <w:tcBorders>
                    <w:top w:val="single" w:color="auto" w:sz="4" w:space="0"/>
                    <w:left w:val="nil"/>
                    <w:bottom w:val="single" w:color="auto" w:sz="4" w:space="0"/>
                    <w:right w:val="single" w:color="auto" w:sz="4" w:space="0"/>
                  </w:tcBorders>
                  <w:vAlign w:val="center"/>
                </w:tcPr>
                <w:p w14:paraId="2FE8E73A">
                  <w:pPr>
                    <w:pStyle w:val="35"/>
                    <w:rPr>
                      <w:rFonts w:hint="default" w:ascii="Times New Roman" w:hAnsi="Times New Roman" w:cs="Times New Roman"/>
                      <w:color w:val="0000FF"/>
                      <w:lang w:val="en-US" w:eastAsia="zh-CN"/>
                    </w:rPr>
                  </w:pPr>
                  <w:r>
                    <w:rPr>
                      <w:rFonts w:hint="eastAsia" w:cs="Times New Roman"/>
                      <w:color w:val="0000FF"/>
                      <w:lang w:val="en-US" w:eastAsia="zh-CN"/>
                    </w:rPr>
                    <w:t>运行维护</w:t>
                  </w:r>
                </w:p>
              </w:tc>
              <w:tc>
                <w:tcPr>
                  <w:tcW w:w="2770" w:type="pct"/>
                  <w:tcBorders>
                    <w:top w:val="single" w:color="auto" w:sz="4" w:space="0"/>
                    <w:left w:val="nil"/>
                    <w:bottom w:val="single" w:color="auto" w:sz="4" w:space="0"/>
                    <w:right w:val="single" w:color="auto" w:sz="4" w:space="0"/>
                  </w:tcBorders>
                  <w:vAlign w:val="center"/>
                </w:tcPr>
                <w:p w14:paraId="0E616E4A">
                  <w:pPr>
                    <w:pStyle w:val="35"/>
                    <w:rPr>
                      <w:rFonts w:hint="default" w:ascii="Times New Roman" w:hAnsi="Times New Roman" w:eastAsia="宋体" w:cs="Times New Roman"/>
                      <w:b w:val="0"/>
                      <w:bCs/>
                      <w:color w:val="0000FF"/>
                      <w:sz w:val="21"/>
                      <w:szCs w:val="21"/>
                      <w:lang w:eastAsia="zh-CN"/>
                    </w:rPr>
                  </w:pPr>
                  <w:r>
                    <w:rPr>
                      <w:rFonts w:hint="eastAsia"/>
                      <w:color w:val="0000FF"/>
                      <w:szCs w:val="21"/>
                      <w:highlight w:val="none"/>
                      <w:lang w:eastAsia="zh-CN"/>
                    </w:rPr>
                    <w:t>环保设施运行维护费用</w:t>
                  </w:r>
                </w:p>
              </w:tc>
              <w:tc>
                <w:tcPr>
                  <w:tcW w:w="978" w:type="pct"/>
                  <w:tcBorders>
                    <w:top w:val="single" w:color="auto" w:sz="4" w:space="0"/>
                    <w:left w:val="nil"/>
                    <w:bottom w:val="single" w:color="auto" w:sz="4" w:space="0"/>
                    <w:right w:val="nil"/>
                  </w:tcBorders>
                  <w:vAlign w:val="center"/>
                </w:tcPr>
                <w:p w14:paraId="316A5A61">
                  <w:pPr>
                    <w:pStyle w:val="35"/>
                    <w:rPr>
                      <w:rFonts w:hint="default" w:cs="Times New Roman"/>
                      <w:color w:val="0000FF"/>
                      <w:lang w:val="en-US" w:eastAsia="zh-CN"/>
                    </w:rPr>
                  </w:pPr>
                  <w:r>
                    <w:rPr>
                      <w:rFonts w:hint="eastAsia" w:cs="Times New Roman"/>
                      <w:color w:val="0000FF"/>
                      <w:lang w:val="en-US" w:eastAsia="zh-CN"/>
                    </w:rPr>
                    <w:t>0.1</w:t>
                  </w:r>
                </w:p>
              </w:tc>
            </w:tr>
            <w:tr w14:paraId="0D36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1" w:type="pct"/>
                  <w:gridSpan w:val="3"/>
                  <w:tcBorders>
                    <w:top w:val="single" w:color="auto" w:sz="4" w:space="0"/>
                    <w:left w:val="nil"/>
                    <w:bottom w:val="single" w:color="auto" w:sz="12" w:space="0"/>
                    <w:right w:val="single" w:color="auto" w:sz="4" w:space="0"/>
                  </w:tcBorders>
                  <w:vAlign w:val="center"/>
                </w:tcPr>
                <w:p w14:paraId="55994C73">
                  <w:pPr>
                    <w:pStyle w:val="35"/>
                    <w:rPr>
                      <w:rFonts w:hint="default" w:ascii="Times New Roman" w:hAnsi="Times New Roman" w:cs="Times New Roman"/>
                      <w:color w:val="0000FF"/>
                    </w:rPr>
                  </w:pPr>
                  <w:r>
                    <w:rPr>
                      <w:rFonts w:hint="default" w:ascii="Times New Roman" w:hAnsi="Times New Roman" w:cs="Times New Roman"/>
                      <w:color w:val="0000FF"/>
                    </w:rPr>
                    <w:t>合计</w:t>
                  </w:r>
                </w:p>
              </w:tc>
              <w:tc>
                <w:tcPr>
                  <w:tcW w:w="978" w:type="pct"/>
                  <w:tcBorders>
                    <w:top w:val="single" w:color="auto" w:sz="4" w:space="0"/>
                    <w:left w:val="nil"/>
                    <w:bottom w:val="single" w:color="auto" w:sz="12" w:space="0"/>
                    <w:right w:val="nil"/>
                  </w:tcBorders>
                  <w:vAlign w:val="center"/>
                </w:tcPr>
                <w:p w14:paraId="50277DFF">
                  <w:pPr>
                    <w:pStyle w:val="35"/>
                    <w:rPr>
                      <w:rFonts w:hint="default" w:ascii="Times New Roman" w:hAnsi="Times New Roman" w:cs="Times New Roman"/>
                      <w:color w:val="0000FF"/>
                      <w:lang w:val="en-US" w:eastAsia="zh-CN"/>
                    </w:rPr>
                  </w:pPr>
                  <w:r>
                    <w:rPr>
                      <w:rFonts w:hint="eastAsia" w:cs="Times New Roman"/>
                      <w:color w:val="0000FF"/>
                      <w:lang w:val="en-US" w:eastAsia="zh-CN"/>
                    </w:rPr>
                    <w:t>3</w:t>
                  </w:r>
                </w:p>
              </w:tc>
            </w:tr>
          </w:tbl>
          <w:p w14:paraId="1EDF975D">
            <w:pPr>
              <w:pStyle w:val="3"/>
              <w:ind w:firstLine="0" w:firstLineChars="0"/>
              <w:jc w:val="both"/>
              <w:rPr>
                <w:rFonts w:hint="default" w:ascii="Times New Roman" w:hAnsi="Times New Roman" w:cs="Times New Roman"/>
                <w:color w:val="000000" w:themeColor="text1"/>
                <w14:textFill>
                  <w14:solidFill>
                    <w14:schemeClr w14:val="tx1"/>
                  </w14:solidFill>
                </w14:textFill>
              </w:rPr>
            </w:pPr>
          </w:p>
          <w:p w14:paraId="09DC73DE">
            <w:pPr>
              <w:pStyle w:val="3"/>
              <w:ind w:firstLine="0" w:firstLineChars="0"/>
              <w:jc w:val="both"/>
              <w:rPr>
                <w:rFonts w:hint="default" w:ascii="Times New Roman" w:hAnsi="Times New Roman" w:eastAsia="宋体" w:cs="Times New Roman"/>
                <w:color w:val="000000" w:themeColor="text1"/>
                <w:lang w:val="en-US" w:eastAsia="zh-CN"/>
                <w14:textFill>
                  <w14:solidFill>
                    <w14:schemeClr w14:val="tx1"/>
                  </w14:solidFill>
                </w14:textFill>
              </w:rPr>
            </w:pPr>
          </w:p>
          <w:p w14:paraId="24A20420">
            <w:pPr>
              <w:pStyle w:val="3"/>
              <w:ind w:firstLine="0" w:firstLineChars="0"/>
              <w:jc w:val="both"/>
              <w:rPr>
                <w:rFonts w:hint="default" w:ascii="Times New Roman" w:hAnsi="Times New Roman" w:eastAsia="宋体" w:cs="Times New Roman"/>
                <w:color w:val="000000" w:themeColor="text1"/>
                <w:lang w:val="en-US" w:eastAsia="zh-CN"/>
                <w14:textFill>
                  <w14:solidFill>
                    <w14:schemeClr w14:val="tx1"/>
                  </w14:solidFill>
                </w14:textFill>
              </w:rPr>
            </w:pPr>
          </w:p>
          <w:p w14:paraId="759BA0A4">
            <w:pPr>
              <w:pStyle w:val="3"/>
              <w:ind w:firstLine="0" w:firstLineChars="0"/>
              <w:jc w:val="both"/>
              <w:rPr>
                <w:rFonts w:hint="default" w:ascii="Times New Roman" w:hAnsi="Times New Roman" w:eastAsia="宋体" w:cs="Times New Roman"/>
                <w:color w:val="000000" w:themeColor="text1"/>
                <w:lang w:val="en-US" w:eastAsia="zh-CN"/>
                <w14:textFill>
                  <w14:solidFill>
                    <w14:schemeClr w14:val="tx1"/>
                  </w14:solidFill>
                </w14:textFill>
              </w:rPr>
            </w:pPr>
          </w:p>
          <w:p w14:paraId="07C2149E">
            <w:pPr>
              <w:pStyle w:val="3"/>
              <w:ind w:firstLine="0" w:firstLineChars="0"/>
              <w:jc w:val="both"/>
              <w:rPr>
                <w:rFonts w:hint="default" w:ascii="Times New Roman" w:hAnsi="Times New Roman" w:eastAsia="宋体" w:cs="Times New Roman"/>
                <w:color w:val="000000" w:themeColor="text1"/>
                <w:lang w:val="en-US" w:eastAsia="zh-CN"/>
                <w14:textFill>
                  <w14:solidFill>
                    <w14:schemeClr w14:val="tx1"/>
                  </w14:solidFill>
                </w14:textFill>
              </w:rPr>
            </w:pPr>
          </w:p>
          <w:p w14:paraId="634FED4F">
            <w:pPr>
              <w:pStyle w:val="3"/>
              <w:ind w:firstLine="0" w:firstLineChars="0"/>
              <w:jc w:val="both"/>
              <w:rPr>
                <w:rFonts w:hint="default" w:ascii="Times New Roman" w:hAnsi="Times New Roman" w:eastAsia="宋体" w:cs="Times New Roman"/>
                <w:color w:val="000000" w:themeColor="text1"/>
                <w:lang w:val="en-US" w:eastAsia="zh-CN"/>
                <w14:textFill>
                  <w14:solidFill>
                    <w14:schemeClr w14:val="tx1"/>
                  </w14:solidFill>
                </w14:textFill>
              </w:rPr>
            </w:pPr>
          </w:p>
          <w:p w14:paraId="0AFC2F15">
            <w:pPr>
              <w:pStyle w:val="3"/>
              <w:ind w:firstLine="0" w:firstLineChars="0"/>
              <w:jc w:val="both"/>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6DB8B789">
      <w:pPr>
        <w:jc w:val="both"/>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A4729AA">
      <w:pPr>
        <w:pStyle w:val="4"/>
        <w:numPr>
          <w:ilvl w:val="0"/>
          <w:numId w:val="0"/>
        </w:numPr>
        <w:jc w:val="center"/>
        <w:rPr>
          <w:rFonts w:hint="eastAsia" w:ascii="黑体" w:hAnsi="黑体" w:eastAsia="黑体" w:cs="黑体"/>
          <w:b w:val="0"/>
          <w:bCs/>
        </w:rPr>
      </w:pPr>
      <w:bookmarkStart w:id="4" w:name="_Hlk54167917"/>
      <w:r>
        <w:rPr>
          <w:rFonts w:hint="eastAsia" w:ascii="黑体" w:hAnsi="黑体" w:eastAsia="黑体" w:cs="黑体"/>
          <w:b w:val="0"/>
          <w:bCs/>
          <w:kern w:val="44"/>
          <w:sz w:val="30"/>
          <w:szCs w:val="24"/>
          <w:lang w:val="en-US" w:eastAsia="zh-CN" w:bidi="ar-SA"/>
        </w:rPr>
        <w:t>五、</w:t>
      </w:r>
      <w:r>
        <w:rPr>
          <w:rFonts w:hint="eastAsia" w:ascii="黑体" w:hAnsi="黑体" w:eastAsia="黑体" w:cs="黑体"/>
          <w:b w:val="0"/>
          <w:bCs/>
        </w:rPr>
        <w:t>环境保护措施监督检查清单</w:t>
      </w:r>
      <w:bookmarkEnd w:id="4"/>
    </w:p>
    <w:tbl>
      <w:tblPr>
        <w:tblStyle w:val="26"/>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85"/>
        <w:gridCol w:w="1760"/>
        <w:gridCol w:w="1653"/>
        <w:gridCol w:w="1849"/>
        <w:gridCol w:w="2370"/>
      </w:tblGrid>
      <w:tr w14:paraId="06194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3" w:hRule="atLeast"/>
        </w:trPr>
        <w:tc>
          <w:tcPr>
            <w:tcW w:w="520" w:type="pct"/>
            <w:tcBorders>
              <w:tl2br w:val="single" w:color="auto" w:sz="8" w:space="0"/>
            </w:tcBorders>
            <w:vAlign w:val="center"/>
          </w:tcPr>
          <w:p w14:paraId="69F1B7C5">
            <w:pPr>
              <w:jc w:val="center"/>
              <w:rPr>
                <w:rFonts w:hint="default"/>
                <w:b w:val="0"/>
                <w:bCs/>
                <w:color w:val="000000" w:themeColor="text1"/>
                <w:lang w:val="en-US"/>
                <w14:textFill>
                  <w14:solidFill>
                    <w14:schemeClr w14:val="tx1"/>
                  </w14:solidFill>
                </w14:textFill>
              </w:rPr>
            </w:pPr>
            <w:r>
              <w:rPr>
                <w:rFonts w:hint="eastAsia"/>
                <w:b w:val="0"/>
                <w:bCs/>
                <w:color w:val="000000" w:themeColor="text1"/>
                <w:lang w:val="en-US" w:eastAsia="zh-CN"/>
                <w14:textFill>
                  <w14:solidFill>
                    <w14:schemeClr w14:val="tx1"/>
                  </w14:solidFill>
                </w14:textFill>
              </w:rPr>
              <w:t xml:space="preserve"> 内容</w:t>
            </w:r>
          </w:p>
          <w:p w14:paraId="1E1CF2BA">
            <w:pPr>
              <w:jc w:val="both"/>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要素</w:t>
            </w:r>
          </w:p>
        </w:tc>
        <w:tc>
          <w:tcPr>
            <w:tcW w:w="1033" w:type="pct"/>
            <w:tcBorders>
              <w:tl2br w:val="nil"/>
              <w:tr2bl w:val="nil"/>
            </w:tcBorders>
            <w:vAlign w:val="center"/>
          </w:tcPr>
          <w:p w14:paraId="5FF7F74C">
            <w:pPr>
              <w:jc w:val="center"/>
              <w:rPr>
                <w:b w:val="0"/>
                <w:bCs/>
                <w:color w:val="000000" w:themeColor="text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排放口</w:t>
            </w:r>
            <w:r>
              <w:rPr>
                <w:rFonts w:hint="eastAsia" w:ascii="宋体" w:hAnsi="宋体" w:cs="宋体"/>
                <w:b w:val="0"/>
                <w:bCs/>
                <w:color w:val="000000" w:themeColor="text1"/>
                <w:szCs w:val="21"/>
                <w:lang w:eastAsia="zh-CN"/>
                <w14:textFill>
                  <w14:solidFill>
                    <w14:schemeClr w14:val="tx1"/>
                  </w14:solidFill>
                </w14:textFill>
              </w:rPr>
              <w:t>（</w:t>
            </w:r>
            <w:r>
              <w:rPr>
                <w:rFonts w:hint="eastAsia" w:ascii="宋体" w:hAnsi="宋体" w:cs="宋体"/>
                <w:b w:val="0"/>
                <w:bCs/>
                <w:color w:val="000000" w:themeColor="text1"/>
                <w:szCs w:val="21"/>
                <w14:textFill>
                  <w14:solidFill>
                    <w14:schemeClr w14:val="tx1"/>
                  </w14:solidFill>
                </w14:textFill>
              </w:rPr>
              <w:t>编号、名称</w:t>
            </w:r>
            <w:r>
              <w:rPr>
                <w:rFonts w:hint="eastAsia" w:ascii="宋体" w:hAnsi="宋体" w:cs="宋体"/>
                <w:b w:val="0"/>
                <w:bCs/>
                <w:color w:val="000000" w:themeColor="text1"/>
                <w:szCs w:val="21"/>
                <w:lang w:eastAsia="zh-CN"/>
                <w14:textFill>
                  <w14:solidFill>
                    <w14:schemeClr w14:val="tx1"/>
                  </w14:solidFill>
                </w14:textFill>
              </w:rPr>
              <w:t>）</w:t>
            </w:r>
            <w:r>
              <w:rPr>
                <w:rFonts w:hint="eastAsia" w:ascii="宋体" w:hAnsi="宋体" w:cs="宋体"/>
                <w:b w:val="0"/>
                <w:bCs/>
                <w:color w:val="000000" w:themeColor="text1"/>
                <w:szCs w:val="21"/>
                <w14:textFill>
                  <w14:solidFill>
                    <w14:schemeClr w14:val="tx1"/>
                  </w14:solidFill>
                </w14:textFill>
              </w:rPr>
              <w:t>/污染源</w:t>
            </w:r>
          </w:p>
        </w:tc>
        <w:tc>
          <w:tcPr>
            <w:tcW w:w="970" w:type="pct"/>
            <w:tcBorders>
              <w:tl2br w:val="nil"/>
              <w:tr2bl w:val="nil"/>
            </w:tcBorders>
            <w:vAlign w:val="center"/>
          </w:tcPr>
          <w:p w14:paraId="382D8680">
            <w:pPr>
              <w:jc w:val="center"/>
              <w:rPr>
                <w:b w:val="0"/>
                <w:bCs/>
                <w:color w:val="000000" w:themeColor="text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污染物项目</w:t>
            </w:r>
          </w:p>
        </w:tc>
        <w:tc>
          <w:tcPr>
            <w:tcW w:w="1085" w:type="pct"/>
            <w:tcBorders>
              <w:tl2br w:val="nil"/>
              <w:tr2bl w:val="nil"/>
            </w:tcBorders>
            <w:vAlign w:val="center"/>
          </w:tcPr>
          <w:p w14:paraId="538ADFAD">
            <w:pPr>
              <w:jc w:val="center"/>
              <w:rPr>
                <w:b w:val="0"/>
                <w:bCs/>
                <w:color w:val="000000" w:themeColor="text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环境保护措施</w:t>
            </w:r>
          </w:p>
        </w:tc>
        <w:tc>
          <w:tcPr>
            <w:tcW w:w="1390" w:type="pct"/>
            <w:tcBorders>
              <w:tl2br w:val="nil"/>
              <w:tr2bl w:val="nil"/>
            </w:tcBorders>
            <w:vAlign w:val="center"/>
          </w:tcPr>
          <w:p w14:paraId="7617B944">
            <w:pPr>
              <w:jc w:val="center"/>
              <w:rPr>
                <w:b w:val="0"/>
                <w:bCs/>
                <w:color w:val="000000" w:themeColor="text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执行标准</w:t>
            </w:r>
          </w:p>
        </w:tc>
      </w:tr>
      <w:tr w14:paraId="3511F9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6" w:hRule="atLeast"/>
        </w:trPr>
        <w:tc>
          <w:tcPr>
            <w:tcW w:w="520" w:type="pct"/>
            <w:tcBorders>
              <w:tl2br w:val="nil"/>
              <w:tr2bl w:val="nil"/>
            </w:tcBorders>
            <w:vAlign w:val="center"/>
          </w:tcPr>
          <w:p w14:paraId="1E87818B">
            <w:pPr>
              <w:jc w:val="center"/>
              <w:rPr>
                <w:b w:val="0"/>
                <w:bCs/>
                <w:color w:val="000000" w:themeColor="text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大气环境</w:t>
            </w:r>
          </w:p>
        </w:tc>
        <w:tc>
          <w:tcPr>
            <w:tcW w:w="1033" w:type="pct"/>
            <w:tcBorders>
              <w:tl2br w:val="nil"/>
              <w:tr2bl w:val="nil"/>
            </w:tcBorders>
            <w:vAlign w:val="center"/>
          </w:tcPr>
          <w:p w14:paraId="2EE8BF07">
            <w:pPr>
              <w:jc w:val="center"/>
              <w:rPr>
                <w:rFonts w:cs="Times New Roman"/>
                <w:color w:val="000000" w:themeColor="text1"/>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宠物自身异味、污水处理设施异味、医疗废物暂存间异味</w:t>
            </w:r>
          </w:p>
        </w:tc>
        <w:tc>
          <w:tcPr>
            <w:tcW w:w="970" w:type="pct"/>
            <w:tcBorders>
              <w:tl2br w:val="nil"/>
              <w:tr2bl w:val="nil"/>
            </w:tcBorders>
            <w:vAlign w:val="center"/>
          </w:tcPr>
          <w:p w14:paraId="2C1303AD">
            <w:pPr>
              <w:jc w:val="center"/>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臭气浓度</w:t>
            </w:r>
          </w:p>
        </w:tc>
        <w:tc>
          <w:tcPr>
            <w:tcW w:w="1085" w:type="pct"/>
            <w:tcBorders>
              <w:tl2br w:val="nil"/>
              <w:tr2bl w:val="nil"/>
            </w:tcBorders>
            <w:vAlign w:val="center"/>
          </w:tcPr>
          <w:p w14:paraId="00FA8A30">
            <w:pPr>
              <w:jc w:val="both"/>
              <w:rPr>
                <w:rFonts w:hint="eastAsia" w:eastAsia="宋体" w:cs="Times New Roman"/>
                <w:b w:val="0"/>
                <w:bCs/>
                <w:color w:val="000000" w:themeColor="text1"/>
                <w:lang w:eastAsia="zh-CN"/>
                <w14:textFill>
                  <w14:solidFill>
                    <w14:schemeClr w14:val="tx1"/>
                  </w14:solidFill>
                </w14:textFill>
              </w:rPr>
            </w:pPr>
            <w:r>
              <w:rPr>
                <w:rFonts w:hint="eastAsia" w:cs="Times New Roman"/>
                <w:b w:val="0"/>
                <w:bCs/>
                <w:color w:val="000000" w:themeColor="text1"/>
                <w14:textFill>
                  <w14:solidFill>
                    <w14:schemeClr w14:val="tx1"/>
                  </w14:solidFill>
                </w14:textFill>
              </w:rPr>
              <w:t>加强通风和定期消毒处理</w:t>
            </w:r>
          </w:p>
        </w:tc>
        <w:tc>
          <w:tcPr>
            <w:tcW w:w="1390" w:type="pct"/>
            <w:tcBorders>
              <w:tl2br w:val="nil"/>
              <w:tr2bl w:val="nil"/>
            </w:tcBorders>
            <w:vAlign w:val="center"/>
          </w:tcPr>
          <w:p w14:paraId="22242D39">
            <w:pPr>
              <w:pStyle w:val="42"/>
              <w:jc w:val="center"/>
              <w:rPr>
                <w:rFonts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恶臭污染物排放标准》</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GB14554-93</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14:textFill>
                  <w14:solidFill>
                    <w14:schemeClr w14:val="tx1"/>
                  </w14:solidFill>
                </w14:textFill>
              </w:rPr>
              <w:t>中表1中相关标准限值</w:t>
            </w:r>
          </w:p>
        </w:tc>
      </w:tr>
      <w:tr w14:paraId="67A19C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trPr>
        <w:tc>
          <w:tcPr>
            <w:tcW w:w="520" w:type="pct"/>
            <w:vMerge w:val="restart"/>
            <w:tcBorders>
              <w:tl2br w:val="nil"/>
              <w:tr2bl w:val="nil"/>
            </w:tcBorders>
            <w:vAlign w:val="center"/>
          </w:tcPr>
          <w:p w14:paraId="2CDC7739">
            <w:pPr>
              <w:jc w:val="center"/>
              <w:rPr>
                <w:rFonts w:ascii="宋体" w:hAnsi="宋体" w:cs="宋体"/>
                <w:b w:val="0"/>
                <w:bCs/>
                <w:color w:val="000000" w:themeColor="text1"/>
                <w:sz w:val="2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地表水环境</w:t>
            </w:r>
          </w:p>
        </w:tc>
        <w:tc>
          <w:tcPr>
            <w:tcW w:w="1033" w:type="pct"/>
            <w:tcBorders>
              <w:tl2br w:val="nil"/>
              <w:tr2bl w:val="nil"/>
            </w:tcBorders>
            <w:vAlign w:val="center"/>
          </w:tcPr>
          <w:p w14:paraId="311000FD">
            <w:pPr>
              <w:jc w:val="center"/>
              <w:rPr>
                <w:rFonts w:cs="Times New Roman"/>
                <w:b w:val="0"/>
                <w:bCs/>
                <w:color w:val="000000" w:themeColor="text1"/>
                <w14:textFill>
                  <w14:solidFill>
                    <w14:schemeClr w14:val="tx1"/>
                  </w14:solidFill>
                </w14:textFill>
              </w:rPr>
            </w:pPr>
            <w:r>
              <w:rPr>
                <w:rFonts w:hint="eastAsia" w:cs="Times New Roman"/>
                <w:b w:val="0"/>
                <w:bCs/>
                <w:color w:val="000000" w:themeColor="text1"/>
                <w:lang w:eastAsia="zh-CN"/>
                <w14:textFill>
                  <w14:solidFill>
                    <w14:schemeClr w14:val="tx1"/>
                  </w14:solidFill>
                </w14:textFill>
              </w:rPr>
              <w:t>医疗</w:t>
            </w:r>
            <w:r>
              <w:rPr>
                <w:rFonts w:hint="eastAsia" w:cs="Times New Roman"/>
                <w:b w:val="0"/>
                <w:bCs/>
                <w:color w:val="000000" w:themeColor="text1"/>
                <w14:textFill>
                  <w14:solidFill>
                    <w14:schemeClr w14:val="tx1"/>
                  </w14:solidFill>
                </w14:textFill>
              </w:rPr>
              <w:t>废水</w:t>
            </w:r>
          </w:p>
        </w:tc>
        <w:tc>
          <w:tcPr>
            <w:tcW w:w="970" w:type="pct"/>
            <w:tcBorders>
              <w:tl2br w:val="nil"/>
              <w:tr2bl w:val="nil"/>
            </w:tcBorders>
            <w:vAlign w:val="center"/>
          </w:tcPr>
          <w:p w14:paraId="2E0A22F2">
            <w:pPr>
              <w:jc w:val="center"/>
              <w:rPr>
                <w:rFonts w:hint="default"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pH、COD</w:t>
            </w:r>
            <w:r>
              <w:rPr>
                <w:rFonts w:hint="eastAsia" w:cs="Times New Roman"/>
                <w:b w:val="0"/>
                <w:bCs/>
                <w:color w:val="000000" w:themeColor="text1"/>
                <w:vertAlign w:val="subscript"/>
                <w:lang w:val="en-US" w:eastAsia="zh-CN"/>
                <w14:textFill>
                  <w14:solidFill>
                    <w14:schemeClr w14:val="tx1"/>
                  </w14:solidFill>
                </w14:textFill>
              </w:rPr>
              <w:t>cr</w:t>
            </w:r>
            <w:r>
              <w:rPr>
                <w:rFonts w:hint="eastAsia" w:cs="Times New Roman"/>
                <w:b w:val="0"/>
                <w:bCs/>
                <w:color w:val="000000" w:themeColor="text1"/>
                <w:lang w:val="en-US" w:eastAsia="zh-CN"/>
                <w14:textFill>
                  <w14:solidFill>
                    <w14:schemeClr w14:val="tx1"/>
                  </w14:solidFill>
                </w14:textFill>
              </w:rPr>
              <w:t>、SS、粪大肠菌群、BOD</w:t>
            </w:r>
            <w:r>
              <w:rPr>
                <w:rFonts w:hint="eastAsia" w:cs="Times New Roman"/>
                <w:b w:val="0"/>
                <w:bCs/>
                <w:color w:val="000000" w:themeColor="text1"/>
                <w:vertAlign w:val="subscript"/>
                <w:lang w:val="en-US" w:eastAsia="zh-CN"/>
                <w14:textFill>
                  <w14:solidFill>
                    <w14:schemeClr w14:val="tx1"/>
                  </w14:solidFill>
                </w14:textFill>
              </w:rPr>
              <w:t>5</w:t>
            </w:r>
            <w:r>
              <w:rPr>
                <w:rFonts w:hint="eastAsia" w:cs="Times New Roman"/>
                <w:b w:val="0"/>
                <w:bCs/>
                <w:color w:val="000000" w:themeColor="text1"/>
                <w:lang w:val="en-US" w:eastAsia="zh-CN"/>
                <w14:textFill>
                  <w14:solidFill>
                    <w14:schemeClr w14:val="tx1"/>
                  </w14:solidFill>
                </w14:textFill>
              </w:rPr>
              <w:t>、NH</w:t>
            </w:r>
            <w:r>
              <w:rPr>
                <w:rFonts w:hint="eastAsia" w:cs="Times New Roman"/>
                <w:b w:val="0"/>
                <w:bCs/>
                <w:color w:val="000000" w:themeColor="text1"/>
                <w:vertAlign w:val="subscript"/>
                <w:lang w:val="en-US" w:eastAsia="zh-CN"/>
                <w14:textFill>
                  <w14:solidFill>
                    <w14:schemeClr w14:val="tx1"/>
                  </w14:solidFill>
                </w14:textFill>
              </w:rPr>
              <w:t>3</w:t>
            </w:r>
            <w:r>
              <w:rPr>
                <w:rFonts w:hint="eastAsia" w:cs="Times New Roman"/>
                <w:b w:val="0"/>
                <w:bCs/>
                <w:color w:val="000000" w:themeColor="text1"/>
                <w:lang w:val="en-US" w:eastAsia="zh-CN"/>
                <w14:textFill>
                  <w14:solidFill>
                    <w14:schemeClr w14:val="tx1"/>
                  </w14:solidFill>
                </w14:textFill>
              </w:rPr>
              <w:t>-N</w:t>
            </w:r>
          </w:p>
        </w:tc>
        <w:tc>
          <w:tcPr>
            <w:tcW w:w="1085" w:type="pct"/>
            <w:tcBorders>
              <w:tl2br w:val="nil"/>
              <w:tr2bl w:val="nil"/>
            </w:tcBorders>
            <w:vAlign w:val="center"/>
          </w:tcPr>
          <w:p w14:paraId="0B7C10F9">
            <w:pPr>
              <w:jc w:val="center"/>
              <w:rPr>
                <w:rFonts w:hint="eastAsia"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14:textFill>
                  <w14:solidFill>
                    <w14:schemeClr w14:val="tx1"/>
                  </w14:solidFill>
                </w14:textFill>
              </w:rPr>
              <w:t>污水处理设施消毒处理后排入市政</w:t>
            </w:r>
            <w:r>
              <w:rPr>
                <w:rFonts w:hint="eastAsia" w:cs="Times New Roman"/>
                <w:b w:val="0"/>
                <w:bCs/>
                <w:color w:val="000000" w:themeColor="text1"/>
                <w:lang w:val="en-US" w:eastAsia="zh-CN"/>
                <w14:textFill>
                  <w14:solidFill>
                    <w14:schemeClr w14:val="tx1"/>
                  </w14:solidFill>
                </w14:textFill>
              </w:rPr>
              <w:t>管网</w:t>
            </w:r>
          </w:p>
        </w:tc>
        <w:tc>
          <w:tcPr>
            <w:tcW w:w="1390" w:type="pct"/>
            <w:tcBorders>
              <w:tl2br w:val="nil"/>
              <w:tr2bl w:val="nil"/>
            </w:tcBorders>
            <w:vAlign w:val="center"/>
          </w:tcPr>
          <w:p w14:paraId="7792CF1C">
            <w:pPr>
              <w:jc w:val="center"/>
              <w:rPr>
                <w:rFonts w:cs="Times New Roman"/>
                <w:b w:val="0"/>
                <w:bCs/>
                <w:color w:val="000000" w:themeColor="text1"/>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参照执行</w:t>
            </w:r>
            <w:r>
              <w:rPr>
                <w:rFonts w:hint="eastAsia" w:cs="Times New Roman"/>
                <w:b w:val="0"/>
                <w:bCs/>
                <w:color w:val="000000" w:themeColor="text1"/>
                <w:lang w:eastAsia="zh-CN"/>
                <w14:textFill>
                  <w14:solidFill>
                    <w14:schemeClr w14:val="tx1"/>
                  </w14:solidFill>
                </w14:textFill>
              </w:rPr>
              <w:t>《</w:t>
            </w:r>
            <w:r>
              <w:rPr>
                <w:rFonts w:hint="eastAsia" w:cs="Times New Roman"/>
                <w:b w:val="0"/>
                <w:bCs/>
                <w:color w:val="000000" w:themeColor="text1"/>
                <w14:textFill>
                  <w14:solidFill>
                    <w14:schemeClr w14:val="tx1"/>
                  </w14:solidFill>
                </w14:textFill>
              </w:rPr>
              <w:t>医疗机构水污染物排放标准》</w:t>
            </w:r>
            <w:r>
              <w:rPr>
                <w:rFonts w:hint="eastAsia" w:cs="Times New Roman"/>
                <w:b w:val="0"/>
                <w:bCs/>
                <w:color w:val="000000" w:themeColor="text1"/>
                <w:lang w:eastAsia="zh-CN"/>
                <w14:textFill>
                  <w14:solidFill>
                    <w14:schemeClr w14:val="tx1"/>
                  </w14:solidFill>
                </w14:textFill>
              </w:rPr>
              <w:t>（</w:t>
            </w:r>
            <w:r>
              <w:rPr>
                <w:rFonts w:hint="eastAsia" w:cs="Times New Roman"/>
                <w:b w:val="0"/>
                <w:bCs/>
                <w:color w:val="000000" w:themeColor="text1"/>
                <w14:textFill>
                  <w14:solidFill>
                    <w14:schemeClr w14:val="tx1"/>
                  </w14:solidFill>
                </w14:textFill>
              </w:rPr>
              <w:t>GB18466-2005</w:t>
            </w:r>
            <w:r>
              <w:rPr>
                <w:rFonts w:hint="eastAsia" w:cs="Times New Roman"/>
                <w:b w:val="0"/>
                <w:bCs/>
                <w:color w:val="000000" w:themeColor="text1"/>
                <w:lang w:eastAsia="zh-CN"/>
                <w14:textFill>
                  <w14:solidFill>
                    <w14:schemeClr w14:val="tx1"/>
                  </w14:solidFill>
                </w14:textFill>
              </w:rPr>
              <w:t>）</w:t>
            </w:r>
            <w:r>
              <w:rPr>
                <w:rFonts w:hint="eastAsia" w:cs="Times New Roman"/>
                <w:b w:val="0"/>
                <w:bCs/>
                <w:color w:val="000000" w:themeColor="text1"/>
                <w14:textFill>
                  <w14:solidFill>
                    <w14:schemeClr w14:val="tx1"/>
                  </w14:solidFill>
                </w14:textFill>
              </w:rPr>
              <w:t>表2 预处理标准</w:t>
            </w:r>
          </w:p>
        </w:tc>
      </w:tr>
      <w:tr w14:paraId="5608F7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trPr>
        <w:tc>
          <w:tcPr>
            <w:tcW w:w="520" w:type="pct"/>
            <w:vMerge w:val="continue"/>
            <w:tcBorders>
              <w:tl2br w:val="nil"/>
              <w:tr2bl w:val="nil"/>
            </w:tcBorders>
            <w:vAlign w:val="center"/>
          </w:tcPr>
          <w:p w14:paraId="7B801D9C">
            <w:pPr>
              <w:jc w:val="center"/>
              <w:rPr>
                <w:rFonts w:hint="eastAsia" w:ascii="宋体" w:hAnsi="宋体" w:cs="宋体"/>
                <w:b w:val="0"/>
                <w:bCs/>
                <w:color w:val="000000" w:themeColor="text1"/>
                <w:szCs w:val="21"/>
                <w14:textFill>
                  <w14:solidFill>
                    <w14:schemeClr w14:val="tx1"/>
                  </w14:solidFill>
                </w14:textFill>
              </w:rPr>
            </w:pPr>
          </w:p>
        </w:tc>
        <w:tc>
          <w:tcPr>
            <w:tcW w:w="1033" w:type="pct"/>
            <w:tcBorders>
              <w:tl2br w:val="nil"/>
              <w:tr2bl w:val="nil"/>
            </w:tcBorders>
            <w:vAlign w:val="center"/>
          </w:tcPr>
          <w:p w14:paraId="3AD70DBF">
            <w:pPr>
              <w:jc w:val="center"/>
              <w:rPr>
                <w:rFonts w:hint="eastAsia"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其他废水</w:t>
            </w:r>
          </w:p>
        </w:tc>
        <w:tc>
          <w:tcPr>
            <w:tcW w:w="970" w:type="pct"/>
            <w:tcBorders>
              <w:tl2br w:val="nil"/>
              <w:tr2bl w:val="nil"/>
            </w:tcBorders>
            <w:vAlign w:val="center"/>
          </w:tcPr>
          <w:p w14:paraId="34EF1FD0">
            <w:pPr>
              <w:jc w:val="center"/>
              <w:rPr>
                <w:rFonts w:hint="default" w:cs="Times New Roman"/>
                <w:b w:val="0"/>
                <w:bCs/>
                <w:color w:val="000000" w:themeColor="text1"/>
                <w:lang w:val="en-US"/>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pH、COD</w:t>
            </w:r>
            <w:r>
              <w:rPr>
                <w:rFonts w:hint="eastAsia" w:cs="Times New Roman"/>
                <w:b w:val="0"/>
                <w:bCs/>
                <w:color w:val="000000" w:themeColor="text1"/>
                <w:vertAlign w:val="subscript"/>
                <w:lang w:val="en-US" w:eastAsia="zh-CN"/>
                <w14:textFill>
                  <w14:solidFill>
                    <w14:schemeClr w14:val="tx1"/>
                  </w14:solidFill>
                </w14:textFill>
              </w:rPr>
              <w:t>cr</w:t>
            </w:r>
            <w:r>
              <w:rPr>
                <w:rFonts w:hint="eastAsia" w:cs="Times New Roman"/>
                <w:b w:val="0"/>
                <w:bCs/>
                <w:color w:val="000000" w:themeColor="text1"/>
                <w:lang w:val="en-US" w:eastAsia="zh-CN"/>
                <w14:textFill>
                  <w14:solidFill>
                    <w14:schemeClr w14:val="tx1"/>
                  </w14:solidFill>
                </w14:textFill>
              </w:rPr>
              <w:t>、SS、NH</w:t>
            </w:r>
            <w:r>
              <w:rPr>
                <w:rFonts w:hint="eastAsia" w:cs="Times New Roman"/>
                <w:b w:val="0"/>
                <w:bCs/>
                <w:color w:val="000000" w:themeColor="text1"/>
                <w:vertAlign w:val="subscript"/>
                <w:lang w:val="en-US" w:eastAsia="zh-CN"/>
                <w14:textFill>
                  <w14:solidFill>
                    <w14:schemeClr w14:val="tx1"/>
                  </w14:solidFill>
                </w14:textFill>
              </w:rPr>
              <w:t>3</w:t>
            </w:r>
            <w:r>
              <w:rPr>
                <w:rFonts w:hint="eastAsia" w:cs="Times New Roman"/>
                <w:b w:val="0"/>
                <w:bCs/>
                <w:color w:val="000000" w:themeColor="text1"/>
                <w:lang w:val="en-US" w:eastAsia="zh-CN"/>
                <w14:textFill>
                  <w14:solidFill>
                    <w14:schemeClr w14:val="tx1"/>
                  </w14:solidFill>
                </w14:textFill>
              </w:rPr>
              <w:t>-N</w:t>
            </w:r>
          </w:p>
        </w:tc>
        <w:tc>
          <w:tcPr>
            <w:tcW w:w="1085" w:type="pct"/>
            <w:tcBorders>
              <w:tl2br w:val="nil"/>
              <w:tr2bl w:val="nil"/>
            </w:tcBorders>
            <w:vAlign w:val="center"/>
          </w:tcPr>
          <w:p w14:paraId="543B5624">
            <w:pPr>
              <w:jc w:val="center"/>
              <w:rPr>
                <w:rFonts w:hint="eastAsia"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14:textFill>
                  <w14:solidFill>
                    <w14:schemeClr w14:val="tx1"/>
                  </w14:solidFill>
                </w14:textFill>
              </w:rPr>
              <w:t>排入市政</w:t>
            </w:r>
            <w:r>
              <w:rPr>
                <w:rFonts w:hint="eastAsia" w:cs="Times New Roman"/>
                <w:b w:val="0"/>
                <w:bCs/>
                <w:color w:val="000000" w:themeColor="text1"/>
                <w:lang w:val="en-US" w:eastAsia="zh-CN"/>
                <w14:textFill>
                  <w14:solidFill>
                    <w14:schemeClr w14:val="tx1"/>
                  </w14:solidFill>
                </w14:textFill>
              </w:rPr>
              <w:t>管网</w:t>
            </w:r>
          </w:p>
        </w:tc>
        <w:tc>
          <w:tcPr>
            <w:tcW w:w="1390" w:type="pct"/>
            <w:tcBorders>
              <w:tl2br w:val="nil"/>
              <w:tr2bl w:val="nil"/>
            </w:tcBorders>
            <w:vAlign w:val="center"/>
          </w:tcPr>
          <w:p w14:paraId="25E9984D">
            <w:pPr>
              <w:jc w:val="center"/>
              <w:rPr>
                <w:rFonts w:hint="default" w:eastAsia="宋体" w:cs="Times New Roman"/>
                <w:b w:val="0"/>
                <w:bCs/>
                <w:color w:val="000000" w:themeColor="text1"/>
                <w:lang w:val="en-US" w:eastAsia="zh-CN"/>
                <w14:textFill>
                  <w14:solidFill>
                    <w14:schemeClr w14:val="tx1"/>
                  </w14:solidFill>
                </w14:textFill>
              </w:rPr>
            </w:pPr>
            <w:r>
              <w:rPr>
                <w:rFonts w:hint="eastAsia" w:cs="Times New Roman"/>
                <w:b w:val="0"/>
                <w:bCs/>
                <w:color w:val="000000" w:themeColor="text1"/>
                <w:lang w:val="en-US" w:eastAsia="zh-CN"/>
                <w14:textFill>
                  <w14:solidFill>
                    <w14:schemeClr w14:val="tx1"/>
                  </w14:solidFill>
                </w14:textFill>
              </w:rPr>
              <w:t>/</w:t>
            </w:r>
          </w:p>
        </w:tc>
      </w:tr>
      <w:tr w14:paraId="040C25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75" w:hRule="atLeast"/>
        </w:trPr>
        <w:tc>
          <w:tcPr>
            <w:tcW w:w="520" w:type="pct"/>
            <w:tcBorders>
              <w:tl2br w:val="nil"/>
              <w:tr2bl w:val="nil"/>
            </w:tcBorders>
            <w:vAlign w:val="center"/>
          </w:tcPr>
          <w:p w14:paraId="52E69A33">
            <w:pPr>
              <w:jc w:val="center"/>
              <w:rPr>
                <w:rFonts w:ascii="宋体" w:hAnsi="宋体" w:cs="宋体"/>
                <w:b w:val="0"/>
                <w:bCs/>
                <w:color w:val="000000" w:themeColor="text1"/>
                <w:sz w:val="2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声环境</w:t>
            </w:r>
          </w:p>
        </w:tc>
        <w:tc>
          <w:tcPr>
            <w:tcW w:w="1033" w:type="pct"/>
            <w:tcBorders>
              <w:tl2br w:val="nil"/>
              <w:tr2bl w:val="nil"/>
            </w:tcBorders>
            <w:vAlign w:val="center"/>
          </w:tcPr>
          <w:p w14:paraId="7752494A">
            <w:pPr>
              <w:jc w:val="center"/>
              <w:rPr>
                <w:rFonts w:hint="default" w:eastAsia="宋体" w:cs="Times New Roman"/>
                <w:b w:val="0"/>
                <w:bCs/>
                <w:color w:val="000000" w:themeColor="text1"/>
                <w:lang w:val="en-US" w:eastAsia="zh-CN"/>
                <w14:textFill>
                  <w14:solidFill>
                    <w14:schemeClr w14:val="tx1"/>
                  </w14:solidFill>
                </w14:textFill>
              </w:rPr>
            </w:pPr>
            <w:r>
              <w:rPr>
                <w:rFonts w:cs="Times New Roman"/>
                <w:b w:val="0"/>
                <w:bCs/>
                <w:color w:val="000000" w:themeColor="text1"/>
                <w14:textFill>
                  <w14:solidFill>
                    <w14:schemeClr w14:val="tx1"/>
                  </w14:solidFill>
                </w14:textFill>
              </w:rPr>
              <w:t>厂界</w:t>
            </w:r>
            <w:r>
              <w:rPr>
                <w:rFonts w:hint="eastAsia" w:cs="Times New Roman"/>
                <w:b w:val="0"/>
                <w:bCs/>
                <w:color w:val="000000" w:themeColor="text1"/>
                <w:lang w:val="en-US" w:eastAsia="zh-CN"/>
                <w14:textFill>
                  <w14:solidFill>
                    <w14:schemeClr w14:val="tx1"/>
                  </w14:solidFill>
                </w14:textFill>
              </w:rPr>
              <w:t>东、南、西、北侧</w:t>
            </w:r>
          </w:p>
        </w:tc>
        <w:tc>
          <w:tcPr>
            <w:tcW w:w="970" w:type="pct"/>
            <w:tcBorders>
              <w:tl2br w:val="nil"/>
              <w:tr2bl w:val="nil"/>
            </w:tcBorders>
            <w:vAlign w:val="center"/>
          </w:tcPr>
          <w:p w14:paraId="72F954D1">
            <w:pPr>
              <w:jc w:val="center"/>
              <w:rPr>
                <w:rFonts w:cs="Times New Roman"/>
                <w:b w:val="0"/>
                <w:bCs/>
                <w:color w:val="000000" w:themeColor="text1"/>
                <w14:textFill>
                  <w14:solidFill>
                    <w14:schemeClr w14:val="tx1"/>
                  </w14:solidFill>
                </w14:textFill>
              </w:rPr>
            </w:pPr>
            <w:r>
              <w:rPr>
                <w:rFonts w:cs="Times New Roman"/>
                <w:b w:val="0"/>
                <w:bCs/>
                <w:color w:val="000000" w:themeColor="text1"/>
                <w14:textFill>
                  <w14:solidFill>
                    <w14:schemeClr w14:val="tx1"/>
                  </w14:solidFill>
                </w14:textFill>
              </w:rPr>
              <w:t>等效A声级</w:t>
            </w:r>
          </w:p>
        </w:tc>
        <w:tc>
          <w:tcPr>
            <w:tcW w:w="1085" w:type="pct"/>
            <w:tcBorders>
              <w:tl2br w:val="nil"/>
              <w:tr2bl w:val="nil"/>
            </w:tcBorders>
            <w:vAlign w:val="center"/>
          </w:tcPr>
          <w:p w14:paraId="46498485">
            <w:pPr>
              <w:jc w:val="center"/>
              <w:rPr>
                <w:rFonts w:cs="Times New Roman"/>
                <w:b w:val="0"/>
                <w:bCs/>
                <w:color w:val="000000" w:themeColor="text1"/>
                <w14:textFill>
                  <w14:solidFill>
                    <w14:schemeClr w14:val="tx1"/>
                  </w14:solidFill>
                </w14:textFill>
              </w:rPr>
            </w:pPr>
            <w:r>
              <w:rPr>
                <w:rFonts w:hint="default" w:cs="Times New Roman"/>
                <w:b w:val="0"/>
                <w:bCs/>
                <w:color w:val="000000" w:themeColor="text1"/>
                <w:lang w:val="en-US" w:eastAsia="zh-CN"/>
                <w14:textFill>
                  <w14:solidFill>
                    <w14:schemeClr w14:val="tx1"/>
                  </w14:solidFill>
                </w14:textFill>
              </w:rPr>
              <w:t>消声、减振加强设备维护</w:t>
            </w:r>
          </w:p>
        </w:tc>
        <w:tc>
          <w:tcPr>
            <w:tcW w:w="1390" w:type="pct"/>
            <w:tcBorders>
              <w:tl2br w:val="nil"/>
              <w:tr2bl w:val="nil"/>
            </w:tcBorders>
            <w:vAlign w:val="center"/>
          </w:tcPr>
          <w:p w14:paraId="650EDA59">
            <w:pPr>
              <w:jc w:val="center"/>
              <w:rPr>
                <w:rFonts w:cs="Times New Roman"/>
                <w:b w:val="0"/>
                <w:bCs/>
                <w:color w:val="000000" w:themeColor="text1"/>
                <w14:textFill>
                  <w14:solidFill>
                    <w14:schemeClr w14:val="tx1"/>
                  </w14:solidFill>
                </w14:textFill>
              </w:rPr>
            </w:pPr>
            <w:r>
              <w:rPr>
                <w:rFonts w:hint="eastAsia" w:cs="Times New Roman"/>
                <w:b w:val="0"/>
                <w:bCs/>
                <w:color w:val="000000" w:themeColor="text1"/>
                <w:lang w:eastAsia="zh-CN"/>
                <w14:textFill>
                  <w14:solidFill>
                    <w14:schemeClr w14:val="tx1"/>
                  </w14:solidFill>
                </w14:textFill>
              </w:rPr>
              <w:t>《工业企业厂界环境噪声排放标准》（</w:t>
            </w:r>
            <w:bookmarkStart w:id="5" w:name="_GoBack"/>
            <w:r>
              <w:rPr>
                <w:rFonts w:hint="eastAsia" w:cs="Times New Roman"/>
                <w:b w:val="0"/>
                <w:bCs/>
                <w:color w:val="000000" w:themeColor="text1"/>
                <w:lang w:eastAsia="zh-CN"/>
                <w14:textFill>
                  <w14:solidFill>
                    <w14:schemeClr w14:val="tx1"/>
                  </w14:solidFill>
                </w14:textFill>
              </w:rPr>
              <w:t>GB12348-2008</w:t>
            </w:r>
            <w:bookmarkEnd w:id="5"/>
            <w:r>
              <w:rPr>
                <w:rFonts w:hint="eastAsia" w:cs="Times New Roman"/>
                <w:b w:val="0"/>
                <w:bCs/>
                <w:color w:val="000000" w:themeColor="text1"/>
                <w:lang w:eastAsia="zh-CN"/>
                <w14:textFill>
                  <w14:solidFill>
                    <w14:schemeClr w14:val="tx1"/>
                  </w14:solidFill>
                </w14:textFill>
              </w:rPr>
              <w:t>）</w:t>
            </w:r>
            <w:r>
              <w:rPr>
                <w:rFonts w:cs="Times New Roman"/>
                <w:b w:val="0"/>
                <w:bCs/>
                <w:color w:val="000000" w:themeColor="text1"/>
                <w14:textFill>
                  <w14:solidFill>
                    <w14:schemeClr w14:val="tx1"/>
                  </w14:solidFill>
                </w14:textFill>
              </w:rPr>
              <w:t>中的</w:t>
            </w:r>
            <w:r>
              <w:rPr>
                <w:rFonts w:hint="eastAsia" w:cs="Times New Roman"/>
                <w:b w:val="0"/>
                <w:bCs/>
                <w:color w:val="000000" w:themeColor="text1"/>
                <w:lang w:val="en-US" w:eastAsia="zh-CN"/>
                <w14:textFill>
                  <w14:solidFill>
                    <w14:schemeClr w14:val="tx1"/>
                  </w14:solidFill>
                </w14:textFill>
              </w:rPr>
              <w:t>2</w:t>
            </w:r>
            <w:r>
              <w:rPr>
                <w:rFonts w:cs="Times New Roman"/>
                <w:b w:val="0"/>
                <w:bCs/>
                <w:color w:val="000000" w:themeColor="text1"/>
                <w14:textFill>
                  <w14:solidFill>
                    <w14:schemeClr w14:val="tx1"/>
                  </w14:solidFill>
                </w14:textFill>
              </w:rPr>
              <w:t>类</w:t>
            </w:r>
            <w:r>
              <w:rPr>
                <w:rFonts w:hint="eastAsia" w:cs="Times New Roman"/>
                <w:b w:val="0"/>
                <w:bCs/>
                <w:color w:val="000000" w:themeColor="text1"/>
                <w:lang w:eastAsia="zh-CN"/>
                <w14:textFill>
                  <w14:solidFill>
                    <w14:schemeClr w14:val="tx1"/>
                  </w14:solidFill>
                </w14:textFill>
              </w:rPr>
              <w:t>、</w:t>
            </w:r>
            <w:r>
              <w:rPr>
                <w:rFonts w:hint="eastAsia" w:cs="Times New Roman"/>
                <w:b w:val="0"/>
                <w:bCs/>
                <w:color w:val="000000" w:themeColor="text1"/>
                <w:lang w:val="en-US" w:eastAsia="zh-CN"/>
                <w14:textFill>
                  <w14:solidFill>
                    <w14:schemeClr w14:val="tx1"/>
                  </w14:solidFill>
                </w14:textFill>
              </w:rPr>
              <w:t>4类</w:t>
            </w:r>
            <w:r>
              <w:rPr>
                <w:rFonts w:cs="Times New Roman"/>
                <w:b w:val="0"/>
                <w:bCs/>
                <w:color w:val="000000" w:themeColor="text1"/>
                <w14:textFill>
                  <w14:solidFill>
                    <w14:schemeClr w14:val="tx1"/>
                  </w14:solidFill>
                </w14:textFill>
              </w:rPr>
              <w:t>标准要求</w:t>
            </w:r>
          </w:p>
        </w:tc>
      </w:tr>
      <w:tr w14:paraId="6B7776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2" w:hRule="atLeast"/>
        </w:trPr>
        <w:tc>
          <w:tcPr>
            <w:tcW w:w="520" w:type="pct"/>
            <w:tcBorders>
              <w:tl2br w:val="nil"/>
              <w:tr2bl w:val="nil"/>
            </w:tcBorders>
            <w:vAlign w:val="center"/>
          </w:tcPr>
          <w:p w14:paraId="75FE7176">
            <w:pPr>
              <w:jc w:val="center"/>
              <w:rPr>
                <w:rFonts w:ascii="宋体" w:hAnsi="宋体" w:cs="宋体"/>
                <w:b w:val="0"/>
                <w:bCs/>
                <w:color w:val="000000" w:themeColor="text1"/>
                <w:sz w:val="2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电磁辐射</w:t>
            </w:r>
          </w:p>
        </w:tc>
        <w:tc>
          <w:tcPr>
            <w:tcW w:w="4479" w:type="pct"/>
            <w:gridSpan w:val="4"/>
            <w:tcBorders>
              <w:tl2br w:val="nil"/>
              <w:tr2bl w:val="nil"/>
            </w:tcBorders>
            <w:vAlign w:val="center"/>
          </w:tcPr>
          <w:p w14:paraId="4E759474">
            <w:pPr>
              <w:jc w:val="center"/>
              <w:rPr>
                <w:rFonts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项目DR装置属于Ⅲ类射线装置，不在本次评价范围内</w:t>
            </w:r>
          </w:p>
        </w:tc>
      </w:tr>
      <w:tr w14:paraId="785895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7" w:hRule="atLeast"/>
        </w:trPr>
        <w:tc>
          <w:tcPr>
            <w:tcW w:w="520" w:type="pct"/>
            <w:tcBorders>
              <w:tl2br w:val="nil"/>
              <w:tr2bl w:val="nil"/>
            </w:tcBorders>
            <w:vAlign w:val="center"/>
          </w:tcPr>
          <w:p w14:paraId="74F8668D">
            <w:pPr>
              <w:jc w:val="center"/>
              <w:rPr>
                <w:rFonts w:ascii="宋体" w:hAnsi="宋体" w:cs="宋体"/>
                <w:b w:val="0"/>
                <w:bCs/>
                <w:color w:val="000000" w:themeColor="text1"/>
                <w:sz w:val="2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固体废物</w:t>
            </w:r>
          </w:p>
        </w:tc>
        <w:tc>
          <w:tcPr>
            <w:tcW w:w="4479" w:type="pct"/>
            <w:gridSpan w:val="4"/>
            <w:tcBorders>
              <w:tl2br w:val="nil"/>
              <w:tr2bl w:val="nil"/>
            </w:tcBorders>
            <w:vAlign w:val="center"/>
          </w:tcPr>
          <w:p w14:paraId="366D9737">
            <w:pPr>
              <w:pStyle w:val="63"/>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①排泄物粪便经清理消毒后袋装收集，与宠物毛发一同由环卫部门清运处理。</w:t>
            </w:r>
          </w:p>
          <w:p w14:paraId="1756DC49">
            <w:pPr>
              <w:pStyle w:val="63"/>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②医疗废物经分类收集</w:t>
            </w:r>
            <w:r>
              <w:rPr>
                <w:rFonts w:hint="eastAsia" w:cs="Times New Roman"/>
                <w:b w:val="0"/>
                <w:color w:val="000000" w:themeColor="text1"/>
                <w:kern w:val="2"/>
                <w:sz w:val="24"/>
                <w:szCs w:val="24"/>
                <w:lang w:val="en-US" w:eastAsia="zh-CN" w:bidi="ar-SA"/>
                <w14:textFill>
                  <w14:solidFill>
                    <w14:schemeClr w14:val="tx1"/>
                  </w14:solidFill>
                </w14:textFill>
              </w:rPr>
              <w:t>、消毒后的污泥及废紫外线灯管</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，暂存于医疗废物暂存间，按要求委托有资质的危险废物处置单位进行处置。</w:t>
            </w:r>
          </w:p>
          <w:p w14:paraId="2C5CEB69">
            <w:pPr>
              <w:pStyle w:val="42"/>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③生活垃圾由环卫部门清运处理。</w:t>
            </w:r>
          </w:p>
        </w:tc>
      </w:tr>
      <w:tr w14:paraId="639E9A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20" w:type="pct"/>
            <w:tcBorders>
              <w:tl2br w:val="nil"/>
              <w:tr2bl w:val="nil"/>
            </w:tcBorders>
            <w:vAlign w:val="center"/>
          </w:tcPr>
          <w:p w14:paraId="016B73D9">
            <w:pPr>
              <w:jc w:val="center"/>
              <w:rPr>
                <w:rFonts w:ascii="宋体" w:hAnsi="宋体" w:cs="宋体"/>
                <w:b w:val="0"/>
                <w:bCs/>
                <w:color w:val="000000" w:themeColor="text1"/>
                <w:sz w:val="2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土壤及地下水污染防治措施</w:t>
            </w:r>
          </w:p>
        </w:tc>
        <w:tc>
          <w:tcPr>
            <w:tcW w:w="4479" w:type="pct"/>
            <w:gridSpan w:val="4"/>
            <w:tcBorders>
              <w:tl2br w:val="nil"/>
              <w:tr2bl w:val="nil"/>
            </w:tcBorders>
            <w:vAlign w:val="center"/>
          </w:tcPr>
          <w:p w14:paraId="31395A67">
            <w:pPr>
              <w:pStyle w:val="3"/>
              <w:spacing w:line="360" w:lineRule="auto"/>
              <w:ind w:firstLine="480" w:firstLineChars="200"/>
              <w:jc w:val="center"/>
              <w:rPr>
                <w:rFonts w:ascii="宋体" w:hAnsi="宋体" w:cs="宋体"/>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r w14:paraId="4F979C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20" w:type="pct"/>
            <w:tcBorders>
              <w:tl2br w:val="nil"/>
              <w:tr2bl w:val="nil"/>
            </w:tcBorders>
            <w:vAlign w:val="center"/>
          </w:tcPr>
          <w:p w14:paraId="4CBFD300">
            <w:pPr>
              <w:jc w:val="center"/>
              <w:rPr>
                <w:rFonts w:ascii="宋体" w:hAnsi="宋体" w:cs="宋体"/>
                <w:b w:val="0"/>
                <w:bCs/>
                <w:color w:val="000000" w:themeColor="text1"/>
                <w:sz w:val="2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生态保护措施</w:t>
            </w:r>
          </w:p>
        </w:tc>
        <w:tc>
          <w:tcPr>
            <w:tcW w:w="4479" w:type="pct"/>
            <w:gridSpan w:val="4"/>
            <w:tcBorders>
              <w:tl2br w:val="nil"/>
              <w:tr2bl w:val="nil"/>
            </w:tcBorders>
            <w:vAlign w:val="center"/>
          </w:tcPr>
          <w:p w14:paraId="73D51DA7">
            <w:pPr>
              <w:jc w:val="center"/>
              <w:rPr>
                <w:rFonts w:ascii="宋体" w:hAnsi="宋体" w:cs="宋体"/>
                <w:color w:val="000000" w:themeColor="text1"/>
                <w14:textFill>
                  <w14:solidFill>
                    <w14:schemeClr w14:val="tx1"/>
                  </w14:solidFill>
                </w14:textFill>
              </w:rPr>
            </w:pPr>
            <w:r>
              <w:rPr>
                <w:rFonts w:hint="eastAsia" w:ascii="宋体" w:hAnsi="宋体" w:cs="宋体"/>
                <w:b w:val="0"/>
                <w:bCs/>
                <w:color w:val="000000" w:themeColor="text1"/>
                <w14:textFill>
                  <w14:solidFill>
                    <w14:schemeClr w14:val="tx1"/>
                  </w14:solidFill>
                </w14:textFill>
              </w:rPr>
              <w:t>/</w:t>
            </w:r>
          </w:p>
        </w:tc>
      </w:tr>
      <w:tr w14:paraId="739A7A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20" w:type="pct"/>
            <w:tcBorders>
              <w:tl2br w:val="nil"/>
              <w:tr2bl w:val="nil"/>
            </w:tcBorders>
            <w:vAlign w:val="center"/>
          </w:tcPr>
          <w:p w14:paraId="063980A2">
            <w:pPr>
              <w:jc w:val="center"/>
              <w:rPr>
                <w:rFonts w:ascii="宋体" w:hAnsi="宋体" w:cs="宋体"/>
                <w:b w:val="0"/>
                <w:bCs/>
                <w:color w:val="000000" w:themeColor="text1"/>
                <w:spacing w:val="-8"/>
                <w:sz w:val="21"/>
                <w:szCs w:val="21"/>
                <w14:textFill>
                  <w14:solidFill>
                    <w14:schemeClr w14:val="tx1"/>
                  </w14:solidFill>
                </w14:textFill>
              </w:rPr>
            </w:pPr>
            <w:r>
              <w:rPr>
                <w:rFonts w:hint="eastAsia" w:ascii="宋体" w:hAnsi="宋体" w:cs="宋体"/>
                <w:b w:val="0"/>
                <w:bCs/>
                <w:color w:val="000000" w:themeColor="text1"/>
                <w:spacing w:val="-8"/>
                <w:szCs w:val="21"/>
                <w14:textFill>
                  <w14:solidFill>
                    <w14:schemeClr w14:val="tx1"/>
                  </w14:solidFill>
                </w14:textFill>
              </w:rPr>
              <w:t>环境风险防范措施</w:t>
            </w:r>
          </w:p>
        </w:tc>
        <w:tc>
          <w:tcPr>
            <w:tcW w:w="4479" w:type="pct"/>
            <w:gridSpan w:val="4"/>
            <w:tcBorders>
              <w:tl2br w:val="nil"/>
              <w:tr2bl w:val="nil"/>
            </w:tcBorders>
            <w:vAlign w:val="center"/>
          </w:tcPr>
          <w:p w14:paraId="01C98028">
            <w:pPr>
              <w:pStyle w:val="3"/>
              <w:ind w:firstLine="48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①建设单位应加强污水处理设备的运行管理和日常维护</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避免管道堵塞、破裂等情况发生</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配套建设完善的排水系统管网和切换系统</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以应对消毒等设备损坏或失效、人为操作失误等事故，防止未经处理的医疗废水排入市政污水管网。</w:t>
            </w:r>
          </w:p>
          <w:p w14:paraId="036F7C63">
            <w:pPr>
              <w:pStyle w:val="3"/>
              <w:ind w:firstLine="48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②项目产生的医疗废物必须经科学</w:t>
            </w:r>
            <w:r>
              <w:rPr>
                <w:rFonts w:hint="eastAsia" w:cs="Times New Roman"/>
                <w:color w:val="000000" w:themeColor="text1"/>
                <w:lang w:eastAsia="zh-CN"/>
                <w14:textFill>
                  <w14:solidFill>
                    <w14:schemeClr w14:val="tx1"/>
                  </w14:solidFill>
                </w14:textFill>
              </w:rPr>
              <w:t>的</w:t>
            </w:r>
            <w:r>
              <w:rPr>
                <w:rFonts w:hint="default" w:ascii="Times New Roman" w:hAnsi="Times New Roman" w:cs="Times New Roman"/>
                <w:color w:val="000000" w:themeColor="text1"/>
                <w14:textFill>
                  <w14:solidFill>
                    <w14:schemeClr w14:val="tx1"/>
                  </w14:solidFill>
                </w14:textFill>
              </w:rPr>
              <w:t>分类收集、贮存运送后交由具有资质的处置单位进行处置。</w:t>
            </w:r>
          </w:p>
          <w:p w14:paraId="26F0195D">
            <w:pPr>
              <w:pStyle w:val="3"/>
              <w:ind w:firstLine="480"/>
              <w:jc w:val="both"/>
              <w:rPr>
                <w:rFonts w:hint="eastAsia"/>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③建设单位要严格按照消防部门所提要求落实消防措施，提高来往人员防火意识，杜绝火灾风险事故的发生</w:t>
            </w:r>
            <w:r>
              <w:rPr>
                <w:rFonts w:hint="eastAsia" w:cs="Times New Roman"/>
                <w:color w:val="000000" w:themeColor="text1"/>
                <w:lang w:val="en-US" w:eastAsia="zh-CN"/>
                <w14:textFill>
                  <w14:solidFill>
                    <w14:schemeClr w14:val="tx1"/>
                  </w14:solidFill>
                </w14:textFill>
              </w:rPr>
              <w:t>。</w:t>
            </w:r>
          </w:p>
        </w:tc>
      </w:tr>
      <w:tr w14:paraId="7C5B78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97" w:hRule="atLeast"/>
        </w:trPr>
        <w:tc>
          <w:tcPr>
            <w:tcW w:w="520" w:type="pct"/>
            <w:tcBorders>
              <w:tl2br w:val="nil"/>
              <w:tr2bl w:val="nil"/>
            </w:tcBorders>
            <w:vAlign w:val="center"/>
          </w:tcPr>
          <w:p w14:paraId="47CB352B">
            <w:pPr>
              <w:jc w:val="center"/>
              <w:rPr>
                <w:rFonts w:ascii="宋体" w:hAnsi="宋体" w:cs="宋体"/>
                <w:b w:val="0"/>
                <w:bCs/>
                <w:color w:val="000000" w:themeColor="text1"/>
                <w:spacing w:val="-8"/>
                <w:sz w:val="21"/>
                <w:szCs w:val="21"/>
                <w14:textFill>
                  <w14:solidFill>
                    <w14:schemeClr w14:val="tx1"/>
                  </w14:solidFill>
                </w14:textFill>
              </w:rPr>
            </w:pPr>
            <w:r>
              <w:rPr>
                <w:rFonts w:hint="eastAsia" w:ascii="宋体" w:hAnsi="宋体" w:cs="宋体"/>
                <w:b w:val="0"/>
                <w:bCs/>
                <w:color w:val="000000" w:themeColor="text1"/>
                <w:spacing w:val="-8"/>
                <w:szCs w:val="21"/>
                <w14:textFill>
                  <w14:solidFill>
                    <w14:schemeClr w14:val="tx1"/>
                  </w14:solidFill>
                </w14:textFill>
              </w:rPr>
              <w:t>其他环境管理要求</w:t>
            </w:r>
          </w:p>
        </w:tc>
        <w:tc>
          <w:tcPr>
            <w:tcW w:w="4479" w:type="pct"/>
            <w:gridSpan w:val="4"/>
            <w:tcBorders>
              <w:tl2br w:val="nil"/>
              <w:tr2bl w:val="nil"/>
            </w:tcBorders>
            <w:vAlign w:val="top"/>
          </w:tcPr>
          <w:p w14:paraId="4C452854">
            <w:pPr>
              <w:pStyle w:val="6"/>
              <w:bidi w:val="0"/>
              <w:jc w:val="both"/>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1 </w:t>
            </w:r>
            <w:r>
              <w:rPr>
                <w:rFonts w:hint="eastAsia"/>
                <w:b/>
                <w:bCs/>
                <w:color w:val="000000" w:themeColor="text1"/>
                <w:lang w:val="en-US" w:eastAsia="zh-CN"/>
                <w14:textFill>
                  <w14:solidFill>
                    <w14:schemeClr w14:val="tx1"/>
                  </w14:solidFill>
                </w14:textFill>
              </w:rPr>
              <w:t>污染物排放口管理要求</w:t>
            </w:r>
          </w:p>
          <w:p w14:paraId="29771EB1">
            <w:pPr>
              <w:pStyle w:val="6"/>
              <w:bidi w:val="0"/>
              <w:ind w:firstLine="480" w:firstLineChars="200"/>
              <w:jc w:val="both"/>
              <w:rPr>
                <w:color w:val="000000" w:themeColor="text1"/>
                <w14:textFill>
                  <w14:solidFill>
                    <w14:schemeClr w14:val="tx1"/>
                  </w14:solidFill>
                </w14:textFill>
              </w:rPr>
            </w:pPr>
            <w:r>
              <w:rPr>
                <w:rFonts w:hint="eastAsia" w:ascii="Times New Roman" w:hAnsi="Times New Roman" w:eastAsia="宋体" w:cstheme="minorBidi"/>
                <w:b w:val="0"/>
                <w:color w:val="000000" w:themeColor="text1"/>
                <w:kern w:val="2"/>
                <w:sz w:val="24"/>
                <w:szCs w:val="24"/>
                <w:lang w:val="en-US" w:eastAsia="zh-CN" w:bidi="ar-SA"/>
                <w14:textFill>
                  <w14:solidFill>
                    <w14:schemeClr w14:val="tx1"/>
                  </w14:solidFill>
                </w14:textFill>
              </w:rPr>
              <w:t>排放口应预留监测口做到便于采样和测定流量，并设立标志（有要求监控的项目应论述）。执行《环境图形标准排污口（源）》（GB15563.1-1995）、《危险废物识别标志设置技术规范》（HJ1276-2022）、《环境保护图形标志-固体废物贮存（处置）场》（GB15562.2-1995）及其2023年修改单要求，具体详见下图。标志牌应设在与之功能相应的醒目处，并保持清晰、完整。</w:t>
            </w:r>
          </w:p>
          <w:tbl>
            <w:tblPr>
              <w:tblStyle w:val="26"/>
              <w:tblW w:w="4998"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2470"/>
              <w:gridCol w:w="2471"/>
            </w:tblGrid>
            <w:tr w14:paraId="704385EF">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667" w:type="pct"/>
                  <w:tcBorders>
                    <w:bottom w:val="single" w:color="000000" w:sz="12"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067CA5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mc:AlternateContent>
                      <mc:Choice Requires="wpsCustomData">
                        <wpsCustomData:diagonalParaType/>
                      </mc:Choice>
                    </mc:AlternateContent>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项目</w:t>
                  </w:r>
                </w:p>
                <w:p w14:paraId="4DD149D5">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部位</w:t>
                  </w:r>
                </w:p>
              </w:tc>
              <w:tc>
                <w:tcPr>
                  <w:tcW w:w="1666" w:type="pct"/>
                  <w:tcBorders>
                    <w:bottom w:val="single" w:color="000000" w:sz="12" w:space="0"/>
                  </w:tcBorders>
                  <w:vAlign w:val="center"/>
                </w:tcPr>
                <w:p w14:paraId="36CD086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污水排放口</w:t>
                  </w:r>
                </w:p>
              </w:tc>
              <w:tc>
                <w:tcPr>
                  <w:tcW w:w="1666" w:type="pct"/>
                  <w:tcBorders>
                    <w:bottom w:val="single" w:color="000000" w:sz="12" w:space="0"/>
                  </w:tcBorders>
                  <w:vAlign w:val="center"/>
                </w:tcPr>
                <w:p w14:paraId="10C039F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医疗废物</w:t>
                  </w:r>
                </w:p>
              </w:tc>
            </w:tr>
            <w:tr w14:paraId="18C87FB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Borders>
                    <w:top w:val="single" w:color="000000" w:sz="12" w:space="0"/>
                  </w:tcBorders>
                  <w:vAlign w:val="center"/>
                </w:tcPr>
                <w:p w14:paraId="653914D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图形符号</w:t>
                  </w:r>
                </w:p>
              </w:tc>
              <w:tc>
                <w:tcPr>
                  <w:tcW w:w="1666" w:type="pct"/>
                  <w:tcBorders>
                    <w:top w:val="single" w:color="000000" w:sz="12" w:space="0"/>
                  </w:tcBorders>
                </w:tcPr>
                <w:p w14:paraId="2BD3375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color w:val="000000" w:themeColor="text1"/>
                      <w:sz w:val="21"/>
                      <w:szCs w:val="21"/>
                      <w:vertAlign w:val="baseline"/>
                      <w:lang w:eastAsia="zh-CN"/>
                      <w14:textFill>
                        <w14:solidFill>
                          <w14:schemeClr w14:val="tx1"/>
                        </w14:solidFill>
                      </w14:textFill>
                    </w:rPr>
                  </w:pPr>
                  <w:r>
                    <w:rPr>
                      <w:rFonts w:hint="eastAsia"/>
                      <w:b w:val="0"/>
                      <w:bCs/>
                      <w:color w:val="000000" w:themeColor="text1"/>
                      <w:sz w:val="21"/>
                      <w:szCs w:val="21"/>
                      <w:vertAlign w:val="baseline"/>
                      <w:lang w:eastAsia="zh-CN"/>
                      <w14:textFill>
                        <w14:solidFill>
                          <w14:schemeClr w14:val="tx1"/>
                        </w14:solidFill>
                      </w14:textFill>
                    </w:rPr>
                    <w:drawing>
                      <wp:inline distT="0" distB="0" distL="114300" distR="114300">
                        <wp:extent cx="666750" cy="787400"/>
                        <wp:effectExtent l="0" t="0" r="6350" b="0"/>
                        <wp:docPr id="29" name="图片 29" descr="OI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OIP-C"/>
                                <pic:cNvPicPr>
                                  <a:picLocks noChangeAspect="1"/>
                                </pic:cNvPicPr>
                              </pic:nvPicPr>
                              <pic:blipFill>
                                <a:blip r:embed="rId25"/>
                                <a:stretch>
                                  <a:fillRect/>
                                </a:stretch>
                              </pic:blipFill>
                              <pic:spPr>
                                <a:xfrm>
                                  <a:off x="0" y="0"/>
                                  <a:ext cx="666750" cy="787400"/>
                                </a:xfrm>
                                <a:prstGeom prst="rect">
                                  <a:avLst/>
                                </a:prstGeom>
                              </pic:spPr>
                            </pic:pic>
                          </a:graphicData>
                        </a:graphic>
                      </wp:inline>
                    </w:drawing>
                  </w:r>
                </w:p>
              </w:tc>
              <w:tc>
                <w:tcPr>
                  <w:tcW w:w="1666" w:type="pct"/>
                  <w:tcBorders>
                    <w:top w:val="single" w:color="000000" w:sz="12" w:space="0"/>
                  </w:tcBorders>
                </w:tcPr>
                <w:p w14:paraId="08FDD25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color w:val="000000" w:themeColor="text1"/>
                      <w:sz w:val="21"/>
                      <w:szCs w:val="21"/>
                      <w:vertAlign w:val="baseline"/>
                      <w:lang w:eastAsia="zh-CN"/>
                      <w14:textFill>
                        <w14:solidFill>
                          <w14:schemeClr w14:val="tx1"/>
                        </w14:solidFill>
                      </w14:textFill>
                    </w:rPr>
                  </w:pPr>
                  <w:r>
                    <w:rPr>
                      <w:rFonts w:hint="eastAsia"/>
                      <w:b w:val="0"/>
                      <w:bCs/>
                      <w:color w:val="000000" w:themeColor="text1"/>
                      <w:sz w:val="21"/>
                      <w:szCs w:val="21"/>
                      <w:vertAlign w:val="baseline"/>
                      <w:lang w:eastAsia="zh-CN"/>
                      <w14:textFill>
                        <w14:solidFill>
                          <w14:schemeClr w14:val="tx1"/>
                        </w14:solidFill>
                      </w14:textFill>
                    </w:rPr>
                    <w:drawing>
                      <wp:inline distT="0" distB="0" distL="114300" distR="114300">
                        <wp:extent cx="690880" cy="749300"/>
                        <wp:effectExtent l="0" t="0" r="7620" b="0"/>
                        <wp:docPr id="16" name="图片 16" descr="OI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OIP-C"/>
                                <pic:cNvPicPr>
                                  <a:picLocks noChangeAspect="1"/>
                                </pic:cNvPicPr>
                              </pic:nvPicPr>
                              <pic:blipFill>
                                <a:blip r:embed="rId26"/>
                                <a:stretch>
                                  <a:fillRect/>
                                </a:stretch>
                              </pic:blipFill>
                              <pic:spPr>
                                <a:xfrm>
                                  <a:off x="0" y="0"/>
                                  <a:ext cx="690880" cy="749300"/>
                                </a:xfrm>
                                <a:prstGeom prst="rect">
                                  <a:avLst/>
                                </a:prstGeom>
                              </pic:spPr>
                            </pic:pic>
                          </a:graphicData>
                        </a:graphic>
                      </wp:inline>
                    </w:drawing>
                  </w:r>
                </w:p>
              </w:tc>
            </w:tr>
            <w:tr w14:paraId="28B5257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Pr>
                <w:p w14:paraId="627D24F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形状</w:t>
                  </w:r>
                </w:p>
              </w:tc>
              <w:tc>
                <w:tcPr>
                  <w:tcW w:w="1666" w:type="pct"/>
                </w:tcPr>
                <w:p w14:paraId="7FA791A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正方形边框</w:t>
                  </w:r>
                </w:p>
              </w:tc>
              <w:tc>
                <w:tcPr>
                  <w:tcW w:w="1666" w:type="pct"/>
                  <w:vAlign w:val="top"/>
                </w:tcPr>
                <w:p w14:paraId="0EDA45F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b w:val="0"/>
                      <w:bCs/>
                      <w:color w:val="000000" w:themeColor="text1"/>
                      <w:sz w:val="21"/>
                      <w:szCs w:val="21"/>
                      <w:vertAlign w:val="baseline"/>
                      <w:lang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三角形边框</w:t>
                  </w:r>
                </w:p>
              </w:tc>
            </w:tr>
            <w:tr w14:paraId="2C4E0BC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Pr>
                <w:p w14:paraId="7A66F30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背景颜色</w:t>
                  </w:r>
                </w:p>
              </w:tc>
              <w:tc>
                <w:tcPr>
                  <w:tcW w:w="1666" w:type="pct"/>
                </w:tcPr>
                <w:p w14:paraId="3715DE80">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绿色</w:t>
                  </w:r>
                </w:p>
              </w:tc>
              <w:tc>
                <w:tcPr>
                  <w:tcW w:w="1666" w:type="pct"/>
                  <w:vAlign w:val="top"/>
                </w:tcPr>
                <w:p w14:paraId="339F040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b w:val="0"/>
                      <w:bCs/>
                      <w:color w:val="000000" w:themeColor="text1"/>
                      <w:sz w:val="21"/>
                      <w:szCs w:val="21"/>
                      <w:vertAlign w:val="baseline"/>
                      <w:lang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黄色</w:t>
                  </w:r>
                </w:p>
              </w:tc>
            </w:tr>
            <w:tr w14:paraId="7E80288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Borders>
                    <w:bottom w:val="single" w:color="000000" w:sz="12" w:space="0"/>
                  </w:tcBorders>
                </w:tcPr>
                <w:p w14:paraId="40F1025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图形颜色</w:t>
                  </w:r>
                </w:p>
              </w:tc>
              <w:tc>
                <w:tcPr>
                  <w:tcW w:w="1666" w:type="pct"/>
                  <w:tcBorders>
                    <w:bottom w:val="single" w:color="000000" w:sz="12" w:space="0"/>
                  </w:tcBorders>
                </w:tcPr>
                <w:p w14:paraId="5DAD706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白色</w:t>
                  </w:r>
                </w:p>
              </w:tc>
              <w:tc>
                <w:tcPr>
                  <w:tcW w:w="1666" w:type="pct"/>
                  <w:tcBorders>
                    <w:bottom w:val="single" w:color="000000" w:sz="12" w:space="0"/>
                  </w:tcBorders>
                  <w:vAlign w:val="top"/>
                </w:tcPr>
                <w:p w14:paraId="125E6C02">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b w:val="0"/>
                      <w:bCs/>
                      <w:color w:val="000000" w:themeColor="text1"/>
                      <w:sz w:val="21"/>
                      <w:szCs w:val="21"/>
                      <w:vertAlign w:val="baseline"/>
                      <w:lang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黑色</w:t>
                  </w:r>
                </w:p>
              </w:tc>
            </w:tr>
            <w:tr w14:paraId="54F96A5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Borders>
                    <w:top w:val="single" w:color="000000" w:sz="12" w:space="0"/>
                    <w:bottom w:val="single" w:color="000000" w:sz="12" w:space="0"/>
                  </w:tcBorders>
                </w:tcPr>
                <w:p w14:paraId="60ABE34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1666" w:type="pct"/>
                  <w:tcBorders>
                    <w:top w:val="single" w:color="000000" w:sz="12" w:space="0"/>
                    <w:bottom w:val="single" w:color="000000" w:sz="12" w:space="0"/>
                  </w:tcBorders>
                </w:tcPr>
                <w:p w14:paraId="149E69C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一般固体废物</w:t>
                  </w:r>
                </w:p>
              </w:tc>
              <w:tc>
                <w:tcPr>
                  <w:tcW w:w="1666" w:type="pct"/>
                  <w:tcBorders>
                    <w:top w:val="single" w:color="000000" w:sz="12" w:space="0"/>
                    <w:bottom w:val="single" w:color="000000" w:sz="12" w:space="0"/>
                  </w:tcBorders>
                </w:tcPr>
                <w:p w14:paraId="5F2A854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危险废物</w:t>
                  </w:r>
                </w:p>
              </w:tc>
            </w:tr>
            <w:tr w14:paraId="335215C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Borders>
                    <w:top w:val="single" w:color="000000" w:sz="12" w:space="0"/>
                  </w:tcBorders>
                  <w:vAlign w:val="center"/>
                </w:tcPr>
                <w:p w14:paraId="587F54E1">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图形符号</w:t>
                  </w:r>
                </w:p>
              </w:tc>
              <w:tc>
                <w:tcPr>
                  <w:tcW w:w="1666" w:type="pct"/>
                  <w:tcBorders>
                    <w:top w:val="single" w:color="000000" w:sz="12" w:space="0"/>
                  </w:tcBorders>
                </w:tcPr>
                <w:p w14:paraId="20F8A9E7">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default"/>
                      <w:b w:val="0"/>
                      <w:bCs/>
                      <w:color w:val="000000" w:themeColor="text1"/>
                      <w:sz w:val="21"/>
                      <w:szCs w:val="21"/>
                      <w:vertAlign w:val="baseline"/>
                      <w:lang w:val="en-US" w:eastAsia="zh-CN"/>
                      <w14:textFill>
                        <w14:solidFill>
                          <w14:schemeClr w14:val="tx1"/>
                        </w14:solidFill>
                      </w14:textFill>
                    </w:rPr>
                    <w:drawing>
                      <wp:inline distT="0" distB="0" distL="114300" distR="114300">
                        <wp:extent cx="830580" cy="830580"/>
                        <wp:effectExtent l="0" t="0" r="7620" b="7620"/>
                        <wp:docPr id="26" name="图片 26" descr="OIP-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OIP-C(1)"/>
                                <pic:cNvPicPr>
                                  <a:picLocks noChangeAspect="1"/>
                                </pic:cNvPicPr>
                              </pic:nvPicPr>
                              <pic:blipFill>
                                <a:blip r:embed="rId27"/>
                                <a:stretch>
                                  <a:fillRect/>
                                </a:stretch>
                              </pic:blipFill>
                              <pic:spPr>
                                <a:xfrm>
                                  <a:off x="0" y="0"/>
                                  <a:ext cx="830580" cy="830580"/>
                                </a:xfrm>
                                <a:prstGeom prst="rect">
                                  <a:avLst/>
                                </a:prstGeom>
                              </pic:spPr>
                            </pic:pic>
                          </a:graphicData>
                        </a:graphic>
                      </wp:inline>
                    </w:drawing>
                  </w:r>
                </w:p>
              </w:tc>
              <w:tc>
                <w:tcPr>
                  <w:tcW w:w="1666" w:type="pct"/>
                  <w:tcBorders>
                    <w:top w:val="single" w:color="000000" w:sz="12" w:space="0"/>
                  </w:tcBorders>
                </w:tcPr>
                <w:p w14:paraId="23FF39E4">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color w:val="000000" w:themeColor="text1"/>
                      <w:sz w:val="21"/>
                      <w:szCs w:val="21"/>
                      <w:vertAlign w:val="baseline"/>
                      <w:lang w:eastAsia="zh-CN"/>
                      <w14:textFill>
                        <w14:solidFill>
                          <w14:schemeClr w14:val="tx1"/>
                        </w14:solidFill>
                      </w14:textFill>
                    </w:rPr>
                  </w:pPr>
                  <w:r>
                    <w:rPr>
                      <w:rFonts w:hint="eastAsia"/>
                      <w:b w:val="0"/>
                      <w:bCs/>
                      <w:color w:val="000000" w:themeColor="text1"/>
                      <w:sz w:val="21"/>
                      <w:szCs w:val="21"/>
                      <w:vertAlign w:val="baseline"/>
                      <w:lang w:eastAsia="zh-CN"/>
                      <w14:textFill>
                        <w14:solidFill>
                          <w14:schemeClr w14:val="tx1"/>
                        </w14:solidFill>
                      </w14:textFill>
                    </w:rPr>
                    <w:drawing>
                      <wp:inline distT="0" distB="0" distL="114300" distR="114300">
                        <wp:extent cx="779145" cy="825500"/>
                        <wp:effectExtent l="0" t="0" r="8255" b="0"/>
                        <wp:docPr id="18" name="图片 18" descr="OIP-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OIP-C (1)"/>
                                <pic:cNvPicPr>
                                  <a:picLocks noChangeAspect="1"/>
                                </pic:cNvPicPr>
                              </pic:nvPicPr>
                              <pic:blipFill>
                                <a:blip r:embed="rId28"/>
                                <a:stretch>
                                  <a:fillRect/>
                                </a:stretch>
                              </pic:blipFill>
                              <pic:spPr>
                                <a:xfrm>
                                  <a:off x="0" y="0"/>
                                  <a:ext cx="779145" cy="825500"/>
                                </a:xfrm>
                                <a:prstGeom prst="rect">
                                  <a:avLst/>
                                </a:prstGeom>
                              </pic:spPr>
                            </pic:pic>
                          </a:graphicData>
                        </a:graphic>
                      </wp:inline>
                    </w:drawing>
                  </w:r>
                </w:p>
              </w:tc>
            </w:tr>
            <w:tr w14:paraId="123CED5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Pr>
                <w:p w14:paraId="4D878D4A">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形状</w:t>
                  </w:r>
                </w:p>
              </w:tc>
              <w:tc>
                <w:tcPr>
                  <w:tcW w:w="1666" w:type="pct"/>
                  <w:shd w:val="clear" w:color="auto" w:fill="auto"/>
                  <w:vAlign w:val="top"/>
                </w:tcPr>
                <w:p w14:paraId="632964FE">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宋体" w:cstheme="minorBidi"/>
                      <w:b w:val="0"/>
                      <w:bCs/>
                      <w:color w:val="000000" w:themeColor="text1"/>
                      <w:kern w:val="0"/>
                      <w:sz w:val="21"/>
                      <w:szCs w:val="21"/>
                      <w:vertAlign w:val="baseline"/>
                      <w:lang w:val="en-US" w:eastAsia="zh-CN" w:bidi="ar-SA"/>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三角形边框</w:t>
                  </w:r>
                </w:p>
              </w:tc>
              <w:tc>
                <w:tcPr>
                  <w:tcW w:w="1666" w:type="pct"/>
                  <w:shd w:val="clear" w:color="auto" w:fill="auto"/>
                  <w:vAlign w:val="top"/>
                </w:tcPr>
                <w:p w14:paraId="28348B7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宋体" w:cstheme="minorBidi"/>
                      <w:b w:val="0"/>
                      <w:bCs/>
                      <w:color w:val="000000" w:themeColor="text1"/>
                      <w:kern w:val="0"/>
                      <w:sz w:val="21"/>
                      <w:szCs w:val="21"/>
                      <w:vertAlign w:val="baseline"/>
                      <w:lang w:val="en-US" w:eastAsia="zh-CN" w:bidi="ar-SA"/>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三角形边框</w:t>
                  </w:r>
                </w:p>
              </w:tc>
            </w:tr>
            <w:tr w14:paraId="504A59E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Pr>
                <w:p w14:paraId="70CCF59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背景颜色</w:t>
                  </w:r>
                </w:p>
              </w:tc>
              <w:tc>
                <w:tcPr>
                  <w:tcW w:w="1666" w:type="pct"/>
                </w:tcPr>
                <w:p w14:paraId="69457BFB">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黄色</w:t>
                  </w:r>
                </w:p>
              </w:tc>
              <w:tc>
                <w:tcPr>
                  <w:tcW w:w="1666" w:type="pct"/>
                </w:tcPr>
                <w:p w14:paraId="59FEC139">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color w:val="000000" w:themeColor="text1"/>
                      <w:sz w:val="21"/>
                      <w:szCs w:val="21"/>
                      <w:vertAlign w:val="baseline"/>
                      <w:lang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黄色</w:t>
                  </w:r>
                </w:p>
              </w:tc>
            </w:tr>
            <w:tr w14:paraId="0B0EB6B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7" w:type="pct"/>
                </w:tcPr>
                <w:p w14:paraId="7FE5AED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图形颜色</w:t>
                  </w:r>
                </w:p>
              </w:tc>
              <w:tc>
                <w:tcPr>
                  <w:tcW w:w="1666" w:type="pct"/>
                </w:tcPr>
                <w:p w14:paraId="458C74BF">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黑色</w:t>
                  </w:r>
                </w:p>
              </w:tc>
              <w:tc>
                <w:tcPr>
                  <w:tcW w:w="1666" w:type="pct"/>
                </w:tcPr>
                <w:p w14:paraId="5DE06AA8">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b w:val="0"/>
                      <w:bCs/>
                      <w:color w:val="000000" w:themeColor="text1"/>
                      <w:sz w:val="21"/>
                      <w:szCs w:val="21"/>
                      <w:vertAlign w:val="baseline"/>
                      <w:lang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黑色</w:t>
                  </w:r>
                </w:p>
              </w:tc>
            </w:tr>
          </w:tbl>
          <w:p w14:paraId="04197676">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图</w:t>
            </w:r>
            <w:r>
              <w:rPr>
                <w:rFonts w:hint="eastAsia"/>
                <w:color w:val="000000" w:themeColor="text1"/>
                <w:sz w:val="21"/>
                <w:szCs w:val="21"/>
                <w:lang w:val="en-US" w:eastAsia="zh-CN"/>
                <w14:textFill>
                  <w14:solidFill>
                    <w14:schemeClr w14:val="tx1"/>
                  </w14:solidFill>
                </w14:textFill>
              </w:rPr>
              <w:t>5-1 排放口标识图</w:t>
            </w:r>
          </w:p>
          <w:p w14:paraId="6BAE9097">
            <w:pPr>
              <w:pStyle w:val="6"/>
              <w:bidi w:val="0"/>
              <w:jc w:val="both"/>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2 </w:t>
            </w:r>
            <w:r>
              <w:rPr>
                <w:rFonts w:hint="eastAsia"/>
                <w:color w:val="000000" w:themeColor="text1"/>
                <w14:textFill>
                  <w14:solidFill>
                    <w14:schemeClr w14:val="tx1"/>
                  </w14:solidFill>
                </w14:textFill>
              </w:rPr>
              <w:t>排污许可信息填报要求</w:t>
            </w:r>
          </w:p>
          <w:p w14:paraId="072436B7">
            <w:pPr>
              <w:pStyle w:val="3"/>
              <w:bidi w:val="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根据《排污许可管理条例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中华人民共和国国务院令第736号</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》，排污单位应当在排放污染物前申请排污许可证，查阅《固定污染源排污许可分类管理名录</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2019年版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》，本项目属于该名录未作规定的排污单位，不纳入排污许可管理。</w:t>
            </w:r>
          </w:p>
          <w:p w14:paraId="37CF7296">
            <w:pPr>
              <w:pStyle w:val="3"/>
              <w:ind w:left="0" w:leftChars="0" w:firstLine="0" w:firstLineChars="0"/>
              <w:jc w:val="both"/>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3 </w:t>
            </w:r>
            <w:r>
              <w:rPr>
                <w:rFonts w:hint="eastAsia"/>
                <w:b/>
                <w:bCs/>
                <w:color w:val="000000" w:themeColor="text1"/>
                <w14:textFill>
                  <w14:solidFill>
                    <w14:schemeClr w14:val="tx1"/>
                  </w14:solidFill>
                </w14:textFill>
              </w:rPr>
              <w:t>竣工环境保护验收</w:t>
            </w:r>
          </w:p>
          <w:p w14:paraId="74CC7A52">
            <w:pPr>
              <w:pStyle w:val="3"/>
              <w:ind w:left="0" w:leftChars="0" w:firstLine="480" w:firstLineChars="20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根据《建设项目环境保护管理条例》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2017年版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有关规定，建设单位应当按照国务院生态环境主管部门规定的标准和程序</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对配套建设的环境保护设施进行自主验收，编制验收报告，验收小组应由建设单位、环保设施设计单位、施工单位、环评机构等共同组成，对</w:t>
            </w:r>
            <w:r>
              <w:rPr>
                <w:rFonts w:hint="eastAsia"/>
                <w:color w:val="000000" w:themeColor="text1"/>
                <w:lang w:val="en-US" w:eastAsia="zh-CN"/>
                <w14:textFill>
                  <w14:solidFill>
                    <w14:schemeClr w14:val="tx1"/>
                  </w14:solidFill>
                </w14:textFill>
              </w:rPr>
              <w:t>环境</w:t>
            </w:r>
            <w:r>
              <w:rPr>
                <w:rFonts w:hint="eastAsia"/>
                <w:color w:val="000000" w:themeColor="text1"/>
                <w14:textFill>
                  <w14:solidFill>
                    <w14:schemeClr w14:val="tx1"/>
                  </w14:solidFill>
                </w14:textFill>
              </w:rPr>
              <w:t>治理设施进行竣工验收，并在运营期间检查各项</w:t>
            </w:r>
            <w:r>
              <w:rPr>
                <w:rFonts w:hint="eastAsia"/>
                <w:color w:val="000000" w:themeColor="text1"/>
                <w:lang w:val="en-US" w:eastAsia="zh-CN"/>
                <w14:textFill>
                  <w14:solidFill>
                    <w14:schemeClr w14:val="tx1"/>
                  </w14:solidFill>
                </w14:textFill>
              </w:rPr>
              <w:t>环境</w:t>
            </w:r>
            <w:r>
              <w:rPr>
                <w:rFonts w:hint="eastAsia"/>
                <w:color w:val="000000" w:themeColor="text1"/>
                <w14:textFill>
                  <w14:solidFill>
                    <w14:schemeClr w14:val="tx1"/>
                  </w14:solidFill>
                </w14:textFill>
              </w:rPr>
              <w:t>治理设施的运转情况和治理效果</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含对排污口污染物浓度的监测</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，切实做好“三同时”。</w:t>
            </w:r>
          </w:p>
          <w:p w14:paraId="41B6F0BB">
            <w:pPr>
              <w:pStyle w:val="3"/>
              <w:ind w:left="0" w:leftChars="0" w:firstLine="0" w:firstLineChars="0"/>
              <w:jc w:val="both"/>
              <w:rPr>
                <w:rFonts w:hint="eastAsia"/>
                <w:color w:val="000000" w:themeColor="text1"/>
                <w14:textFill>
                  <w14:solidFill>
                    <w14:schemeClr w14:val="tx1"/>
                  </w14:solidFill>
                </w14:textFill>
              </w:rPr>
            </w:pPr>
          </w:p>
          <w:p w14:paraId="5EE49629">
            <w:pPr>
              <w:pStyle w:val="3"/>
              <w:ind w:left="0" w:leftChars="0" w:firstLine="0" w:firstLineChars="0"/>
              <w:jc w:val="both"/>
              <w:rPr>
                <w:rFonts w:hint="eastAsia"/>
                <w:color w:val="000000" w:themeColor="text1"/>
                <w14:textFill>
                  <w14:solidFill>
                    <w14:schemeClr w14:val="tx1"/>
                  </w14:solidFill>
                </w14:textFill>
              </w:rPr>
            </w:pPr>
          </w:p>
          <w:p w14:paraId="7C9BECAE">
            <w:pPr>
              <w:pStyle w:val="3"/>
              <w:ind w:left="0" w:leftChars="0" w:firstLine="0" w:firstLineChars="0"/>
              <w:jc w:val="both"/>
              <w:rPr>
                <w:rFonts w:hint="eastAsia"/>
                <w:color w:val="000000" w:themeColor="text1"/>
                <w14:textFill>
                  <w14:solidFill>
                    <w14:schemeClr w14:val="tx1"/>
                  </w14:solidFill>
                </w14:textFill>
              </w:rPr>
            </w:pPr>
          </w:p>
          <w:p w14:paraId="68631A13">
            <w:pPr>
              <w:pStyle w:val="3"/>
              <w:ind w:left="0" w:leftChars="0" w:firstLine="0" w:firstLineChars="0"/>
              <w:jc w:val="both"/>
              <w:rPr>
                <w:rFonts w:hint="eastAsia"/>
                <w:color w:val="000000" w:themeColor="text1"/>
                <w14:textFill>
                  <w14:solidFill>
                    <w14:schemeClr w14:val="tx1"/>
                  </w14:solidFill>
                </w14:textFill>
              </w:rPr>
            </w:pPr>
          </w:p>
          <w:p w14:paraId="6405E055">
            <w:pPr>
              <w:pStyle w:val="3"/>
              <w:ind w:left="0" w:leftChars="0" w:firstLine="0" w:firstLineChars="0"/>
              <w:jc w:val="both"/>
              <w:rPr>
                <w:rFonts w:hint="eastAsia"/>
                <w:color w:val="000000" w:themeColor="text1"/>
                <w14:textFill>
                  <w14:solidFill>
                    <w14:schemeClr w14:val="tx1"/>
                  </w14:solidFill>
                </w14:textFill>
              </w:rPr>
            </w:pPr>
          </w:p>
          <w:p w14:paraId="45777136">
            <w:pPr>
              <w:pStyle w:val="3"/>
              <w:ind w:left="0" w:leftChars="0" w:firstLine="0" w:firstLineChars="0"/>
              <w:jc w:val="both"/>
              <w:rPr>
                <w:rFonts w:hint="eastAsia"/>
                <w:color w:val="000000" w:themeColor="text1"/>
                <w14:textFill>
                  <w14:solidFill>
                    <w14:schemeClr w14:val="tx1"/>
                  </w14:solidFill>
                </w14:textFill>
              </w:rPr>
            </w:pPr>
          </w:p>
          <w:p w14:paraId="6DC41F8A">
            <w:pPr>
              <w:pStyle w:val="3"/>
              <w:ind w:left="0" w:leftChars="0" w:firstLine="0" w:firstLineChars="0"/>
              <w:jc w:val="both"/>
              <w:rPr>
                <w:rFonts w:hint="eastAsia"/>
                <w:color w:val="000000" w:themeColor="text1"/>
                <w14:textFill>
                  <w14:solidFill>
                    <w14:schemeClr w14:val="tx1"/>
                  </w14:solidFill>
                </w14:textFill>
              </w:rPr>
            </w:pPr>
          </w:p>
          <w:p w14:paraId="7738BBE3">
            <w:pPr>
              <w:pStyle w:val="3"/>
              <w:ind w:left="0" w:leftChars="0" w:firstLine="0" w:firstLineChars="0"/>
              <w:jc w:val="both"/>
              <w:rPr>
                <w:rFonts w:hint="eastAsia"/>
                <w:color w:val="000000" w:themeColor="text1"/>
                <w14:textFill>
                  <w14:solidFill>
                    <w14:schemeClr w14:val="tx1"/>
                  </w14:solidFill>
                </w14:textFill>
              </w:rPr>
            </w:pPr>
          </w:p>
          <w:p w14:paraId="6E647456">
            <w:pPr>
              <w:pStyle w:val="3"/>
              <w:ind w:left="0" w:leftChars="0" w:firstLine="0" w:firstLineChars="0"/>
              <w:jc w:val="both"/>
              <w:rPr>
                <w:rFonts w:hint="eastAsia"/>
                <w:color w:val="000000" w:themeColor="text1"/>
                <w14:textFill>
                  <w14:solidFill>
                    <w14:schemeClr w14:val="tx1"/>
                  </w14:solidFill>
                </w14:textFill>
              </w:rPr>
            </w:pPr>
          </w:p>
          <w:p w14:paraId="7041A248">
            <w:pPr>
              <w:pStyle w:val="3"/>
              <w:ind w:left="0" w:leftChars="0" w:firstLine="0" w:firstLineChars="0"/>
              <w:jc w:val="both"/>
              <w:rPr>
                <w:rFonts w:hint="eastAsia"/>
                <w:color w:val="000000" w:themeColor="text1"/>
                <w14:textFill>
                  <w14:solidFill>
                    <w14:schemeClr w14:val="tx1"/>
                  </w14:solidFill>
                </w14:textFill>
              </w:rPr>
            </w:pPr>
          </w:p>
          <w:p w14:paraId="2CACDC3D">
            <w:pPr>
              <w:pStyle w:val="3"/>
              <w:ind w:left="0" w:leftChars="0" w:firstLine="0" w:firstLineChars="0"/>
              <w:jc w:val="both"/>
              <w:rPr>
                <w:rFonts w:hint="eastAsia"/>
                <w:color w:val="000000" w:themeColor="text1"/>
                <w14:textFill>
                  <w14:solidFill>
                    <w14:schemeClr w14:val="tx1"/>
                  </w14:solidFill>
                </w14:textFill>
              </w:rPr>
            </w:pPr>
          </w:p>
          <w:p w14:paraId="2AC8CCCB">
            <w:pPr>
              <w:pStyle w:val="3"/>
              <w:ind w:left="0" w:leftChars="0" w:firstLine="0" w:firstLineChars="0"/>
              <w:jc w:val="both"/>
              <w:rPr>
                <w:rFonts w:hint="eastAsia"/>
                <w:color w:val="000000" w:themeColor="text1"/>
                <w14:textFill>
                  <w14:solidFill>
                    <w14:schemeClr w14:val="tx1"/>
                  </w14:solidFill>
                </w14:textFill>
              </w:rPr>
            </w:pPr>
          </w:p>
          <w:p w14:paraId="203D8C76">
            <w:pPr>
              <w:pStyle w:val="3"/>
              <w:ind w:left="0" w:leftChars="0" w:firstLine="0" w:firstLineChars="0"/>
              <w:jc w:val="both"/>
              <w:rPr>
                <w:rFonts w:hint="eastAsia"/>
                <w:color w:val="000000" w:themeColor="text1"/>
                <w14:textFill>
                  <w14:solidFill>
                    <w14:schemeClr w14:val="tx1"/>
                  </w14:solidFill>
                </w14:textFill>
              </w:rPr>
            </w:pPr>
          </w:p>
          <w:p w14:paraId="61337858">
            <w:pPr>
              <w:pStyle w:val="3"/>
              <w:ind w:left="0" w:leftChars="0" w:firstLine="0" w:firstLineChars="0"/>
              <w:jc w:val="both"/>
              <w:rPr>
                <w:rFonts w:hint="eastAsia"/>
                <w:color w:val="000000" w:themeColor="text1"/>
                <w14:textFill>
                  <w14:solidFill>
                    <w14:schemeClr w14:val="tx1"/>
                  </w14:solidFill>
                </w14:textFill>
              </w:rPr>
            </w:pPr>
          </w:p>
          <w:p w14:paraId="2CE4A724">
            <w:pPr>
              <w:pStyle w:val="3"/>
              <w:ind w:left="0" w:leftChars="0" w:firstLine="0" w:firstLineChars="0"/>
              <w:jc w:val="both"/>
              <w:rPr>
                <w:rFonts w:hint="eastAsia"/>
                <w:color w:val="000000" w:themeColor="text1"/>
                <w14:textFill>
                  <w14:solidFill>
                    <w14:schemeClr w14:val="tx1"/>
                  </w14:solidFill>
                </w14:textFill>
              </w:rPr>
            </w:pPr>
          </w:p>
          <w:p w14:paraId="0310C114">
            <w:pPr>
              <w:pStyle w:val="3"/>
              <w:ind w:left="0" w:leftChars="0" w:firstLine="0" w:firstLineChars="0"/>
              <w:jc w:val="both"/>
              <w:rPr>
                <w:rFonts w:hint="eastAsia"/>
                <w:color w:val="000000" w:themeColor="text1"/>
                <w14:textFill>
                  <w14:solidFill>
                    <w14:schemeClr w14:val="tx1"/>
                  </w14:solidFill>
                </w14:textFill>
              </w:rPr>
            </w:pPr>
          </w:p>
          <w:p w14:paraId="3558C379">
            <w:pPr>
              <w:pStyle w:val="3"/>
              <w:ind w:left="0" w:leftChars="0" w:firstLine="0" w:firstLineChars="0"/>
              <w:jc w:val="both"/>
              <w:rPr>
                <w:rFonts w:hint="eastAsia"/>
                <w:color w:val="000000" w:themeColor="text1"/>
                <w14:textFill>
                  <w14:solidFill>
                    <w14:schemeClr w14:val="tx1"/>
                  </w14:solidFill>
                </w14:textFill>
              </w:rPr>
            </w:pPr>
          </w:p>
        </w:tc>
      </w:tr>
    </w:tbl>
    <w:p w14:paraId="41B1807F">
      <w:pPr>
        <w:jc w:val="both"/>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9AF349">
      <w:pPr>
        <w:pStyle w:val="4"/>
        <w:numPr>
          <w:ilvl w:val="0"/>
          <w:numId w:val="0"/>
        </w:numPr>
        <w:jc w:val="center"/>
        <w:rPr>
          <w:rFonts w:hint="eastAsia" w:ascii="黑体" w:hAnsi="黑体" w:eastAsia="黑体" w:cs="黑体"/>
          <w:b w:val="0"/>
          <w:bCs/>
        </w:rPr>
      </w:pPr>
      <w:r>
        <w:rPr>
          <w:rFonts w:hint="eastAsia" w:ascii="黑体" w:hAnsi="黑体" w:eastAsia="黑体" w:cs="黑体"/>
          <w:b w:val="0"/>
          <w:bCs/>
          <w:kern w:val="44"/>
          <w:sz w:val="30"/>
          <w:szCs w:val="24"/>
          <w:lang w:val="en-US" w:eastAsia="zh-CN" w:bidi="ar-SA"/>
        </w:rPr>
        <w:t>六、</w:t>
      </w:r>
      <w:r>
        <w:rPr>
          <w:rFonts w:hint="eastAsia" w:ascii="黑体" w:hAnsi="黑体" w:eastAsia="黑体" w:cs="黑体"/>
          <w:b w:val="0"/>
          <w:bCs/>
        </w:rPr>
        <w:t>结论</w:t>
      </w:r>
    </w:p>
    <w:tbl>
      <w:tblPr>
        <w:tblStyle w:val="26"/>
        <w:tblW w:w="0" w:type="auto"/>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6ED85EF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2823" w:hRule="atLeast"/>
        </w:trPr>
        <w:tc>
          <w:tcPr>
            <w:tcW w:w="8522" w:type="dxa"/>
            <w:tcBorders>
              <w:tl2br w:val="nil"/>
              <w:tr2bl w:val="nil"/>
            </w:tcBorders>
            <w:vAlign w:val="top"/>
          </w:tcPr>
          <w:p w14:paraId="567C0D22">
            <w:pPr>
              <w:pStyle w:val="3"/>
              <w:ind w:firstLine="480"/>
              <w:jc w:val="both"/>
            </w:pPr>
            <w:r>
              <w:rPr>
                <w:rFonts w:hint="eastAsia"/>
              </w:rPr>
              <w:t>本项目符合国家产业发展政策，项目周围外环境简单，无重大外环境制约因素，项目选址合理。项目施工期、营运期和服务期满阶段产生的污染物在按本报告表中提出的措施及方案进行治理、控制，并加强内部管理，</w:t>
            </w:r>
            <w:r>
              <w:rPr>
                <w:rFonts w:hint="eastAsia"/>
                <w:lang w:val="en-US" w:eastAsia="zh-CN"/>
              </w:rPr>
              <w:t>在</w:t>
            </w:r>
            <w:r>
              <w:rPr>
                <w:rFonts w:hint="eastAsia"/>
              </w:rPr>
              <w:t>实现环保设施的稳定运行的前提下，可以实现污染物达标排放，项目对周围环境不会产生影响。因此，从环境保护、发展经济的角度来看，本项目建设是可行的。</w:t>
            </w:r>
          </w:p>
          <w:p w14:paraId="42AEE74C">
            <w:pPr>
              <w:jc w:val="both"/>
            </w:pPr>
          </w:p>
          <w:p w14:paraId="72F0F925">
            <w:pPr>
              <w:pStyle w:val="24"/>
              <w:ind w:left="482"/>
              <w:jc w:val="both"/>
            </w:pPr>
          </w:p>
          <w:p w14:paraId="0FB9DC90">
            <w:pPr>
              <w:pStyle w:val="2"/>
              <w:jc w:val="both"/>
            </w:pPr>
          </w:p>
          <w:p w14:paraId="403701B2">
            <w:pPr>
              <w:pStyle w:val="31"/>
              <w:jc w:val="both"/>
            </w:pPr>
          </w:p>
          <w:p w14:paraId="0FED1B5A">
            <w:pPr>
              <w:pStyle w:val="31"/>
              <w:jc w:val="both"/>
            </w:pPr>
          </w:p>
          <w:p w14:paraId="5DE936DA">
            <w:pPr>
              <w:pStyle w:val="31"/>
              <w:jc w:val="both"/>
            </w:pPr>
          </w:p>
          <w:p w14:paraId="555F5896">
            <w:pPr>
              <w:pStyle w:val="31"/>
              <w:jc w:val="both"/>
            </w:pPr>
          </w:p>
          <w:p w14:paraId="056EEB49">
            <w:pPr>
              <w:pStyle w:val="31"/>
              <w:jc w:val="both"/>
            </w:pPr>
          </w:p>
          <w:p w14:paraId="2406D555">
            <w:pPr>
              <w:pStyle w:val="31"/>
              <w:jc w:val="both"/>
            </w:pPr>
          </w:p>
          <w:p w14:paraId="64E4F8A2">
            <w:pPr>
              <w:pStyle w:val="31"/>
              <w:jc w:val="both"/>
            </w:pPr>
          </w:p>
          <w:p w14:paraId="592EE085">
            <w:pPr>
              <w:pStyle w:val="31"/>
              <w:jc w:val="both"/>
            </w:pPr>
          </w:p>
          <w:p w14:paraId="6C1D5ED1">
            <w:pPr>
              <w:pStyle w:val="31"/>
              <w:jc w:val="both"/>
            </w:pPr>
          </w:p>
          <w:p w14:paraId="0569C1D6">
            <w:pPr>
              <w:pStyle w:val="31"/>
              <w:jc w:val="both"/>
            </w:pPr>
          </w:p>
          <w:p w14:paraId="746B9885">
            <w:pPr>
              <w:pStyle w:val="31"/>
              <w:jc w:val="both"/>
            </w:pPr>
          </w:p>
          <w:p w14:paraId="1786AE90">
            <w:pPr>
              <w:pStyle w:val="31"/>
              <w:jc w:val="both"/>
            </w:pPr>
          </w:p>
        </w:tc>
      </w:tr>
    </w:tbl>
    <w:p w14:paraId="326A4BB5">
      <w:pPr>
        <w:jc w:val="both"/>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6E5BACD">
      <w:pPr>
        <w:rPr>
          <w:rFonts w:hint="default" w:ascii="Times New Roman" w:hAnsi="Times New Roman" w:eastAsia="宋体" w:cs="Times New Roman"/>
          <w:sz w:val="38"/>
          <w:szCs w:val="38"/>
        </w:rPr>
      </w:pPr>
      <w:r>
        <w:rPr>
          <w:rFonts w:hint="eastAsia" w:ascii="黑体" w:hAnsi="黑体" w:eastAsia="黑体" w:cs="黑体"/>
          <w:b w:val="0"/>
          <w:bCs/>
          <w:sz w:val="30"/>
          <w:szCs w:val="30"/>
        </w:rPr>
        <w:t>附表</w:t>
      </w:r>
    </w:p>
    <w:tbl>
      <w:tblPr>
        <w:tblStyle w:val="25"/>
        <w:tblpPr w:leftFromText="180" w:rightFromText="180" w:vertAnchor="text" w:horzAnchor="page" w:tblpX="1448" w:tblpY="624"/>
        <w:tblOverlap w:val="never"/>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723"/>
        <w:gridCol w:w="1761"/>
        <w:gridCol w:w="1187"/>
        <w:gridCol w:w="1834"/>
        <w:gridCol w:w="1709"/>
        <w:gridCol w:w="1601"/>
        <w:gridCol w:w="1981"/>
        <w:gridCol w:w="1249"/>
      </w:tblGrid>
      <w:tr w14:paraId="0C35E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43" w:type="pct"/>
            <w:tcBorders>
              <w:tl2br w:val="single" w:color="auto" w:sz="4" w:space="0"/>
            </w:tcBorders>
            <w:tcMar>
              <w:left w:w="28" w:type="dxa"/>
              <w:right w:w="28" w:type="dxa"/>
            </w:tcMar>
            <w:vAlign w:val="center"/>
          </w:tcPr>
          <w:p w14:paraId="254EA243">
            <w:pPr>
              <w:pStyle w:val="49"/>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textAlignment w:val="auto"/>
              <w:rPr>
                <w:rFonts w:hint="default" w:ascii="Times New Roman" w:hAnsi="Times New Roman" w:eastAsia="黑体" w:cs="Times New Roman"/>
                <w:snapToGrid w:val="0"/>
                <w:color w:val="auto"/>
                <w:spacing w:val="-6"/>
                <w:kern w:val="21"/>
                <w:sz w:val="20"/>
                <w:szCs w:val="20"/>
              </w:rPr>
            </w:pPr>
            <w:r>
              <w:rPr>
                <w:rFonts w:hint="default" w:ascii="Times New Roman" w:hAnsi="Times New Roman" w:eastAsia="黑体" w:cs="Times New Roman"/>
                <w:snapToGrid w:val="0"/>
                <w:color w:val="auto"/>
                <w:spacing w:val="-6"/>
                <w:kern w:val="21"/>
                <w:sz w:val="20"/>
                <w:szCs w:val="20"/>
              </w:rPr>
              <w:t>项目</w:t>
            </w:r>
          </w:p>
          <w:p w14:paraId="48E22147">
            <w:pPr>
              <w:pStyle w:val="49"/>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both"/>
              <w:textAlignment w:val="auto"/>
              <w:rPr>
                <w:rFonts w:hint="default" w:ascii="Times New Roman" w:hAnsi="Times New Roman" w:eastAsia="黑体" w:cs="Times New Roman"/>
                <w:snapToGrid w:val="0"/>
                <w:color w:val="auto"/>
                <w:spacing w:val="-6"/>
                <w:kern w:val="21"/>
                <w:sz w:val="20"/>
                <w:szCs w:val="20"/>
              </w:rPr>
            </w:pPr>
            <w:r>
              <w:rPr>
                <w:rFonts w:hint="default" w:ascii="Times New Roman" w:hAnsi="Times New Roman" w:eastAsia="黑体" w:cs="Times New Roman"/>
                <w:snapToGrid w:val="0"/>
                <w:color w:val="auto"/>
                <w:spacing w:val="-6"/>
                <w:kern w:val="21"/>
                <w:sz w:val="20"/>
                <w:szCs w:val="20"/>
              </w:rPr>
              <w:t>分类</w:t>
            </w:r>
          </w:p>
        </w:tc>
        <w:tc>
          <w:tcPr>
            <w:tcW w:w="615" w:type="pct"/>
            <w:tcMar>
              <w:left w:w="28" w:type="dxa"/>
              <w:right w:w="28" w:type="dxa"/>
            </w:tcMar>
            <w:vAlign w:val="center"/>
          </w:tcPr>
          <w:p w14:paraId="31BD5A7F">
            <w:pPr>
              <w:pStyle w:val="49"/>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 w:val="20"/>
                <w:szCs w:val="20"/>
              </w:rPr>
            </w:pPr>
            <w:r>
              <w:rPr>
                <w:rFonts w:hint="default" w:ascii="Times New Roman" w:hAnsi="Times New Roman" w:eastAsia="黑体" w:cs="Times New Roman"/>
                <w:snapToGrid w:val="0"/>
                <w:color w:val="auto"/>
                <w:spacing w:val="-6"/>
                <w:kern w:val="21"/>
                <w:sz w:val="20"/>
                <w:szCs w:val="20"/>
              </w:rPr>
              <w:t>污染物名称</w:t>
            </w:r>
          </w:p>
        </w:tc>
        <w:tc>
          <w:tcPr>
            <w:tcW w:w="629" w:type="pct"/>
            <w:tcMar>
              <w:left w:w="28" w:type="dxa"/>
              <w:right w:w="28" w:type="dxa"/>
            </w:tcMar>
            <w:vAlign w:val="center"/>
          </w:tcPr>
          <w:p w14:paraId="52333CB1">
            <w:pPr>
              <w:pStyle w:val="49"/>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 w:val="20"/>
                <w:szCs w:val="20"/>
              </w:rPr>
            </w:pPr>
            <w:r>
              <w:rPr>
                <w:rFonts w:hint="default" w:ascii="Times New Roman" w:hAnsi="Times New Roman" w:eastAsia="黑体" w:cs="Times New Roman"/>
                <w:snapToGrid w:val="0"/>
                <w:color w:val="auto"/>
                <w:spacing w:val="-6"/>
                <w:kern w:val="21"/>
                <w:sz w:val="20"/>
                <w:szCs w:val="20"/>
              </w:rPr>
              <w:t>现有工程排放量（固体废物产生量）</w:t>
            </w:r>
            <w:r>
              <w:rPr>
                <w:rFonts w:hint="default" w:ascii="Times New Roman" w:hAnsi="Times New Roman" w:eastAsia="黑体" w:cs="Times New Roman"/>
                <w:snapToGrid w:val="0"/>
                <w:color w:val="auto"/>
                <w:spacing w:val="-6"/>
                <w:kern w:val="21"/>
                <w:sz w:val="20"/>
                <w:szCs w:val="20"/>
              </w:rPr>
              <w:fldChar w:fldCharType="begin"/>
            </w:r>
            <w:r>
              <w:rPr>
                <w:rFonts w:hint="default" w:ascii="Times New Roman" w:hAnsi="Times New Roman" w:eastAsia="黑体" w:cs="Times New Roman"/>
                <w:snapToGrid w:val="0"/>
                <w:color w:val="auto"/>
                <w:spacing w:val="-6"/>
                <w:kern w:val="21"/>
                <w:sz w:val="20"/>
                <w:szCs w:val="20"/>
              </w:rPr>
              <w:instrText xml:space="preserve"> = 1 \* GB3 \* MERGEFORMAT </w:instrText>
            </w:r>
            <w:r>
              <w:rPr>
                <w:rFonts w:hint="default" w:ascii="Times New Roman" w:hAnsi="Times New Roman" w:eastAsia="黑体" w:cs="Times New Roman"/>
                <w:snapToGrid w:val="0"/>
                <w:color w:val="auto"/>
                <w:spacing w:val="-6"/>
                <w:kern w:val="21"/>
                <w:sz w:val="20"/>
                <w:szCs w:val="20"/>
              </w:rPr>
              <w:fldChar w:fldCharType="separate"/>
            </w:r>
            <w:r>
              <w:rPr>
                <w:rFonts w:hint="default" w:ascii="Times New Roman" w:hAnsi="Times New Roman" w:eastAsia="黑体" w:cs="Times New Roman"/>
                <w:snapToGrid w:val="0"/>
                <w:color w:val="auto"/>
                <w:spacing w:val="-6"/>
                <w:kern w:val="21"/>
                <w:sz w:val="20"/>
                <w:szCs w:val="20"/>
              </w:rPr>
              <w:t>①</w:t>
            </w:r>
            <w:r>
              <w:rPr>
                <w:rFonts w:hint="default" w:ascii="Times New Roman" w:hAnsi="Times New Roman" w:eastAsia="黑体" w:cs="Times New Roman"/>
                <w:snapToGrid w:val="0"/>
                <w:color w:val="auto"/>
                <w:spacing w:val="-6"/>
                <w:kern w:val="21"/>
                <w:sz w:val="20"/>
                <w:szCs w:val="20"/>
              </w:rPr>
              <w:fldChar w:fldCharType="end"/>
            </w:r>
          </w:p>
        </w:tc>
        <w:tc>
          <w:tcPr>
            <w:tcW w:w="423" w:type="pct"/>
            <w:tcMar>
              <w:left w:w="28" w:type="dxa"/>
              <w:right w:w="28" w:type="dxa"/>
            </w:tcMar>
            <w:vAlign w:val="center"/>
          </w:tcPr>
          <w:p w14:paraId="1F728C63">
            <w:pPr>
              <w:pStyle w:val="49"/>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 w:val="20"/>
                <w:szCs w:val="20"/>
              </w:rPr>
            </w:pPr>
            <w:r>
              <w:rPr>
                <w:rFonts w:hint="default" w:ascii="Times New Roman" w:hAnsi="Times New Roman" w:eastAsia="黑体" w:cs="Times New Roman"/>
                <w:snapToGrid w:val="0"/>
                <w:color w:val="auto"/>
                <w:spacing w:val="-6"/>
                <w:kern w:val="21"/>
                <w:sz w:val="20"/>
                <w:szCs w:val="20"/>
              </w:rPr>
              <w:t>现有工程许可排放量</w:t>
            </w:r>
            <w:r>
              <w:rPr>
                <w:rFonts w:hint="default" w:ascii="Times New Roman" w:hAnsi="Times New Roman" w:eastAsia="黑体" w:cs="Times New Roman"/>
                <w:snapToGrid w:val="0"/>
                <w:color w:val="auto"/>
                <w:spacing w:val="-6"/>
                <w:kern w:val="21"/>
                <w:sz w:val="20"/>
                <w:szCs w:val="20"/>
              </w:rPr>
              <w:fldChar w:fldCharType="begin"/>
            </w:r>
            <w:r>
              <w:rPr>
                <w:rFonts w:hint="default" w:ascii="Times New Roman" w:hAnsi="Times New Roman" w:eastAsia="黑体" w:cs="Times New Roman"/>
                <w:snapToGrid w:val="0"/>
                <w:color w:val="auto"/>
                <w:spacing w:val="-6"/>
                <w:kern w:val="21"/>
                <w:sz w:val="20"/>
                <w:szCs w:val="20"/>
              </w:rPr>
              <w:instrText xml:space="preserve"> = 2 \* GB3 \* MERGEFORMAT </w:instrText>
            </w:r>
            <w:r>
              <w:rPr>
                <w:rFonts w:hint="default" w:ascii="Times New Roman" w:hAnsi="Times New Roman" w:eastAsia="黑体" w:cs="Times New Roman"/>
                <w:snapToGrid w:val="0"/>
                <w:color w:val="auto"/>
                <w:spacing w:val="-6"/>
                <w:kern w:val="21"/>
                <w:sz w:val="20"/>
                <w:szCs w:val="20"/>
              </w:rPr>
              <w:fldChar w:fldCharType="separate"/>
            </w:r>
            <w:r>
              <w:rPr>
                <w:rFonts w:hint="default" w:ascii="Times New Roman" w:hAnsi="Times New Roman" w:eastAsia="黑体" w:cs="Times New Roman"/>
                <w:snapToGrid w:val="0"/>
                <w:color w:val="auto"/>
                <w:spacing w:val="-6"/>
                <w:kern w:val="21"/>
                <w:sz w:val="20"/>
                <w:szCs w:val="20"/>
              </w:rPr>
              <w:t>②</w:t>
            </w:r>
            <w:r>
              <w:rPr>
                <w:rFonts w:hint="default" w:ascii="Times New Roman" w:hAnsi="Times New Roman" w:eastAsia="黑体" w:cs="Times New Roman"/>
                <w:snapToGrid w:val="0"/>
                <w:color w:val="auto"/>
                <w:spacing w:val="-6"/>
                <w:kern w:val="21"/>
                <w:sz w:val="20"/>
                <w:szCs w:val="20"/>
              </w:rPr>
              <w:fldChar w:fldCharType="end"/>
            </w:r>
          </w:p>
        </w:tc>
        <w:tc>
          <w:tcPr>
            <w:tcW w:w="654" w:type="pct"/>
            <w:tcMar>
              <w:left w:w="28" w:type="dxa"/>
              <w:right w:w="28" w:type="dxa"/>
            </w:tcMar>
            <w:vAlign w:val="center"/>
          </w:tcPr>
          <w:p w14:paraId="2E8D78AA">
            <w:pPr>
              <w:pStyle w:val="49"/>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 w:val="20"/>
                <w:szCs w:val="20"/>
              </w:rPr>
            </w:pPr>
            <w:r>
              <w:rPr>
                <w:rFonts w:hint="default" w:ascii="Times New Roman" w:hAnsi="Times New Roman" w:eastAsia="黑体" w:cs="Times New Roman"/>
                <w:snapToGrid w:val="0"/>
                <w:color w:val="auto"/>
                <w:spacing w:val="-6"/>
                <w:kern w:val="21"/>
                <w:sz w:val="20"/>
                <w:szCs w:val="20"/>
              </w:rPr>
              <w:t>在建工程排放量（固体废物产生量）</w:t>
            </w:r>
            <w:r>
              <w:rPr>
                <w:rFonts w:hint="default" w:ascii="Times New Roman" w:hAnsi="Times New Roman" w:eastAsia="黑体" w:cs="Times New Roman"/>
                <w:snapToGrid w:val="0"/>
                <w:color w:val="auto"/>
                <w:spacing w:val="-6"/>
                <w:kern w:val="21"/>
                <w:sz w:val="20"/>
                <w:szCs w:val="20"/>
              </w:rPr>
              <w:fldChar w:fldCharType="begin"/>
            </w:r>
            <w:r>
              <w:rPr>
                <w:rFonts w:hint="default" w:ascii="Times New Roman" w:hAnsi="Times New Roman" w:eastAsia="黑体" w:cs="Times New Roman"/>
                <w:snapToGrid w:val="0"/>
                <w:color w:val="auto"/>
                <w:spacing w:val="-6"/>
                <w:kern w:val="21"/>
                <w:sz w:val="20"/>
                <w:szCs w:val="20"/>
              </w:rPr>
              <w:instrText xml:space="preserve"> = 3 \* GB3 \* MERGEFORMAT </w:instrText>
            </w:r>
            <w:r>
              <w:rPr>
                <w:rFonts w:hint="default" w:ascii="Times New Roman" w:hAnsi="Times New Roman" w:eastAsia="黑体" w:cs="Times New Roman"/>
                <w:snapToGrid w:val="0"/>
                <w:color w:val="auto"/>
                <w:spacing w:val="-6"/>
                <w:kern w:val="21"/>
                <w:sz w:val="20"/>
                <w:szCs w:val="20"/>
              </w:rPr>
              <w:fldChar w:fldCharType="separate"/>
            </w:r>
            <w:r>
              <w:rPr>
                <w:rFonts w:hint="default" w:ascii="Times New Roman" w:hAnsi="Times New Roman" w:eastAsia="黑体" w:cs="Times New Roman"/>
                <w:color w:val="auto"/>
                <w:kern w:val="2"/>
                <w:sz w:val="20"/>
                <w:szCs w:val="20"/>
              </w:rPr>
              <w:t>③</w:t>
            </w:r>
            <w:r>
              <w:rPr>
                <w:rFonts w:hint="default" w:ascii="Times New Roman" w:hAnsi="Times New Roman" w:eastAsia="黑体" w:cs="Times New Roman"/>
                <w:snapToGrid w:val="0"/>
                <w:color w:val="auto"/>
                <w:spacing w:val="-6"/>
                <w:kern w:val="21"/>
                <w:sz w:val="20"/>
                <w:szCs w:val="20"/>
              </w:rPr>
              <w:fldChar w:fldCharType="end"/>
            </w:r>
          </w:p>
        </w:tc>
        <w:tc>
          <w:tcPr>
            <w:tcW w:w="610" w:type="pct"/>
            <w:tcMar>
              <w:left w:w="28" w:type="dxa"/>
              <w:right w:w="28" w:type="dxa"/>
            </w:tcMar>
            <w:vAlign w:val="center"/>
          </w:tcPr>
          <w:p w14:paraId="11CBE774">
            <w:pPr>
              <w:pStyle w:val="49"/>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 w:val="20"/>
                <w:szCs w:val="20"/>
              </w:rPr>
            </w:pPr>
            <w:r>
              <w:rPr>
                <w:rFonts w:hint="default" w:ascii="Times New Roman" w:hAnsi="Times New Roman" w:eastAsia="黑体" w:cs="Times New Roman"/>
                <w:snapToGrid w:val="0"/>
                <w:color w:val="auto"/>
                <w:spacing w:val="-6"/>
                <w:kern w:val="21"/>
                <w:sz w:val="20"/>
                <w:szCs w:val="20"/>
              </w:rPr>
              <w:t>本项目排放量（固体废物产生量）</w:t>
            </w:r>
            <w:r>
              <w:rPr>
                <w:rFonts w:hint="default" w:ascii="Times New Roman" w:hAnsi="Times New Roman" w:eastAsia="黑体" w:cs="Times New Roman"/>
                <w:snapToGrid w:val="0"/>
                <w:color w:val="auto"/>
                <w:spacing w:val="-6"/>
                <w:kern w:val="21"/>
                <w:sz w:val="20"/>
                <w:szCs w:val="20"/>
              </w:rPr>
              <w:fldChar w:fldCharType="begin"/>
            </w:r>
            <w:r>
              <w:rPr>
                <w:rFonts w:hint="default" w:ascii="Times New Roman" w:hAnsi="Times New Roman" w:eastAsia="黑体" w:cs="Times New Roman"/>
                <w:snapToGrid w:val="0"/>
                <w:color w:val="auto"/>
                <w:spacing w:val="-6"/>
                <w:kern w:val="21"/>
                <w:sz w:val="20"/>
                <w:szCs w:val="20"/>
              </w:rPr>
              <w:instrText xml:space="preserve"> = 4 \* GB3 \* MERGEFORMAT </w:instrText>
            </w:r>
            <w:r>
              <w:rPr>
                <w:rFonts w:hint="default" w:ascii="Times New Roman" w:hAnsi="Times New Roman" w:eastAsia="黑体" w:cs="Times New Roman"/>
                <w:snapToGrid w:val="0"/>
                <w:color w:val="auto"/>
                <w:spacing w:val="-6"/>
                <w:kern w:val="21"/>
                <w:sz w:val="20"/>
                <w:szCs w:val="20"/>
              </w:rPr>
              <w:fldChar w:fldCharType="separate"/>
            </w:r>
            <w:r>
              <w:rPr>
                <w:rFonts w:hint="default" w:ascii="Times New Roman" w:hAnsi="Times New Roman" w:eastAsia="黑体" w:cs="Times New Roman"/>
                <w:color w:val="auto"/>
                <w:kern w:val="2"/>
                <w:sz w:val="20"/>
                <w:szCs w:val="20"/>
              </w:rPr>
              <w:t>④</w:t>
            </w:r>
            <w:r>
              <w:rPr>
                <w:rFonts w:hint="default" w:ascii="Times New Roman" w:hAnsi="Times New Roman" w:eastAsia="黑体" w:cs="Times New Roman"/>
                <w:snapToGrid w:val="0"/>
                <w:color w:val="auto"/>
                <w:spacing w:val="-6"/>
                <w:kern w:val="21"/>
                <w:sz w:val="20"/>
                <w:szCs w:val="20"/>
              </w:rPr>
              <w:fldChar w:fldCharType="end"/>
            </w:r>
          </w:p>
        </w:tc>
        <w:tc>
          <w:tcPr>
            <w:tcW w:w="571" w:type="pct"/>
            <w:tcMar>
              <w:left w:w="28" w:type="dxa"/>
              <w:right w:w="28" w:type="dxa"/>
            </w:tcMar>
            <w:vAlign w:val="center"/>
          </w:tcPr>
          <w:p w14:paraId="29500A27">
            <w:pPr>
              <w:pStyle w:val="49"/>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黑体" w:cs="Times New Roman"/>
                <w:snapToGrid w:val="0"/>
                <w:color w:val="auto"/>
                <w:spacing w:val="-16"/>
                <w:kern w:val="21"/>
                <w:sz w:val="20"/>
                <w:szCs w:val="20"/>
              </w:rPr>
            </w:pPr>
            <w:r>
              <w:rPr>
                <w:rFonts w:hint="default" w:ascii="Times New Roman" w:hAnsi="Times New Roman" w:eastAsia="黑体" w:cs="Times New Roman"/>
                <w:snapToGrid w:val="0"/>
                <w:color w:val="auto"/>
                <w:spacing w:val="-16"/>
                <w:kern w:val="21"/>
                <w:sz w:val="20"/>
                <w:szCs w:val="20"/>
              </w:rPr>
              <w:t>以新带老削减量（新建项目不填）</w:t>
            </w:r>
            <w:r>
              <w:rPr>
                <w:rFonts w:hint="default" w:ascii="Times New Roman" w:hAnsi="Times New Roman" w:eastAsia="黑体" w:cs="Times New Roman"/>
                <w:snapToGrid w:val="0"/>
                <w:color w:val="auto"/>
                <w:spacing w:val="-16"/>
                <w:kern w:val="21"/>
                <w:sz w:val="20"/>
                <w:szCs w:val="20"/>
              </w:rPr>
              <w:fldChar w:fldCharType="begin"/>
            </w:r>
            <w:r>
              <w:rPr>
                <w:rFonts w:hint="default" w:ascii="Times New Roman" w:hAnsi="Times New Roman" w:eastAsia="黑体" w:cs="Times New Roman"/>
                <w:snapToGrid w:val="0"/>
                <w:color w:val="auto"/>
                <w:spacing w:val="-16"/>
                <w:kern w:val="21"/>
                <w:sz w:val="20"/>
                <w:szCs w:val="20"/>
              </w:rPr>
              <w:instrText xml:space="preserve"> = 5 \* GB3 \* MERGEFORMAT </w:instrText>
            </w:r>
            <w:r>
              <w:rPr>
                <w:rFonts w:hint="default" w:ascii="Times New Roman" w:hAnsi="Times New Roman" w:eastAsia="黑体" w:cs="Times New Roman"/>
                <w:snapToGrid w:val="0"/>
                <w:color w:val="auto"/>
                <w:spacing w:val="-16"/>
                <w:kern w:val="21"/>
                <w:sz w:val="20"/>
                <w:szCs w:val="20"/>
              </w:rPr>
              <w:fldChar w:fldCharType="separate"/>
            </w:r>
            <w:r>
              <w:rPr>
                <w:rFonts w:hint="default" w:ascii="Times New Roman" w:hAnsi="Times New Roman" w:eastAsia="黑体" w:cs="Times New Roman"/>
                <w:color w:val="auto"/>
                <w:kern w:val="2"/>
                <w:sz w:val="20"/>
                <w:szCs w:val="20"/>
              </w:rPr>
              <w:t>⑤</w:t>
            </w:r>
            <w:r>
              <w:rPr>
                <w:rFonts w:hint="default" w:ascii="Times New Roman" w:hAnsi="Times New Roman" w:eastAsia="黑体" w:cs="Times New Roman"/>
                <w:snapToGrid w:val="0"/>
                <w:color w:val="auto"/>
                <w:spacing w:val="-16"/>
                <w:kern w:val="21"/>
                <w:sz w:val="20"/>
                <w:szCs w:val="20"/>
              </w:rPr>
              <w:fldChar w:fldCharType="end"/>
            </w:r>
          </w:p>
        </w:tc>
        <w:tc>
          <w:tcPr>
            <w:tcW w:w="707" w:type="pct"/>
            <w:tcMar>
              <w:left w:w="28" w:type="dxa"/>
              <w:right w:w="28" w:type="dxa"/>
            </w:tcMar>
            <w:vAlign w:val="center"/>
          </w:tcPr>
          <w:p w14:paraId="7CEB4E36">
            <w:pPr>
              <w:pStyle w:val="49"/>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黑体" w:cs="Times New Roman"/>
                <w:snapToGrid w:val="0"/>
                <w:color w:val="auto"/>
                <w:spacing w:val="-16"/>
                <w:kern w:val="21"/>
                <w:sz w:val="20"/>
                <w:szCs w:val="20"/>
              </w:rPr>
            </w:pPr>
            <w:r>
              <w:rPr>
                <w:rFonts w:hint="default" w:ascii="Times New Roman" w:hAnsi="Times New Roman" w:eastAsia="黑体" w:cs="Times New Roman"/>
                <w:snapToGrid w:val="0"/>
                <w:color w:val="auto"/>
                <w:spacing w:val="-16"/>
                <w:kern w:val="21"/>
                <w:sz w:val="20"/>
                <w:szCs w:val="20"/>
              </w:rPr>
              <w:t>本项目建成后全厂排放量（固体废物产生量）</w:t>
            </w:r>
            <w:r>
              <w:rPr>
                <w:rFonts w:hint="default" w:ascii="Times New Roman" w:hAnsi="Times New Roman" w:eastAsia="黑体" w:cs="Times New Roman"/>
                <w:snapToGrid w:val="0"/>
                <w:color w:val="auto"/>
                <w:spacing w:val="-16"/>
                <w:kern w:val="21"/>
                <w:sz w:val="20"/>
                <w:szCs w:val="20"/>
              </w:rPr>
              <w:fldChar w:fldCharType="begin"/>
            </w:r>
            <w:r>
              <w:rPr>
                <w:rFonts w:hint="default" w:ascii="Times New Roman" w:hAnsi="Times New Roman" w:eastAsia="黑体" w:cs="Times New Roman"/>
                <w:snapToGrid w:val="0"/>
                <w:color w:val="auto"/>
                <w:spacing w:val="-16"/>
                <w:kern w:val="21"/>
                <w:sz w:val="20"/>
                <w:szCs w:val="20"/>
              </w:rPr>
              <w:instrText xml:space="preserve"> = 6 \* GB3 \* MERGEFORMAT </w:instrText>
            </w:r>
            <w:r>
              <w:rPr>
                <w:rFonts w:hint="default" w:ascii="Times New Roman" w:hAnsi="Times New Roman" w:eastAsia="黑体" w:cs="Times New Roman"/>
                <w:snapToGrid w:val="0"/>
                <w:color w:val="auto"/>
                <w:spacing w:val="-16"/>
                <w:kern w:val="21"/>
                <w:sz w:val="20"/>
                <w:szCs w:val="20"/>
              </w:rPr>
              <w:fldChar w:fldCharType="separate"/>
            </w:r>
            <w:r>
              <w:rPr>
                <w:rFonts w:hint="default" w:ascii="Times New Roman" w:hAnsi="Times New Roman" w:eastAsia="黑体" w:cs="Times New Roman"/>
                <w:color w:val="auto"/>
                <w:kern w:val="2"/>
                <w:sz w:val="20"/>
                <w:szCs w:val="20"/>
              </w:rPr>
              <w:t>⑥</w:t>
            </w:r>
            <w:r>
              <w:rPr>
                <w:rFonts w:hint="default" w:ascii="Times New Roman" w:hAnsi="Times New Roman" w:eastAsia="黑体" w:cs="Times New Roman"/>
                <w:snapToGrid w:val="0"/>
                <w:color w:val="auto"/>
                <w:spacing w:val="-16"/>
                <w:kern w:val="21"/>
                <w:sz w:val="20"/>
                <w:szCs w:val="20"/>
              </w:rPr>
              <w:fldChar w:fldCharType="end"/>
            </w:r>
          </w:p>
        </w:tc>
        <w:tc>
          <w:tcPr>
            <w:tcW w:w="445" w:type="pct"/>
            <w:tcMar>
              <w:left w:w="28" w:type="dxa"/>
              <w:right w:w="28" w:type="dxa"/>
            </w:tcMar>
            <w:vAlign w:val="center"/>
          </w:tcPr>
          <w:p w14:paraId="46AAAC7D">
            <w:pPr>
              <w:pStyle w:val="49"/>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textAlignment w:val="auto"/>
              <w:rPr>
                <w:rFonts w:hint="default" w:ascii="Times New Roman" w:hAnsi="Times New Roman" w:eastAsia="黑体" w:cs="Times New Roman"/>
                <w:snapToGrid w:val="0"/>
                <w:color w:val="auto"/>
                <w:spacing w:val="-6"/>
                <w:kern w:val="21"/>
                <w:sz w:val="20"/>
                <w:szCs w:val="20"/>
              </w:rPr>
            </w:pPr>
            <w:r>
              <w:rPr>
                <w:rFonts w:hint="default" w:ascii="Times New Roman" w:hAnsi="Times New Roman" w:eastAsia="黑体" w:cs="Times New Roman"/>
                <w:snapToGrid w:val="0"/>
                <w:color w:val="auto"/>
                <w:spacing w:val="-6"/>
                <w:kern w:val="21"/>
                <w:sz w:val="20"/>
                <w:szCs w:val="20"/>
              </w:rPr>
              <w:t>变化量</w:t>
            </w:r>
            <w:r>
              <w:rPr>
                <w:rFonts w:hint="default" w:ascii="Times New Roman" w:hAnsi="Times New Roman" w:eastAsia="黑体" w:cs="Times New Roman"/>
                <w:snapToGrid w:val="0"/>
                <w:color w:val="auto"/>
                <w:spacing w:val="-6"/>
                <w:kern w:val="21"/>
                <w:sz w:val="20"/>
                <w:szCs w:val="20"/>
              </w:rPr>
              <w:fldChar w:fldCharType="begin"/>
            </w:r>
            <w:r>
              <w:rPr>
                <w:rFonts w:hint="default" w:ascii="Times New Roman" w:hAnsi="Times New Roman" w:eastAsia="黑体" w:cs="Times New Roman"/>
                <w:snapToGrid w:val="0"/>
                <w:color w:val="auto"/>
                <w:spacing w:val="-6"/>
                <w:kern w:val="21"/>
                <w:sz w:val="20"/>
                <w:szCs w:val="20"/>
              </w:rPr>
              <w:instrText xml:space="preserve"> = 7 \* GB3 \* MERGEFORMAT </w:instrText>
            </w:r>
            <w:r>
              <w:rPr>
                <w:rFonts w:hint="default" w:ascii="Times New Roman" w:hAnsi="Times New Roman" w:eastAsia="黑体" w:cs="Times New Roman"/>
                <w:snapToGrid w:val="0"/>
                <w:color w:val="auto"/>
                <w:spacing w:val="-6"/>
                <w:kern w:val="21"/>
                <w:sz w:val="20"/>
                <w:szCs w:val="20"/>
              </w:rPr>
              <w:fldChar w:fldCharType="separate"/>
            </w:r>
            <w:r>
              <w:rPr>
                <w:rFonts w:hint="default" w:ascii="Times New Roman" w:hAnsi="Times New Roman" w:eastAsia="黑体" w:cs="Times New Roman"/>
                <w:color w:val="auto"/>
                <w:kern w:val="2"/>
                <w:sz w:val="20"/>
                <w:szCs w:val="20"/>
              </w:rPr>
              <w:t>⑦</w:t>
            </w:r>
            <w:r>
              <w:rPr>
                <w:rFonts w:hint="default" w:ascii="Times New Roman" w:hAnsi="Times New Roman" w:eastAsia="黑体" w:cs="Times New Roman"/>
                <w:snapToGrid w:val="0"/>
                <w:color w:val="auto"/>
                <w:spacing w:val="-6"/>
                <w:kern w:val="21"/>
                <w:sz w:val="20"/>
                <w:szCs w:val="20"/>
              </w:rPr>
              <w:fldChar w:fldCharType="end"/>
            </w:r>
          </w:p>
        </w:tc>
      </w:tr>
      <w:tr w14:paraId="0E786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43" w:type="pct"/>
            <w:vMerge w:val="restart"/>
            <w:vAlign w:val="center"/>
          </w:tcPr>
          <w:p w14:paraId="654E8F29">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rPr>
              <w:t>废</w:t>
            </w:r>
            <w:r>
              <w:rPr>
                <w:rFonts w:hint="default" w:ascii="Times New Roman" w:hAnsi="Times New Roman" w:eastAsia="黑体" w:cs="Times New Roman"/>
                <w:b w:val="0"/>
                <w:bCs/>
                <w:snapToGrid w:val="0"/>
                <w:color w:val="auto"/>
                <w:kern w:val="21"/>
                <w:sz w:val="20"/>
                <w:szCs w:val="20"/>
                <w:lang w:val="en-US" w:eastAsia="zh-CN"/>
              </w:rPr>
              <w:t>水</w:t>
            </w:r>
          </w:p>
        </w:tc>
        <w:tc>
          <w:tcPr>
            <w:tcW w:w="615" w:type="pct"/>
            <w:vAlign w:val="center"/>
          </w:tcPr>
          <w:p w14:paraId="615F6CB4">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r>
              <w:rPr>
                <w:rFonts w:hint="default" w:ascii="Times New Roman" w:hAnsi="Times New Roman" w:eastAsia="黑体" w:cs="Times New Roman"/>
                <w:b w:val="0"/>
                <w:bCs/>
                <w:color w:val="auto"/>
                <w:sz w:val="20"/>
                <w:szCs w:val="20"/>
                <w:lang w:val="en-US" w:eastAsia="zh-CN"/>
              </w:rPr>
              <w:t>COD</w:t>
            </w:r>
            <w:r>
              <w:rPr>
                <w:rFonts w:hint="default" w:ascii="Times New Roman" w:hAnsi="Times New Roman" w:eastAsia="黑体" w:cs="Times New Roman"/>
                <w:b w:val="0"/>
                <w:bCs/>
                <w:color w:val="auto"/>
                <w:sz w:val="20"/>
                <w:szCs w:val="20"/>
                <w:vertAlign w:val="subscript"/>
                <w:lang w:val="en-US" w:eastAsia="zh-CN"/>
              </w:rPr>
              <w:t>cr</w:t>
            </w:r>
          </w:p>
        </w:tc>
        <w:tc>
          <w:tcPr>
            <w:tcW w:w="629" w:type="pct"/>
            <w:vAlign w:val="center"/>
          </w:tcPr>
          <w:p w14:paraId="606E0245">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423" w:type="pct"/>
            <w:vAlign w:val="center"/>
          </w:tcPr>
          <w:p w14:paraId="123CBEE6">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vAlign w:val="center"/>
          </w:tcPr>
          <w:p w14:paraId="4B6E7D96">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vAlign w:val="center"/>
          </w:tcPr>
          <w:p w14:paraId="37315B50">
            <w:pPr>
              <w:pStyle w:val="35"/>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rPr>
                <w:rFonts w:hint="default" w:ascii="Times New Roman" w:hAnsi="Times New Roman" w:eastAsia="黑体" w:cs="Times New Roman"/>
                <w:color w:val="auto"/>
                <w:sz w:val="20"/>
                <w:szCs w:val="20"/>
                <w:lang w:val="en-US" w:eastAsia="zh-CN"/>
              </w:rPr>
            </w:pPr>
            <w:r>
              <w:rPr>
                <w:rFonts w:hint="eastAsia" w:cs="Times New Roman"/>
                <w:b w:val="0"/>
                <w:bCs/>
                <w:color w:val="auto"/>
                <w:sz w:val="21"/>
                <w:szCs w:val="21"/>
                <w:lang w:val="en-US" w:eastAsia="zh-CN"/>
              </w:rPr>
              <w:t>0.029</w:t>
            </w:r>
            <w:r>
              <w:rPr>
                <w:rFonts w:hint="default" w:ascii="Times New Roman" w:hAnsi="Times New Roman" w:eastAsia="黑体" w:cs="Times New Roman"/>
                <w:b w:val="0"/>
                <w:bCs/>
                <w:color w:val="auto"/>
                <w:kern w:val="2"/>
                <w:sz w:val="20"/>
                <w:szCs w:val="20"/>
                <w:lang w:val="en-US" w:eastAsia="zh-CN" w:bidi="ar-SA"/>
              </w:rPr>
              <w:t>吨/年</w:t>
            </w:r>
          </w:p>
        </w:tc>
        <w:tc>
          <w:tcPr>
            <w:tcW w:w="571" w:type="pct"/>
            <w:vAlign w:val="center"/>
          </w:tcPr>
          <w:p w14:paraId="59E90DB4">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vAlign w:val="center"/>
          </w:tcPr>
          <w:p w14:paraId="36824B41">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sz w:val="20"/>
                <w:szCs w:val="20"/>
                <w:lang w:val="en-US" w:eastAsia="zh-CN"/>
              </w:rPr>
            </w:pPr>
            <w:r>
              <w:rPr>
                <w:rFonts w:hint="default" w:ascii="Times New Roman" w:hAnsi="Times New Roman" w:eastAsia="黑体" w:cs="Times New Roman"/>
                <w:b w:val="0"/>
                <w:bCs/>
                <w:color w:val="auto"/>
                <w:kern w:val="2"/>
                <w:sz w:val="20"/>
                <w:szCs w:val="20"/>
                <w:lang w:val="en-US" w:eastAsia="zh-CN" w:bidi="ar-SA"/>
              </w:rPr>
              <w:t>0.02</w:t>
            </w:r>
            <w:r>
              <w:rPr>
                <w:rFonts w:hint="eastAsia" w:eastAsia="黑体" w:cs="Times New Roman"/>
                <w:b w:val="0"/>
                <w:bCs/>
                <w:color w:val="auto"/>
                <w:kern w:val="2"/>
                <w:sz w:val="20"/>
                <w:szCs w:val="20"/>
                <w:lang w:val="en-US" w:eastAsia="zh-CN" w:bidi="ar-SA"/>
              </w:rPr>
              <w:t>9</w:t>
            </w:r>
            <w:r>
              <w:rPr>
                <w:rFonts w:hint="default" w:ascii="Times New Roman" w:hAnsi="Times New Roman" w:eastAsia="黑体" w:cs="Times New Roman"/>
                <w:b w:val="0"/>
                <w:bCs/>
                <w:color w:val="auto"/>
                <w:kern w:val="2"/>
                <w:sz w:val="20"/>
                <w:szCs w:val="20"/>
                <w:lang w:val="en-US" w:eastAsia="zh-CN" w:bidi="ar-SA"/>
              </w:rPr>
              <w:t>吨/年</w:t>
            </w:r>
          </w:p>
        </w:tc>
        <w:tc>
          <w:tcPr>
            <w:tcW w:w="445" w:type="pct"/>
            <w:vAlign w:val="center"/>
          </w:tcPr>
          <w:p w14:paraId="40C4C6F7">
            <w:pPr>
              <w:bidi w:val="0"/>
              <w:jc w:val="center"/>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color w:val="auto"/>
                <w:kern w:val="2"/>
                <w:sz w:val="20"/>
                <w:szCs w:val="20"/>
                <w:lang w:val="en-US" w:eastAsia="zh-CN" w:bidi="ar-SA"/>
              </w:rPr>
              <w:t>+0.02</w:t>
            </w:r>
            <w:r>
              <w:rPr>
                <w:rFonts w:hint="eastAsia" w:eastAsia="黑体" w:cs="Times New Roman"/>
                <w:b w:val="0"/>
                <w:bCs/>
                <w:color w:val="auto"/>
                <w:kern w:val="2"/>
                <w:sz w:val="20"/>
                <w:szCs w:val="20"/>
                <w:lang w:val="en-US" w:eastAsia="zh-CN" w:bidi="ar-SA"/>
              </w:rPr>
              <w:t>9</w:t>
            </w:r>
            <w:r>
              <w:rPr>
                <w:rFonts w:hint="default" w:ascii="Times New Roman" w:hAnsi="Times New Roman" w:eastAsia="黑体" w:cs="Times New Roman"/>
                <w:b w:val="0"/>
                <w:bCs/>
                <w:color w:val="auto"/>
                <w:kern w:val="2"/>
                <w:sz w:val="20"/>
                <w:szCs w:val="20"/>
                <w:lang w:val="en-US" w:eastAsia="zh-CN" w:bidi="ar-SA"/>
              </w:rPr>
              <w:t>吨/年</w:t>
            </w:r>
          </w:p>
        </w:tc>
      </w:tr>
      <w:tr w14:paraId="528AB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43" w:type="pct"/>
            <w:vMerge w:val="continue"/>
            <w:vAlign w:val="center"/>
          </w:tcPr>
          <w:p w14:paraId="3345FD3F">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p>
        </w:tc>
        <w:tc>
          <w:tcPr>
            <w:tcW w:w="615" w:type="pct"/>
            <w:vAlign w:val="center"/>
          </w:tcPr>
          <w:p w14:paraId="18D41D2E">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sz w:val="20"/>
                <w:szCs w:val="20"/>
              </w:rPr>
            </w:pPr>
            <w:r>
              <w:rPr>
                <w:rFonts w:hint="default" w:ascii="Times New Roman" w:hAnsi="Times New Roman" w:eastAsia="黑体" w:cs="Times New Roman"/>
                <w:b w:val="0"/>
                <w:bCs/>
                <w:color w:val="auto"/>
                <w:sz w:val="20"/>
                <w:szCs w:val="20"/>
                <w:lang w:val="en-US" w:eastAsia="zh-CN"/>
              </w:rPr>
              <w:t>SS</w:t>
            </w:r>
          </w:p>
        </w:tc>
        <w:tc>
          <w:tcPr>
            <w:tcW w:w="629" w:type="pct"/>
            <w:vAlign w:val="center"/>
          </w:tcPr>
          <w:p w14:paraId="11E4DE7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423" w:type="pct"/>
            <w:vAlign w:val="center"/>
          </w:tcPr>
          <w:p w14:paraId="2822781E">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vAlign w:val="center"/>
          </w:tcPr>
          <w:p w14:paraId="045EF9CC">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vAlign w:val="center"/>
          </w:tcPr>
          <w:p w14:paraId="6134004E">
            <w:pPr>
              <w:pStyle w:val="35"/>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rPr>
                <w:rFonts w:hint="default" w:ascii="Times New Roman" w:hAnsi="Times New Roman" w:eastAsia="黑体" w:cs="Times New Roman"/>
                <w:b w:val="0"/>
                <w:bCs/>
                <w:color w:val="auto"/>
                <w:kern w:val="2"/>
                <w:sz w:val="20"/>
                <w:szCs w:val="20"/>
                <w:lang w:val="en-US" w:eastAsia="zh-CN" w:bidi="ar-SA"/>
              </w:rPr>
            </w:pPr>
            <w:r>
              <w:rPr>
                <w:rFonts w:hint="eastAsia" w:cs="Times New Roman"/>
                <w:b w:val="0"/>
                <w:bCs/>
                <w:color w:val="auto"/>
                <w:sz w:val="21"/>
                <w:szCs w:val="21"/>
                <w:lang w:val="en-US" w:eastAsia="zh-CN"/>
              </w:rPr>
              <w:t>0.014</w:t>
            </w:r>
            <w:r>
              <w:rPr>
                <w:rFonts w:hint="default" w:ascii="Times New Roman" w:hAnsi="Times New Roman" w:eastAsia="黑体" w:cs="Times New Roman"/>
                <w:b w:val="0"/>
                <w:bCs/>
                <w:color w:val="auto"/>
                <w:kern w:val="2"/>
                <w:sz w:val="20"/>
                <w:szCs w:val="20"/>
                <w:lang w:val="en-US" w:eastAsia="zh-CN" w:bidi="ar-SA"/>
              </w:rPr>
              <w:t>吨/年</w:t>
            </w:r>
          </w:p>
        </w:tc>
        <w:tc>
          <w:tcPr>
            <w:tcW w:w="571" w:type="pct"/>
            <w:vAlign w:val="center"/>
          </w:tcPr>
          <w:p w14:paraId="5B1DE782">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vAlign w:val="center"/>
          </w:tcPr>
          <w:p w14:paraId="0643806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sz w:val="20"/>
                <w:szCs w:val="20"/>
              </w:rPr>
            </w:pPr>
            <w:r>
              <w:rPr>
                <w:rFonts w:hint="default" w:ascii="Times New Roman" w:hAnsi="Times New Roman" w:eastAsia="黑体" w:cs="Times New Roman"/>
                <w:b w:val="0"/>
                <w:bCs/>
                <w:color w:val="auto"/>
                <w:kern w:val="2"/>
                <w:sz w:val="20"/>
                <w:szCs w:val="20"/>
                <w:lang w:val="en-US" w:eastAsia="zh-CN" w:bidi="ar-SA"/>
              </w:rPr>
              <w:t>0.01</w:t>
            </w:r>
            <w:r>
              <w:rPr>
                <w:rFonts w:hint="eastAsia" w:eastAsia="黑体" w:cs="Times New Roman"/>
                <w:b w:val="0"/>
                <w:bCs/>
                <w:color w:val="auto"/>
                <w:kern w:val="2"/>
                <w:sz w:val="20"/>
                <w:szCs w:val="20"/>
                <w:lang w:val="en-US" w:eastAsia="zh-CN" w:bidi="ar-SA"/>
              </w:rPr>
              <w:t>4</w:t>
            </w:r>
            <w:r>
              <w:rPr>
                <w:rFonts w:hint="default" w:ascii="Times New Roman" w:hAnsi="Times New Roman" w:eastAsia="黑体" w:cs="Times New Roman"/>
                <w:b w:val="0"/>
                <w:bCs/>
                <w:color w:val="auto"/>
                <w:kern w:val="2"/>
                <w:sz w:val="20"/>
                <w:szCs w:val="20"/>
                <w:lang w:val="en-US" w:eastAsia="zh-CN" w:bidi="ar-SA"/>
              </w:rPr>
              <w:t>吨/年</w:t>
            </w:r>
          </w:p>
        </w:tc>
        <w:tc>
          <w:tcPr>
            <w:tcW w:w="445" w:type="pct"/>
            <w:vAlign w:val="center"/>
          </w:tcPr>
          <w:p w14:paraId="2E2755EA">
            <w:pPr>
              <w:pStyle w:val="35"/>
              <w:bidi w:val="0"/>
              <w:jc w:val="center"/>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color w:val="auto"/>
                <w:kern w:val="2"/>
                <w:sz w:val="20"/>
                <w:szCs w:val="20"/>
                <w:lang w:val="en-US" w:eastAsia="zh-CN" w:bidi="ar-SA"/>
              </w:rPr>
              <w:t>+0.01</w:t>
            </w:r>
            <w:r>
              <w:rPr>
                <w:rFonts w:hint="eastAsia" w:eastAsia="黑体" w:cs="Times New Roman"/>
                <w:b w:val="0"/>
                <w:bCs/>
                <w:color w:val="auto"/>
                <w:kern w:val="2"/>
                <w:sz w:val="20"/>
                <w:szCs w:val="20"/>
                <w:lang w:val="en-US" w:eastAsia="zh-CN" w:bidi="ar-SA"/>
              </w:rPr>
              <w:t>4</w:t>
            </w:r>
            <w:r>
              <w:rPr>
                <w:rFonts w:hint="default" w:ascii="Times New Roman" w:hAnsi="Times New Roman" w:eastAsia="黑体" w:cs="Times New Roman"/>
                <w:b w:val="0"/>
                <w:bCs/>
                <w:color w:val="auto"/>
                <w:kern w:val="2"/>
                <w:sz w:val="20"/>
                <w:szCs w:val="20"/>
                <w:lang w:val="en-US" w:eastAsia="zh-CN" w:bidi="ar-SA"/>
              </w:rPr>
              <w:t>吨/年</w:t>
            </w:r>
          </w:p>
        </w:tc>
      </w:tr>
      <w:tr w14:paraId="54C9D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43" w:type="pct"/>
            <w:vMerge w:val="continue"/>
            <w:vAlign w:val="center"/>
          </w:tcPr>
          <w:p w14:paraId="63AA5B81">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p>
        </w:tc>
        <w:tc>
          <w:tcPr>
            <w:tcW w:w="615" w:type="pct"/>
            <w:vAlign w:val="center"/>
          </w:tcPr>
          <w:p w14:paraId="6B85A76C">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color w:val="auto"/>
                <w:sz w:val="20"/>
                <w:szCs w:val="20"/>
                <w:lang w:val="en-US" w:eastAsia="zh-CN"/>
              </w:rPr>
              <w:t>NH</w:t>
            </w:r>
            <w:r>
              <w:rPr>
                <w:rFonts w:hint="default" w:ascii="Times New Roman" w:hAnsi="Times New Roman" w:eastAsia="黑体" w:cs="Times New Roman"/>
                <w:b w:val="0"/>
                <w:bCs/>
                <w:color w:val="auto"/>
                <w:sz w:val="20"/>
                <w:szCs w:val="20"/>
                <w:vertAlign w:val="subscript"/>
                <w:lang w:val="en-US" w:eastAsia="zh-CN"/>
              </w:rPr>
              <w:t>3</w:t>
            </w:r>
            <w:r>
              <w:rPr>
                <w:rFonts w:hint="default" w:ascii="Times New Roman" w:hAnsi="Times New Roman" w:eastAsia="黑体" w:cs="Times New Roman"/>
                <w:b w:val="0"/>
                <w:bCs/>
                <w:color w:val="auto"/>
                <w:sz w:val="20"/>
                <w:szCs w:val="20"/>
                <w:lang w:val="en-US" w:eastAsia="zh-CN"/>
              </w:rPr>
              <w:t>-N</w:t>
            </w:r>
          </w:p>
        </w:tc>
        <w:tc>
          <w:tcPr>
            <w:tcW w:w="629" w:type="pct"/>
            <w:vAlign w:val="center"/>
          </w:tcPr>
          <w:p w14:paraId="7689F1F7">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423" w:type="pct"/>
            <w:vAlign w:val="center"/>
          </w:tcPr>
          <w:p w14:paraId="62A930D7">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vAlign w:val="center"/>
          </w:tcPr>
          <w:p w14:paraId="14D4594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vAlign w:val="center"/>
          </w:tcPr>
          <w:p w14:paraId="6B91247F">
            <w:pPr>
              <w:pStyle w:val="35"/>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rPr>
                <w:rFonts w:hint="default" w:ascii="Times New Roman" w:hAnsi="Times New Roman" w:eastAsia="黑体" w:cs="Times New Roman"/>
                <w:b w:val="0"/>
                <w:bCs/>
                <w:color w:val="auto"/>
                <w:sz w:val="20"/>
                <w:szCs w:val="20"/>
                <w:lang w:val="en-US" w:eastAsia="zh-CN"/>
              </w:rPr>
            </w:pPr>
            <w:r>
              <w:rPr>
                <w:rFonts w:hint="default" w:ascii="Times New Roman" w:hAnsi="Times New Roman" w:eastAsia="黑体" w:cs="Times New Roman"/>
                <w:b w:val="0"/>
                <w:bCs/>
                <w:color w:val="auto"/>
                <w:sz w:val="20"/>
                <w:szCs w:val="20"/>
                <w:lang w:val="en-US" w:eastAsia="zh-CN"/>
              </w:rPr>
              <w:t>0.00</w:t>
            </w:r>
            <w:r>
              <w:rPr>
                <w:rFonts w:hint="eastAsia" w:eastAsia="黑体" w:cs="Times New Roman"/>
                <w:b w:val="0"/>
                <w:bCs/>
                <w:color w:val="auto"/>
                <w:sz w:val="20"/>
                <w:szCs w:val="20"/>
                <w:lang w:val="en-US" w:eastAsia="zh-CN"/>
              </w:rPr>
              <w:t>3</w:t>
            </w:r>
            <w:r>
              <w:rPr>
                <w:rFonts w:hint="default" w:ascii="Times New Roman" w:hAnsi="Times New Roman" w:eastAsia="黑体" w:cs="Times New Roman"/>
                <w:b w:val="0"/>
                <w:bCs/>
                <w:color w:val="auto"/>
                <w:kern w:val="2"/>
                <w:sz w:val="20"/>
                <w:szCs w:val="20"/>
                <w:lang w:val="en-US" w:eastAsia="zh-CN" w:bidi="ar-SA"/>
              </w:rPr>
              <w:t>吨/年</w:t>
            </w:r>
          </w:p>
        </w:tc>
        <w:tc>
          <w:tcPr>
            <w:tcW w:w="571" w:type="pct"/>
            <w:vAlign w:val="center"/>
          </w:tcPr>
          <w:p w14:paraId="6D0BB128">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vAlign w:val="center"/>
          </w:tcPr>
          <w:p w14:paraId="6BC936D8">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r>
              <w:rPr>
                <w:rFonts w:hint="default" w:ascii="Times New Roman" w:hAnsi="Times New Roman" w:eastAsia="黑体" w:cs="Times New Roman"/>
                <w:b w:val="0"/>
                <w:bCs/>
                <w:color w:val="auto"/>
                <w:sz w:val="20"/>
                <w:szCs w:val="20"/>
                <w:lang w:val="en-US" w:eastAsia="zh-CN"/>
              </w:rPr>
              <w:t>0.00</w:t>
            </w:r>
            <w:r>
              <w:rPr>
                <w:rFonts w:hint="eastAsia" w:eastAsia="黑体" w:cs="Times New Roman"/>
                <w:b w:val="0"/>
                <w:bCs/>
                <w:color w:val="auto"/>
                <w:sz w:val="20"/>
                <w:szCs w:val="20"/>
                <w:lang w:val="en-US" w:eastAsia="zh-CN"/>
              </w:rPr>
              <w:t>3</w:t>
            </w:r>
            <w:r>
              <w:rPr>
                <w:rFonts w:hint="default" w:ascii="Times New Roman" w:hAnsi="Times New Roman" w:eastAsia="黑体" w:cs="Times New Roman"/>
                <w:b w:val="0"/>
                <w:bCs/>
                <w:color w:val="auto"/>
                <w:kern w:val="2"/>
                <w:sz w:val="20"/>
                <w:szCs w:val="20"/>
                <w:lang w:val="en-US" w:eastAsia="zh-CN" w:bidi="ar-SA"/>
              </w:rPr>
              <w:t>吨/年</w:t>
            </w:r>
          </w:p>
        </w:tc>
        <w:tc>
          <w:tcPr>
            <w:tcW w:w="445" w:type="pct"/>
            <w:vAlign w:val="center"/>
          </w:tcPr>
          <w:p w14:paraId="1C1CB879">
            <w:pPr>
              <w:pStyle w:val="35"/>
              <w:bidi w:val="0"/>
              <w:rPr>
                <w:rFonts w:hint="default" w:ascii="Times New Roman" w:hAnsi="Times New Roman" w:eastAsia="黑体" w:cs="Times New Roman"/>
                <w:b w:val="0"/>
                <w:bCs/>
                <w:color w:val="auto"/>
                <w:sz w:val="20"/>
                <w:szCs w:val="20"/>
                <w:lang w:val="en-US" w:eastAsia="zh-CN"/>
              </w:rPr>
            </w:pPr>
            <w:r>
              <w:rPr>
                <w:rFonts w:hint="default" w:ascii="Times New Roman" w:hAnsi="Times New Roman" w:eastAsia="黑体" w:cs="Times New Roman"/>
                <w:b w:val="0"/>
                <w:bCs/>
                <w:color w:val="auto"/>
                <w:kern w:val="2"/>
                <w:sz w:val="20"/>
                <w:szCs w:val="20"/>
                <w:lang w:val="en-US" w:eastAsia="zh-CN" w:bidi="ar-SA"/>
              </w:rPr>
              <w:t>+</w:t>
            </w:r>
            <w:r>
              <w:rPr>
                <w:rFonts w:hint="default" w:ascii="Times New Roman" w:hAnsi="Times New Roman" w:eastAsia="黑体" w:cs="Times New Roman"/>
                <w:b w:val="0"/>
                <w:bCs/>
                <w:color w:val="auto"/>
                <w:sz w:val="20"/>
                <w:szCs w:val="20"/>
                <w:lang w:val="en-US" w:eastAsia="zh-CN"/>
              </w:rPr>
              <w:t>0.00</w:t>
            </w:r>
            <w:r>
              <w:rPr>
                <w:rFonts w:hint="eastAsia" w:eastAsia="黑体" w:cs="Times New Roman"/>
                <w:b w:val="0"/>
                <w:bCs/>
                <w:color w:val="auto"/>
                <w:sz w:val="20"/>
                <w:szCs w:val="20"/>
                <w:lang w:val="en-US" w:eastAsia="zh-CN"/>
              </w:rPr>
              <w:t>3</w:t>
            </w:r>
            <w:r>
              <w:rPr>
                <w:rFonts w:hint="default" w:ascii="Times New Roman" w:hAnsi="Times New Roman" w:eastAsia="黑体" w:cs="Times New Roman"/>
                <w:b w:val="0"/>
                <w:bCs/>
                <w:color w:val="auto"/>
                <w:kern w:val="2"/>
                <w:sz w:val="20"/>
                <w:szCs w:val="20"/>
                <w:lang w:val="en-US" w:eastAsia="zh-CN" w:bidi="ar-SA"/>
              </w:rPr>
              <w:t>吨/年</w:t>
            </w:r>
          </w:p>
        </w:tc>
      </w:tr>
      <w:tr w14:paraId="74E00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43" w:type="pct"/>
            <w:vMerge w:val="continue"/>
            <w:vAlign w:val="center"/>
          </w:tcPr>
          <w:p w14:paraId="45E4967C">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p>
        </w:tc>
        <w:tc>
          <w:tcPr>
            <w:tcW w:w="615" w:type="pct"/>
            <w:vAlign w:val="center"/>
          </w:tcPr>
          <w:p w14:paraId="0A06ECFE">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color w:val="auto"/>
                <w:sz w:val="20"/>
                <w:szCs w:val="20"/>
                <w:lang w:val="en-US" w:eastAsia="zh-CN"/>
              </w:rPr>
              <w:t>BOD</w:t>
            </w:r>
            <w:r>
              <w:rPr>
                <w:rFonts w:hint="default" w:ascii="Times New Roman" w:hAnsi="Times New Roman" w:eastAsia="黑体" w:cs="Times New Roman"/>
                <w:b w:val="0"/>
                <w:bCs/>
                <w:color w:val="auto"/>
                <w:sz w:val="20"/>
                <w:szCs w:val="20"/>
                <w:vertAlign w:val="subscript"/>
                <w:lang w:val="en-US" w:eastAsia="zh-CN"/>
              </w:rPr>
              <w:t>5</w:t>
            </w:r>
          </w:p>
        </w:tc>
        <w:tc>
          <w:tcPr>
            <w:tcW w:w="629" w:type="pct"/>
            <w:vAlign w:val="center"/>
          </w:tcPr>
          <w:p w14:paraId="78B410D1">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423" w:type="pct"/>
            <w:vAlign w:val="center"/>
          </w:tcPr>
          <w:p w14:paraId="4BAF0F00">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vAlign w:val="center"/>
          </w:tcPr>
          <w:p w14:paraId="02C03C67">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vAlign w:val="center"/>
          </w:tcPr>
          <w:p w14:paraId="1083DE13">
            <w:pPr>
              <w:pStyle w:val="35"/>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textAlignment w:val="auto"/>
              <w:rPr>
                <w:rFonts w:hint="default" w:ascii="Times New Roman" w:hAnsi="Times New Roman" w:eastAsia="黑体" w:cs="Times New Roman"/>
                <w:b w:val="0"/>
                <w:bCs/>
                <w:color w:val="auto"/>
                <w:sz w:val="20"/>
                <w:szCs w:val="20"/>
                <w:lang w:val="en-US" w:eastAsia="zh-CN"/>
              </w:rPr>
            </w:pPr>
            <w:r>
              <w:rPr>
                <w:rFonts w:hint="eastAsia" w:cs="Times New Roman"/>
                <w:b w:val="0"/>
                <w:bCs/>
                <w:color w:val="auto"/>
                <w:sz w:val="21"/>
                <w:szCs w:val="21"/>
                <w:lang w:val="en-US" w:eastAsia="zh-CN"/>
              </w:rPr>
              <w:t>0.015</w:t>
            </w:r>
            <w:r>
              <w:rPr>
                <w:rFonts w:hint="default" w:ascii="Times New Roman" w:hAnsi="Times New Roman" w:eastAsia="黑体" w:cs="Times New Roman"/>
                <w:b w:val="0"/>
                <w:bCs/>
                <w:color w:val="auto"/>
                <w:kern w:val="2"/>
                <w:sz w:val="20"/>
                <w:szCs w:val="20"/>
                <w:lang w:val="en-US" w:eastAsia="zh-CN" w:bidi="ar-SA"/>
              </w:rPr>
              <w:t>吨/年</w:t>
            </w:r>
          </w:p>
        </w:tc>
        <w:tc>
          <w:tcPr>
            <w:tcW w:w="571" w:type="pct"/>
            <w:vAlign w:val="center"/>
          </w:tcPr>
          <w:p w14:paraId="662DAB68">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vAlign w:val="center"/>
          </w:tcPr>
          <w:p w14:paraId="275BE261">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sz w:val="20"/>
                <w:szCs w:val="20"/>
                <w:lang w:val="en-US" w:eastAsia="zh-CN"/>
              </w:rPr>
            </w:pPr>
            <w:r>
              <w:rPr>
                <w:rFonts w:hint="default" w:ascii="Times New Roman" w:hAnsi="Times New Roman" w:eastAsia="黑体" w:cs="Times New Roman"/>
                <w:b w:val="0"/>
                <w:bCs/>
                <w:color w:val="auto"/>
                <w:kern w:val="2"/>
                <w:sz w:val="20"/>
                <w:szCs w:val="20"/>
                <w:lang w:val="en-US" w:eastAsia="zh-CN" w:bidi="ar-SA"/>
              </w:rPr>
              <w:t>0.01</w:t>
            </w:r>
            <w:r>
              <w:rPr>
                <w:rFonts w:hint="eastAsia" w:eastAsia="黑体" w:cs="Times New Roman"/>
                <w:b w:val="0"/>
                <w:bCs/>
                <w:color w:val="auto"/>
                <w:kern w:val="2"/>
                <w:sz w:val="20"/>
                <w:szCs w:val="20"/>
                <w:lang w:val="en-US" w:eastAsia="zh-CN" w:bidi="ar-SA"/>
              </w:rPr>
              <w:t>5</w:t>
            </w:r>
            <w:r>
              <w:rPr>
                <w:rFonts w:hint="default" w:ascii="Times New Roman" w:hAnsi="Times New Roman" w:eastAsia="黑体" w:cs="Times New Roman"/>
                <w:b w:val="0"/>
                <w:bCs/>
                <w:color w:val="auto"/>
                <w:kern w:val="2"/>
                <w:sz w:val="20"/>
                <w:szCs w:val="20"/>
                <w:lang w:val="en-US" w:eastAsia="zh-CN" w:bidi="ar-SA"/>
              </w:rPr>
              <w:t>吨/年</w:t>
            </w:r>
          </w:p>
        </w:tc>
        <w:tc>
          <w:tcPr>
            <w:tcW w:w="445" w:type="pct"/>
            <w:vAlign w:val="center"/>
          </w:tcPr>
          <w:p w14:paraId="0F995F11">
            <w:pPr>
              <w:pStyle w:val="35"/>
              <w:bidi w:val="0"/>
              <w:jc w:val="center"/>
              <w:rPr>
                <w:rFonts w:hint="default" w:ascii="Times New Roman" w:hAnsi="Times New Roman" w:eastAsia="黑体" w:cs="Times New Roman"/>
                <w:b w:val="0"/>
                <w:bCs/>
                <w:color w:val="auto"/>
                <w:sz w:val="20"/>
                <w:szCs w:val="20"/>
                <w:lang w:val="en-US" w:eastAsia="zh-CN"/>
              </w:rPr>
            </w:pPr>
            <w:r>
              <w:rPr>
                <w:rFonts w:hint="default" w:ascii="Times New Roman" w:hAnsi="Times New Roman" w:eastAsia="黑体" w:cs="Times New Roman"/>
                <w:b w:val="0"/>
                <w:bCs/>
                <w:color w:val="auto"/>
                <w:kern w:val="2"/>
                <w:sz w:val="20"/>
                <w:szCs w:val="20"/>
                <w:lang w:val="en-US" w:eastAsia="zh-CN" w:bidi="ar-SA"/>
              </w:rPr>
              <w:t>+0.01</w:t>
            </w:r>
            <w:r>
              <w:rPr>
                <w:rFonts w:hint="eastAsia" w:eastAsia="黑体" w:cs="Times New Roman"/>
                <w:b w:val="0"/>
                <w:bCs/>
                <w:color w:val="auto"/>
                <w:kern w:val="2"/>
                <w:sz w:val="20"/>
                <w:szCs w:val="20"/>
                <w:lang w:val="en-US" w:eastAsia="zh-CN" w:bidi="ar-SA"/>
              </w:rPr>
              <w:t>5</w:t>
            </w:r>
            <w:r>
              <w:rPr>
                <w:rFonts w:hint="default" w:ascii="Times New Roman" w:hAnsi="Times New Roman" w:eastAsia="黑体" w:cs="Times New Roman"/>
                <w:b w:val="0"/>
                <w:bCs/>
                <w:color w:val="auto"/>
                <w:kern w:val="2"/>
                <w:sz w:val="20"/>
                <w:szCs w:val="20"/>
                <w:lang w:val="en-US" w:eastAsia="zh-CN" w:bidi="ar-SA"/>
              </w:rPr>
              <w:t>吨/年</w:t>
            </w:r>
          </w:p>
        </w:tc>
      </w:tr>
      <w:tr w14:paraId="5859A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43" w:type="pct"/>
            <w:vMerge w:val="restart"/>
            <w:vAlign w:val="center"/>
          </w:tcPr>
          <w:p w14:paraId="63088FA0">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r>
              <w:rPr>
                <w:rFonts w:hint="default" w:ascii="Times New Roman" w:hAnsi="Times New Roman" w:eastAsia="黑体" w:cs="Times New Roman"/>
                <w:b w:val="0"/>
                <w:bCs/>
                <w:snapToGrid w:val="0"/>
                <w:color w:val="auto"/>
                <w:kern w:val="21"/>
                <w:sz w:val="20"/>
                <w:szCs w:val="20"/>
              </w:rPr>
              <w:t>一般工业固体废物</w:t>
            </w:r>
          </w:p>
        </w:tc>
        <w:tc>
          <w:tcPr>
            <w:tcW w:w="615" w:type="pct"/>
            <w:vAlign w:val="center"/>
          </w:tcPr>
          <w:p w14:paraId="31BBE7FF">
            <w:pPr>
              <w:pStyle w:val="35"/>
              <w:widowControl w:val="0"/>
              <w:bidi w:val="0"/>
              <w:rPr>
                <w:rFonts w:hint="default" w:ascii="Times New Roman" w:hAnsi="Times New Roman" w:eastAsia="黑体" w:cs="Times New Roman"/>
                <w:color w:val="auto"/>
                <w:kern w:val="2"/>
                <w:sz w:val="20"/>
                <w:szCs w:val="20"/>
                <w:lang w:val="en-US" w:eastAsia="zh-CN" w:bidi="ar-SA"/>
              </w:rPr>
            </w:pPr>
            <w:r>
              <w:rPr>
                <w:rFonts w:hint="default" w:ascii="Times New Roman" w:hAnsi="Times New Roman" w:eastAsia="黑体" w:cs="Times New Roman"/>
                <w:color w:val="auto"/>
                <w:kern w:val="2"/>
                <w:sz w:val="20"/>
                <w:szCs w:val="20"/>
                <w:lang w:val="en-US" w:eastAsia="zh-CN" w:bidi="ar-SA"/>
              </w:rPr>
              <w:t>宠物毛发</w:t>
            </w:r>
          </w:p>
        </w:tc>
        <w:tc>
          <w:tcPr>
            <w:tcW w:w="629" w:type="pct"/>
            <w:vAlign w:val="center"/>
          </w:tcPr>
          <w:p w14:paraId="066F8EE4">
            <w:pPr>
              <w:widowControl w:val="0"/>
              <w:bidi w:val="0"/>
              <w:jc w:val="center"/>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color w:val="auto"/>
                <w:kern w:val="2"/>
                <w:sz w:val="20"/>
                <w:szCs w:val="20"/>
                <w:lang w:val="en-US" w:eastAsia="zh-CN" w:bidi="ar-SA"/>
              </w:rPr>
              <w:t>0</w:t>
            </w:r>
          </w:p>
        </w:tc>
        <w:tc>
          <w:tcPr>
            <w:tcW w:w="423" w:type="pct"/>
            <w:vAlign w:val="center"/>
          </w:tcPr>
          <w:p w14:paraId="5AFD61F4">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zh-CN" w:eastAsia="zh-CN" w:bidi="zh-CN"/>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vAlign w:val="center"/>
          </w:tcPr>
          <w:p w14:paraId="09BB2F1C">
            <w:pPr>
              <w:keepNext w:val="0"/>
              <w:keepLines w:val="0"/>
              <w:pageBreakBefore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0"/>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vAlign w:val="center"/>
          </w:tcPr>
          <w:p w14:paraId="646BDB7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0.0</w:t>
            </w:r>
            <w:r>
              <w:rPr>
                <w:rFonts w:hint="eastAsia" w:eastAsia="黑体" w:cs="Times New Roman"/>
                <w:b w:val="0"/>
                <w:bCs/>
                <w:snapToGrid w:val="0"/>
                <w:color w:val="auto"/>
                <w:kern w:val="21"/>
                <w:sz w:val="20"/>
                <w:szCs w:val="20"/>
                <w:lang w:val="en-US" w:eastAsia="zh-CN"/>
              </w:rPr>
              <w:t>9</w:t>
            </w:r>
            <w:r>
              <w:rPr>
                <w:rFonts w:hint="default" w:ascii="Times New Roman" w:hAnsi="Times New Roman" w:eastAsia="黑体" w:cs="Times New Roman"/>
                <w:b w:val="0"/>
                <w:bCs/>
                <w:color w:val="auto"/>
                <w:kern w:val="2"/>
                <w:sz w:val="20"/>
                <w:szCs w:val="20"/>
                <w:lang w:val="en-US" w:eastAsia="zh-CN" w:bidi="ar-SA"/>
              </w:rPr>
              <w:t>吨/年</w:t>
            </w:r>
          </w:p>
        </w:tc>
        <w:tc>
          <w:tcPr>
            <w:tcW w:w="571" w:type="pct"/>
            <w:vAlign w:val="center"/>
          </w:tcPr>
          <w:p w14:paraId="03246BD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vAlign w:val="center"/>
          </w:tcPr>
          <w:p w14:paraId="55564C29">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0.0</w:t>
            </w:r>
            <w:r>
              <w:rPr>
                <w:rFonts w:hint="eastAsia" w:eastAsia="黑体" w:cs="Times New Roman"/>
                <w:b w:val="0"/>
                <w:bCs/>
                <w:snapToGrid w:val="0"/>
                <w:color w:val="auto"/>
                <w:kern w:val="21"/>
                <w:sz w:val="20"/>
                <w:szCs w:val="20"/>
                <w:lang w:val="en-US" w:eastAsia="zh-CN"/>
              </w:rPr>
              <w:t>9</w:t>
            </w:r>
            <w:r>
              <w:rPr>
                <w:rFonts w:hint="default" w:ascii="Times New Roman" w:hAnsi="Times New Roman" w:eastAsia="黑体" w:cs="Times New Roman"/>
                <w:b w:val="0"/>
                <w:bCs/>
                <w:color w:val="auto"/>
                <w:kern w:val="2"/>
                <w:sz w:val="20"/>
                <w:szCs w:val="20"/>
                <w:lang w:val="en-US" w:eastAsia="zh-CN" w:bidi="ar-SA"/>
              </w:rPr>
              <w:t>吨/年</w:t>
            </w:r>
          </w:p>
        </w:tc>
        <w:tc>
          <w:tcPr>
            <w:tcW w:w="445" w:type="pct"/>
            <w:vAlign w:val="center"/>
          </w:tcPr>
          <w:p w14:paraId="55878E85">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color w:val="auto"/>
                <w:kern w:val="2"/>
                <w:sz w:val="20"/>
                <w:szCs w:val="20"/>
                <w:lang w:val="en-US" w:eastAsia="zh-CN" w:bidi="ar-SA"/>
              </w:rPr>
              <w:t>+</w:t>
            </w:r>
            <w:r>
              <w:rPr>
                <w:rFonts w:hint="default" w:ascii="Times New Roman" w:hAnsi="Times New Roman" w:eastAsia="黑体" w:cs="Times New Roman"/>
                <w:b w:val="0"/>
                <w:bCs/>
                <w:snapToGrid w:val="0"/>
                <w:color w:val="auto"/>
                <w:kern w:val="21"/>
                <w:sz w:val="20"/>
                <w:szCs w:val="20"/>
                <w:lang w:val="en-US" w:eastAsia="zh-CN"/>
              </w:rPr>
              <w:t>0.0</w:t>
            </w:r>
            <w:r>
              <w:rPr>
                <w:rFonts w:hint="eastAsia" w:ascii="Times New Roman" w:cs="Times New Roman"/>
                <w:b w:val="0"/>
                <w:bCs/>
                <w:snapToGrid w:val="0"/>
                <w:color w:val="auto"/>
                <w:kern w:val="21"/>
                <w:sz w:val="20"/>
                <w:szCs w:val="20"/>
                <w:lang w:val="en-US" w:eastAsia="zh-CN"/>
              </w:rPr>
              <w:t>9</w:t>
            </w:r>
            <w:r>
              <w:rPr>
                <w:rFonts w:hint="default" w:ascii="Times New Roman" w:hAnsi="Times New Roman" w:eastAsia="黑体" w:cs="Times New Roman"/>
                <w:b w:val="0"/>
                <w:bCs/>
                <w:color w:val="auto"/>
                <w:kern w:val="2"/>
                <w:sz w:val="20"/>
                <w:szCs w:val="20"/>
                <w:lang w:val="en-US" w:eastAsia="zh-CN" w:bidi="ar-SA"/>
              </w:rPr>
              <w:t>吨/年</w:t>
            </w:r>
          </w:p>
        </w:tc>
      </w:tr>
      <w:tr w14:paraId="29D78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43" w:type="pct"/>
            <w:vMerge w:val="continue"/>
            <w:vAlign w:val="center"/>
          </w:tcPr>
          <w:p w14:paraId="4F7DF48E">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p>
        </w:tc>
        <w:tc>
          <w:tcPr>
            <w:tcW w:w="615" w:type="pct"/>
            <w:vAlign w:val="center"/>
          </w:tcPr>
          <w:p w14:paraId="3F83E190">
            <w:pPr>
              <w:pStyle w:val="35"/>
              <w:widowControl w:val="0"/>
              <w:bidi w:val="0"/>
              <w:rPr>
                <w:rFonts w:hint="default" w:ascii="Times New Roman" w:hAnsi="Times New Roman" w:eastAsia="黑体" w:cs="Times New Roman"/>
                <w:color w:val="auto"/>
                <w:sz w:val="20"/>
                <w:szCs w:val="20"/>
                <w:lang w:val="en-US" w:eastAsia="zh-CN"/>
              </w:rPr>
            </w:pPr>
            <w:r>
              <w:rPr>
                <w:rFonts w:hint="default" w:ascii="Times New Roman" w:hAnsi="Times New Roman" w:eastAsia="黑体" w:cs="Times New Roman"/>
                <w:color w:val="auto"/>
                <w:sz w:val="20"/>
                <w:szCs w:val="20"/>
                <w:lang w:eastAsia="zh-CN"/>
              </w:rPr>
              <w:t>宠物</w:t>
            </w:r>
            <w:r>
              <w:rPr>
                <w:rFonts w:hint="default" w:ascii="Times New Roman" w:hAnsi="Times New Roman" w:eastAsia="黑体" w:cs="Times New Roman"/>
                <w:color w:val="auto"/>
                <w:sz w:val="20"/>
                <w:szCs w:val="20"/>
                <w:lang w:val="en-US" w:eastAsia="zh-CN"/>
              </w:rPr>
              <w:t>排泄物</w:t>
            </w:r>
          </w:p>
        </w:tc>
        <w:tc>
          <w:tcPr>
            <w:tcW w:w="629" w:type="pct"/>
            <w:vAlign w:val="center"/>
          </w:tcPr>
          <w:p w14:paraId="21A2095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423" w:type="pct"/>
            <w:vAlign w:val="center"/>
          </w:tcPr>
          <w:p w14:paraId="603BF300">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vAlign w:val="center"/>
          </w:tcPr>
          <w:p w14:paraId="343AA780">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vAlign w:val="center"/>
          </w:tcPr>
          <w:p w14:paraId="6E34B699">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0.02</w:t>
            </w:r>
            <w:r>
              <w:rPr>
                <w:rFonts w:hint="default" w:ascii="Times New Roman" w:hAnsi="Times New Roman" w:eastAsia="黑体" w:cs="Times New Roman"/>
                <w:b w:val="0"/>
                <w:bCs/>
                <w:color w:val="auto"/>
                <w:kern w:val="2"/>
                <w:sz w:val="20"/>
                <w:szCs w:val="20"/>
                <w:lang w:val="en-US" w:eastAsia="zh-CN" w:bidi="ar-SA"/>
              </w:rPr>
              <w:t>吨/年</w:t>
            </w:r>
          </w:p>
        </w:tc>
        <w:tc>
          <w:tcPr>
            <w:tcW w:w="571" w:type="pct"/>
            <w:vAlign w:val="center"/>
          </w:tcPr>
          <w:p w14:paraId="1B34D0BA">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vAlign w:val="center"/>
          </w:tcPr>
          <w:p w14:paraId="22FDE82E">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0.02</w:t>
            </w:r>
            <w:r>
              <w:rPr>
                <w:rFonts w:hint="default" w:ascii="Times New Roman" w:hAnsi="Times New Roman" w:eastAsia="黑体" w:cs="Times New Roman"/>
                <w:b w:val="0"/>
                <w:bCs/>
                <w:color w:val="auto"/>
                <w:kern w:val="2"/>
                <w:sz w:val="20"/>
                <w:szCs w:val="20"/>
                <w:lang w:val="en-US" w:eastAsia="zh-CN" w:bidi="ar-SA"/>
              </w:rPr>
              <w:t>吨/年</w:t>
            </w:r>
          </w:p>
        </w:tc>
        <w:tc>
          <w:tcPr>
            <w:tcW w:w="445" w:type="pct"/>
            <w:vAlign w:val="center"/>
          </w:tcPr>
          <w:p w14:paraId="4D63E500">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color w:val="auto"/>
                <w:kern w:val="2"/>
                <w:sz w:val="20"/>
                <w:szCs w:val="20"/>
                <w:lang w:val="en-US" w:eastAsia="zh-CN" w:bidi="ar-SA"/>
              </w:rPr>
              <w:t>+</w:t>
            </w:r>
            <w:r>
              <w:rPr>
                <w:rFonts w:hint="default" w:ascii="Times New Roman" w:hAnsi="Times New Roman" w:eastAsia="黑体" w:cs="Times New Roman"/>
                <w:b w:val="0"/>
                <w:bCs/>
                <w:snapToGrid w:val="0"/>
                <w:color w:val="auto"/>
                <w:kern w:val="21"/>
                <w:sz w:val="20"/>
                <w:szCs w:val="20"/>
                <w:lang w:val="en-US" w:eastAsia="zh-CN"/>
              </w:rPr>
              <w:t>0.02</w:t>
            </w:r>
            <w:r>
              <w:rPr>
                <w:rFonts w:hint="default" w:ascii="Times New Roman" w:hAnsi="Times New Roman" w:eastAsia="黑体" w:cs="Times New Roman"/>
                <w:b w:val="0"/>
                <w:bCs/>
                <w:color w:val="auto"/>
                <w:kern w:val="2"/>
                <w:sz w:val="20"/>
                <w:szCs w:val="20"/>
                <w:lang w:val="en-US" w:eastAsia="zh-CN" w:bidi="ar-SA"/>
              </w:rPr>
              <w:t>吨/年</w:t>
            </w:r>
          </w:p>
        </w:tc>
      </w:tr>
      <w:tr w14:paraId="7AFE7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43" w:type="pct"/>
            <w:vMerge w:val="continue"/>
            <w:vAlign w:val="center"/>
          </w:tcPr>
          <w:p w14:paraId="7C24A5F0">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rPr>
            </w:pPr>
          </w:p>
        </w:tc>
        <w:tc>
          <w:tcPr>
            <w:tcW w:w="615" w:type="pct"/>
            <w:vAlign w:val="center"/>
          </w:tcPr>
          <w:p w14:paraId="2CB84023">
            <w:pPr>
              <w:pStyle w:val="35"/>
              <w:widowControl w:val="0"/>
              <w:bidi w:val="0"/>
              <w:rPr>
                <w:rFonts w:hint="default" w:ascii="Times New Roman" w:hAnsi="Times New Roman" w:eastAsia="黑体" w:cs="Times New Roman"/>
                <w:color w:val="auto"/>
                <w:sz w:val="20"/>
                <w:szCs w:val="20"/>
                <w:lang w:val="en-US" w:eastAsia="zh-CN"/>
              </w:rPr>
            </w:pPr>
            <w:r>
              <w:rPr>
                <w:rFonts w:hint="default" w:ascii="Times New Roman" w:hAnsi="Times New Roman" w:eastAsia="黑体" w:cs="Times New Roman"/>
                <w:color w:val="auto"/>
                <w:sz w:val="20"/>
                <w:szCs w:val="20"/>
                <w:lang w:val="en-US" w:eastAsia="zh-CN"/>
              </w:rPr>
              <w:t>生活垃圾</w:t>
            </w:r>
          </w:p>
        </w:tc>
        <w:tc>
          <w:tcPr>
            <w:tcW w:w="629" w:type="pct"/>
            <w:vAlign w:val="center"/>
          </w:tcPr>
          <w:p w14:paraId="5FBBC57D">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423" w:type="pct"/>
            <w:vAlign w:val="center"/>
          </w:tcPr>
          <w:p w14:paraId="50EE9C1A">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vAlign w:val="center"/>
          </w:tcPr>
          <w:p w14:paraId="1D9E761B">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vAlign w:val="center"/>
          </w:tcPr>
          <w:p w14:paraId="6483DB11">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0.75</w:t>
            </w:r>
            <w:r>
              <w:rPr>
                <w:rFonts w:hint="default" w:ascii="Times New Roman" w:hAnsi="Times New Roman" w:eastAsia="黑体" w:cs="Times New Roman"/>
                <w:b w:val="0"/>
                <w:bCs/>
                <w:color w:val="auto"/>
                <w:kern w:val="2"/>
                <w:sz w:val="20"/>
                <w:szCs w:val="20"/>
                <w:lang w:val="en-US" w:eastAsia="zh-CN" w:bidi="ar-SA"/>
              </w:rPr>
              <w:t>吨/年</w:t>
            </w:r>
          </w:p>
        </w:tc>
        <w:tc>
          <w:tcPr>
            <w:tcW w:w="571" w:type="pct"/>
            <w:vAlign w:val="center"/>
          </w:tcPr>
          <w:p w14:paraId="1DF70B00">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vAlign w:val="center"/>
          </w:tcPr>
          <w:p w14:paraId="6160FF9F">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0.75</w:t>
            </w:r>
            <w:r>
              <w:rPr>
                <w:rFonts w:hint="default" w:ascii="Times New Roman" w:hAnsi="Times New Roman" w:eastAsia="黑体" w:cs="Times New Roman"/>
                <w:b w:val="0"/>
                <w:bCs/>
                <w:color w:val="auto"/>
                <w:kern w:val="2"/>
                <w:sz w:val="20"/>
                <w:szCs w:val="20"/>
                <w:lang w:val="en-US" w:eastAsia="zh-CN" w:bidi="ar-SA"/>
              </w:rPr>
              <w:t>吨/年</w:t>
            </w:r>
          </w:p>
        </w:tc>
        <w:tc>
          <w:tcPr>
            <w:tcW w:w="445" w:type="pct"/>
            <w:vAlign w:val="center"/>
          </w:tcPr>
          <w:p w14:paraId="5763F917">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color w:val="auto"/>
                <w:kern w:val="2"/>
                <w:sz w:val="20"/>
                <w:szCs w:val="20"/>
                <w:lang w:val="en-US" w:eastAsia="zh-CN" w:bidi="ar-SA"/>
              </w:rPr>
              <w:t>+</w:t>
            </w:r>
            <w:r>
              <w:rPr>
                <w:rFonts w:hint="default" w:ascii="Times New Roman" w:hAnsi="Times New Roman" w:eastAsia="黑体" w:cs="Times New Roman"/>
                <w:b w:val="0"/>
                <w:bCs/>
                <w:snapToGrid w:val="0"/>
                <w:color w:val="auto"/>
                <w:kern w:val="21"/>
                <w:sz w:val="20"/>
                <w:szCs w:val="20"/>
                <w:lang w:val="en-US" w:eastAsia="zh-CN"/>
              </w:rPr>
              <w:t>0.75</w:t>
            </w:r>
            <w:r>
              <w:rPr>
                <w:rFonts w:hint="default" w:ascii="Times New Roman" w:hAnsi="Times New Roman" w:eastAsia="黑体" w:cs="Times New Roman"/>
                <w:b w:val="0"/>
                <w:bCs/>
                <w:color w:val="auto"/>
                <w:kern w:val="2"/>
                <w:sz w:val="20"/>
                <w:szCs w:val="20"/>
                <w:lang w:val="en-US" w:eastAsia="zh-CN" w:bidi="ar-SA"/>
              </w:rPr>
              <w:t>吨/年</w:t>
            </w:r>
          </w:p>
        </w:tc>
      </w:tr>
      <w:tr w14:paraId="044C1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43" w:type="pct"/>
            <w:vMerge w:val="restart"/>
            <w:vAlign w:val="center"/>
          </w:tcPr>
          <w:p w14:paraId="11D1CFD4">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危险废物</w:t>
            </w:r>
          </w:p>
        </w:tc>
        <w:tc>
          <w:tcPr>
            <w:tcW w:w="615" w:type="pct"/>
            <w:vAlign w:val="center"/>
          </w:tcPr>
          <w:p w14:paraId="4897EB6A">
            <w:pPr>
              <w:keepNext w:val="0"/>
              <w:keepLines w:val="0"/>
              <w:widowControl/>
              <w:suppressLineNumbers w:val="0"/>
              <w:jc w:val="center"/>
              <w:rPr>
                <w:rFonts w:hint="default" w:ascii="Times New Roman" w:hAnsi="Times New Roman" w:eastAsia="黑体" w:cs="Times New Roman"/>
                <w:color w:val="auto"/>
                <w:sz w:val="20"/>
                <w:szCs w:val="20"/>
                <w:lang w:val="en-US" w:eastAsia="zh-CN"/>
              </w:rPr>
            </w:pPr>
            <w:r>
              <w:rPr>
                <w:rFonts w:hint="default" w:ascii="Times New Roman" w:hAnsi="Times New Roman" w:eastAsia="黑体" w:cs="Times New Roman"/>
                <w:b w:val="0"/>
                <w:color w:val="auto"/>
                <w:kern w:val="2"/>
                <w:sz w:val="20"/>
                <w:szCs w:val="20"/>
                <w:lang w:val="en-US" w:eastAsia="zh-CN" w:bidi="ar-SA"/>
              </w:rPr>
              <w:t>医疗废物</w:t>
            </w:r>
          </w:p>
        </w:tc>
        <w:tc>
          <w:tcPr>
            <w:tcW w:w="629" w:type="pct"/>
            <w:vAlign w:val="center"/>
          </w:tcPr>
          <w:p w14:paraId="4CC7DDA3">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423" w:type="pct"/>
            <w:vAlign w:val="center"/>
          </w:tcPr>
          <w:p w14:paraId="57C512DA">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vAlign w:val="center"/>
          </w:tcPr>
          <w:p w14:paraId="5FDC2834">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vAlign w:val="center"/>
          </w:tcPr>
          <w:p w14:paraId="0DCEB9B8">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0.1</w:t>
            </w:r>
            <w:r>
              <w:rPr>
                <w:rFonts w:hint="default" w:ascii="Times New Roman" w:hAnsi="Times New Roman" w:eastAsia="黑体" w:cs="Times New Roman"/>
                <w:b w:val="0"/>
                <w:bCs/>
                <w:color w:val="auto"/>
                <w:kern w:val="2"/>
                <w:sz w:val="20"/>
                <w:szCs w:val="20"/>
                <w:lang w:val="en-US" w:eastAsia="zh-CN" w:bidi="ar-SA"/>
              </w:rPr>
              <w:t>吨/年</w:t>
            </w:r>
          </w:p>
        </w:tc>
        <w:tc>
          <w:tcPr>
            <w:tcW w:w="571" w:type="pct"/>
            <w:vAlign w:val="center"/>
          </w:tcPr>
          <w:p w14:paraId="173A0D6E">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vAlign w:val="center"/>
          </w:tcPr>
          <w:p w14:paraId="41ED9C7B">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0.1</w:t>
            </w:r>
            <w:r>
              <w:rPr>
                <w:rFonts w:hint="default" w:ascii="Times New Roman" w:hAnsi="Times New Roman" w:eastAsia="黑体" w:cs="Times New Roman"/>
                <w:b w:val="0"/>
                <w:bCs/>
                <w:color w:val="auto"/>
                <w:kern w:val="2"/>
                <w:sz w:val="20"/>
                <w:szCs w:val="20"/>
                <w:lang w:val="en-US" w:eastAsia="zh-CN" w:bidi="ar-SA"/>
              </w:rPr>
              <w:t>吨/年</w:t>
            </w:r>
          </w:p>
        </w:tc>
        <w:tc>
          <w:tcPr>
            <w:tcW w:w="445" w:type="pct"/>
            <w:vAlign w:val="center"/>
          </w:tcPr>
          <w:p w14:paraId="45B7843F">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color w:val="auto"/>
                <w:kern w:val="2"/>
                <w:sz w:val="20"/>
                <w:szCs w:val="20"/>
                <w:lang w:val="en-US" w:eastAsia="zh-CN" w:bidi="ar-SA"/>
              </w:rPr>
              <w:t>+</w:t>
            </w:r>
            <w:r>
              <w:rPr>
                <w:rFonts w:hint="default" w:ascii="Times New Roman" w:hAnsi="Times New Roman" w:eastAsia="黑体" w:cs="Times New Roman"/>
                <w:b w:val="0"/>
                <w:bCs/>
                <w:snapToGrid w:val="0"/>
                <w:color w:val="auto"/>
                <w:kern w:val="21"/>
                <w:sz w:val="20"/>
                <w:szCs w:val="20"/>
                <w:lang w:val="en-US" w:eastAsia="zh-CN"/>
              </w:rPr>
              <w:t>0.1</w:t>
            </w:r>
            <w:r>
              <w:rPr>
                <w:rFonts w:hint="default" w:ascii="Times New Roman" w:hAnsi="Times New Roman" w:eastAsia="黑体" w:cs="Times New Roman"/>
                <w:b w:val="0"/>
                <w:bCs/>
                <w:color w:val="auto"/>
                <w:kern w:val="2"/>
                <w:sz w:val="20"/>
                <w:szCs w:val="20"/>
                <w:lang w:val="en-US" w:eastAsia="zh-CN" w:bidi="ar-SA"/>
              </w:rPr>
              <w:t>吨/年</w:t>
            </w:r>
          </w:p>
        </w:tc>
      </w:tr>
      <w:tr w14:paraId="6EF5D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43" w:type="pct"/>
            <w:vMerge w:val="continue"/>
            <w:vAlign w:val="center"/>
          </w:tcPr>
          <w:p w14:paraId="256B9779">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p>
        </w:tc>
        <w:tc>
          <w:tcPr>
            <w:tcW w:w="615" w:type="pct"/>
            <w:vAlign w:val="center"/>
          </w:tcPr>
          <w:p w14:paraId="59F4C878">
            <w:pPr>
              <w:keepNext w:val="0"/>
              <w:keepLines w:val="0"/>
              <w:widowControl/>
              <w:suppressLineNumbers w:val="0"/>
              <w:jc w:val="center"/>
              <w:rPr>
                <w:rFonts w:hint="default" w:ascii="Times New Roman" w:hAnsi="Times New Roman" w:eastAsia="黑体" w:cs="Times New Roman"/>
                <w:b w:val="0"/>
                <w:color w:val="auto"/>
                <w:kern w:val="2"/>
                <w:sz w:val="20"/>
                <w:szCs w:val="20"/>
                <w:lang w:val="en-US" w:eastAsia="zh-CN" w:bidi="ar-SA"/>
              </w:rPr>
            </w:pPr>
            <w:r>
              <w:rPr>
                <w:rFonts w:hint="default" w:ascii="Times New Roman" w:hAnsi="Times New Roman" w:eastAsia="黑体" w:cs="Times New Roman"/>
                <w:b w:val="0"/>
                <w:color w:val="auto"/>
                <w:kern w:val="2"/>
                <w:sz w:val="20"/>
                <w:szCs w:val="20"/>
                <w:lang w:val="en-US" w:eastAsia="zh-CN" w:bidi="ar-SA"/>
              </w:rPr>
              <w:t>污泥</w:t>
            </w:r>
          </w:p>
        </w:tc>
        <w:tc>
          <w:tcPr>
            <w:tcW w:w="629" w:type="pct"/>
            <w:vAlign w:val="center"/>
          </w:tcPr>
          <w:p w14:paraId="1C901517">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423" w:type="pct"/>
            <w:vAlign w:val="center"/>
          </w:tcPr>
          <w:p w14:paraId="113DCABB">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vAlign w:val="center"/>
          </w:tcPr>
          <w:p w14:paraId="63BA33A6">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vAlign w:val="center"/>
          </w:tcPr>
          <w:p w14:paraId="5E2431BC">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0.01</w:t>
            </w:r>
            <w:r>
              <w:rPr>
                <w:rFonts w:hint="default" w:ascii="Times New Roman" w:hAnsi="Times New Roman" w:eastAsia="黑体" w:cs="Times New Roman"/>
                <w:b w:val="0"/>
                <w:bCs/>
                <w:color w:val="auto"/>
                <w:kern w:val="2"/>
                <w:sz w:val="20"/>
                <w:szCs w:val="20"/>
                <w:lang w:val="en-US" w:eastAsia="zh-CN" w:bidi="ar-SA"/>
              </w:rPr>
              <w:t>吨/年</w:t>
            </w:r>
          </w:p>
        </w:tc>
        <w:tc>
          <w:tcPr>
            <w:tcW w:w="571" w:type="pct"/>
            <w:vAlign w:val="center"/>
          </w:tcPr>
          <w:p w14:paraId="54EE656F">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vAlign w:val="center"/>
          </w:tcPr>
          <w:p w14:paraId="17FE9CF0">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snapToGrid w:val="0"/>
                <w:color w:val="auto"/>
                <w:kern w:val="21"/>
                <w:sz w:val="20"/>
                <w:szCs w:val="20"/>
                <w:lang w:val="en-US" w:eastAsia="zh-CN"/>
              </w:rPr>
              <w:t>0.01</w:t>
            </w:r>
            <w:r>
              <w:rPr>
                <w:rFonts w:hint="default" w:ascii="Times New Roman" w:hAnsi="Times New Roman" w:eastAsia="黑体" w:cs="Times New Roman"/>
                <w:b w:val="0"/>
                <w:bCs/>
                <w:color w:val="auto"/>
                <w:kern w:val="2"/>
                <w:sz w:val="20"/>
                <w:szCs w:val="20"/>
                <w:lang w:val="en-US" w:eastAsia="zh-CN" w:bidi="ar-SA"/>
              </w:rPr>
              <w:t>吨/年</w:t>
            </w:r>
          </w:p>
        </w:tc>
        <w:tc>
          <w:tcPr>
            <w:tcW w:w="445" w:type="pct"/>
            <w:vAlign w:val="center"/>
          </w:tcPr>
          <w:p w14:paraId="0B84BAB3">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r>
              <w:rPr>
                <w:rFonts w:hint="default" w:ascii="Times New Roman" w:hAnsi="Times New Roman" w:eastAsia="黑体" w:cs="Times New Roman"/>
                <w:b w:val="0"/>
                <w:bCs/>
                <w:color w:val="auto"/>
                <w:kern w:val="2"/>
                <w:sz w:val="20"/>
                <w:szCs w:val="20"/>
                <w:lang w:val="en-US" w:eastAsia="zh-CN" w:bidi="ar-SA"/>
              </w:rPr>
              <w:t>+</w:t>
            </w:r>
            <w:r>
              <w:rPr>
                <w:rFonts w:hint="default" w:ascii="Times New Roman" w:hAnsi="Times New Roman" w:eastAsia="黑体" w:cs="Times New Roman"/>
                <w:b w:val="0"/>
                <w:bCs/>
                <w:snapToGrid w:val="0"/>
                <w:color w:val="auto"/>
                <w:kern w:val="21"/>
                <w:sz w:val="20"/>
                <w:szCs w:val="20"/>
                <w:lang w:val="en-US" w:eastAsia="zh-CN"/>
              </w:rPr>
              <w:t>0.01</w:t>
            </w:r>
            <w:r>
              <w:rPr>
                <w:rFonts w:hint="default" w:ascii="Times New Roman" w:hAnsi="Times New Roman" w:eastAsia="黑体" w:cs="Times New Roman"/>
                <w:b w:val="0"/>
                <w:bCs/>
                <w:color w:val="auto"/>
                <w:kern w:val="2"/>
                <w:sz w:val="20"/>
                <w:szCs w:val="20"/>
                <w:lang w:val="en-US" w:eastAsia="zh-CN" w:bidi="ar-SA"/>
              </w:rPr>
              <w:t>吨/年</w:t>
            </w:r>
          </w:p>
        </w:tc>
      </w:tr>
      <w:tr w14:paraId="4E550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43" w:type="pct"/>
            <w:vMerge w:val="continue"/>
            <w:vAlign w:val="center"/>
          </w:tcPr>
          <w:p w14:paraId="53BEC2CD">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rPr>
            </w:pPr>
          </w:p>
        </w:tc>
        <w:tc>
          <w:tcPr>
            <w:tcW w:w="615" w:type="pct"/>
            <w:vAlign w:val="center"/>
          </w:tcPr>
          <w:p w14:paraId="74611DAE">
            <w:pPr>
              <w:keepNext w:val="0"/>
              <w:keepLines w:val="0"/>
              <w:widowControl/>
              <w:suppressLineNumbers w:val="0"/>
              <w:jc w:val="center"/>
              <w:rPr>
                <w:rFonts w:hint="default" w:ascii="Times New Roman" w:hAnsi="Times New Roman" w:eastAsia="黑体" w:cs="Times New Roman"/>
                <w:b w:val="0"/>
                <w:color w:val="auto"/>
                <w:kern w:val="2"/>
                <w:sz w:val="20"/>
                <w:szCs w:val="20"/>
                <w:lang w:val="en-US" w:eastAsia="zh-CN" w:bidi="ar-SA"/>
              </w:rPr>
            </w:pPr>
            <w:r>
              <w:rPr>
                <w:rFonts w:hint="default" w:ascii="Times New Roman" w:hAnsi="Times New Roman" w:eastAsia="黑体" w:cs="Times New Roman"/>
                <w:b w:val="0"/>
                <w:color w:val="auto"/>
                <w:kern w:val="2"/>
                <w:sz w:val="20"/>
                <w:szCs w:val="20"/>
                <w:lang w:val="en-US" w:eastAsia="zh-CN" w:bidi="ar-SA"/>
              </w:rPr>
              <w:t>废紫外灯管</w:t>
            </w:r>
          </w:p>
        </w:tc>
        <w:tc>
          <w:tcPr>
            <w:tcW w:w="629" w:type="pct"/>
            <w:shd w:val="clear" w:color="auto" w:fill="auto"/>
            <w:vAlign w:val="center"/>
          </w:tcPr>
          <w:p w14:paraId="3AE3CAEC">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color w:val="auto"/>
                <w:kern w:val="2"/>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423" w:type="pct"/>
            <w:shd w:val="clear" w:color="auto" w:fill="auto"/>
            <w:vAlign w:val="center"/>
          </w:tcPr>
          <w:p w14:paraId="3D86EEF1">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54" w:type="pct"/>
            <w:shd w:val="clear" w:color="auto" w:fill="auto"/>
            <w:vAlign w:val="center"/>
          </w:tcPr>
          <w:p w14:paraId="2378A263">
            <w:pPr>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610" w:type="pct"/>
            <w:shd w:val="clear" w:color="auto" w:fill="auto"/>
            <w:vAlign w:val="center"/>
          </w:tcPr>
          <w:p w14:paraId="3A460DD4">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0.005</w:t>
            </w:r>
            <w:r>
              <w:rPr>
                <w:rFonts w:hint="default" w:ascii="Times New Roman" w:hAnsi="Times New Roman" w:eastAsia="黑体" w:cs="Times New Roman"/>
                <w:b w:val="0"/>
                <w:bCs/>
                <w:color w:val="auto"/>
                <w:kern w:val="2"/>
                <w:sz w:val="20"/>
                <w:szCs w:val="20"/>
                <w:lang w:val="en-US" w:eastAsia="zh-CN" w:bidi="ar-SA"/>
              </w:rPr>
              <w:t>吨/3年</w:t>
            </w:r>
          </w:p>
        </w:tc>
        <w:tc>
          <w:tcPr>
            <w:tcW w:w="571" w:type="pct"/>
            <w:shd w:val="clear" w:color="auto" w:fill="auto"/>
            <w:vAlign w:val="center"/>
          </w:tcPr>
          <w:p w14:paraId="241A576B">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w:t>
            </w:r>
          </w:p>
        </w:tc>
        <w:tc>
          <w:tcPr>
            <w:tcW w:w="707" w:type="pct"/>
            <w:shd w:val="clear" w:color="auto" w:fill="auto"/>
            <w:vAlign w:val="center"/>
          </w:tcPr>
          <w:p w14:paraId="707E6F97">
            <w:pPr>
              <w:keepNext w:val="0"/>
              <w:keepLines w:val="0"/>
              <w:pageBreakBefore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ar-SA"/>
              </w:rPr>
            </w:pPr>
            <w:r>
              <w:rPr>
                <w:rFonts w:hint="default" w:ascii="Times New Roman" w:hAnsi="Times New Roman" w:eastAsia="黑体" w:cs="Times New Roman"/>
                <w:b w:val="0"/>
                <w:bCs/>
                <w:snapToGrid w:val="0"/>
                <w:color w:val="auto"/>
                <w:kern w:val="21"/>
                <w:sz w:val="20"/>
                <w:szCs w:val="20"/>
                <w:lang w:val="en-US" w:eastAsia="zh-CN"/>
              </w:rPr>
              <w:t>0.005</w:t>
            </w:r>
            <w:r>
              <w:rPr>
                <w:rFonts w:hint="default" w:ascii="Times New Roman" w:hAnsi="Times New Roman" w:eastAsia="黑体" w:cs="Times New Roman"/>
                <w:b w:val="0"/>
                <w:bCs/>
                <w:color w:val="auto"/>
                <w:kern w:val="2"/>
                <w:sz w:val="20"/>
                <w:szCs w:val="20"/>
                <w:lang w:val="en-US" w:eastAsia="zh-CN" w:bidi="ar-SA"/>
              </w:rPr>
              <w:t>吨/3年</w:t>
            </w:r>
          </w:p>
        </w:tc>
        <w:tc>
          <w:tcPr>
            <w:tcW w:w="445" w:type="pct"/>
            <w:shd w:val="clear" w:color="auto" w:fill="auto"/>
            <w:vAlign w:val="center"/>
          </w:tcPr>
          <w:p w14:paraId="5907CC1C">
            <w:pPr>
              <w:pStyle w:val="49"/>
              <w:keepNext w:val="0"/>
              <w:keepLines w:val="0"/>
              <w:pageBreakBefore w:val="0"/>
              <w:kinsoku/>
              <w:wordWrap/>
              <w:overflowPunct/>
              <w:topLinePunct w:val="0"/>
              <w:autoSpaceDE/>
              <w:autoSpaceDN/>
              <w:bidi w:val="0"/>
              <w:adjustRightInd/>
              <w:snapToGrid/>
              <w:spacing w:beforeLines="0" w:beforeAutospacing="0" w:afterLines="0" w:afterAutospacing="0" w:line="240" w:lineRule="auto"/>
              <w:ind w:left="0" w:leftChars="0" w:right="0" w:rightChars="0" w:firstLine="0" w:firstLineChars="0"/>
              <w:jc w:val="center"/>
              <w:textAlignment w:val="auto"/>
              <w:rPr>
                <w:rFonts w:hint="default" w:ascii="Times New Roman" w:hAnsi="Times New Roman" w:eastAsia="黑体" w:cs="Times New Roman"/>
                <w:b w:val="0"/>
                <w:bCs/>
                <w:snapToGrid w:val="0"/>
                <w:color w:val="auto"/>
                <w:kern w:val="21"/>
                <w:sz w:val="20"/>
                <w:szCs w:val="20"/>
                <w:lang w:val="en-US" w:eastAsia="zh-CN" w:bidi="zh-CN"/>
              </w:rPr>
            </w:pPr>
            <w:r>
              <w:rPr>
                <w:rFonts w:hint="default" w:ascii="Times New Roman" w:hAnsi="Times New Roman" w:eastAsia="黑体" w:cs="Times New Roman"/>
                <w:b w:val="0"/>
                <w:bCs/>
                <w:color w:val="auto"/>
                <w:kern w:val="2"/>
                <w:sz w:val="20"/>
                <w:szCs w:val="20"/>
                <w:lang w:val="en-US" w:eastAsia="zh-CN" w:bidi="ar-SA"/>
              </w:rPr>
              <w:t>+</w:t>
            </w:r>
            <w:r>
              <w:rPr>
                <w:rFonts w:hint="default" w:ascii="Times New Roman" w:hAnsi="Times New Roman" w:eastAsia="黑体" w:cs="Times New Roman"/>
                <w:b w:val="0"/>
                <w:bCs/>
                <w:snapToGrid w:val="0"/>
                <w:color w:val="auto"/>
                <w:kern w:val="21"/>
                <w:sz w:val="20"/>
                <w:szCs w:val="20"/>
                <w:lang w:val="en-US" w:eastAsia="zh-CN"/>
              </w:rPr>
              <w:t>0.005</w:t>
            </w:r>
            <w:r>
              <w:rPr>
                <w:rFonts w:hint="default" w:ascii="Times New Roman" w:hAnsi="Times New Roman" w:eastAsia="黑体" w:cs="Times New Roman"/>
                <w:b w:val="0"/>
                <w:bCs/>
                <w:color w:val="auto"/>
                <w:kern w:val="2"/>
                <w:sz w:val="20"/>
                <w:szCs w:val="20"/>
                <w:lang w:val="en-US" w:eastAsia="zh-CN" w:bidi="ar-SA"/>
              </w:rPr>
              <w:t>吨/3年</w:t>
            </w:r>
          </w:p>
        </w:tc>
      </w:tr>
    </w:tbl>
    <w:p w14:paraId="0E279403">
      <w:pPr>
        <w:jc w:val="center"/>
        <w:rPr>
          <w:rFonts w:hint="default" w:ascii="Times New Roman" w:hAnsi="Times New Roman" w:eastAsia="宋体" w:cs="Times New Roman"/>
          <w:sz w:val="38"/>
          <w:szCs w:val="38"/>
        </w:rPr>
      </w:pPr>
      <w:r>
        <w:rPr>
          <w:rFonts w:hint="default" w:ascii="Times New Roman" w:hAnsi="Times New Roman" w:eastAsia="宋体" w:cs="Times New Roman"/>
          <w:sz w:val="38"/>
          <w:szCs w:val="38"/>
        </w:rPr>
        <w:t>建设项目污染物排放量汇总表</w:t>
      </w:r>
    </w:p>
    <w:p w14:paraId="544D30D0">
      <w:pPr>
        <w:pStyle w:val="49"/>
        <w:spacing w:before="249" w:beforeLines="80" w:after="31"/>
        <w:jc w:val="left"/>
        <w:rPr>
          <w:rFonts w:ascii="Times New Roman" w:hAnsi="Times New Roman" w:cs="Times New Roman"/>
          <w:b w:val="0"/>
          <w:bCs/>
          <w:snapToGrid w:val="0"/>
          <w:spacing w:val="-6"/>
          <w:kern w:val="21"/>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snapToGrid w:val="0"/>
          <w:kern w:val="21"/>
          <w:szCs w:val="21"/>
        </w:rPr>
        <w:t>注：</w:t>
      </w:r>
      <w:r>
        <w:rPr>
          <w:rFonts w:hint="default" w:ascii="Times New Roman" w:hAnsi="Times New Roman" w:eastAsia="宋体" w:cs="Times New Roman"/>
          <w:b w:val="0"/>
          <w:bCs/>
          <w:snapToGrid w:val="0"/>
          <w:spacing w:val="-16"/>
          <w:kern w:val="21"/>
          <w:szCs w:val="21"/>
        </w:rPr>
        <w:fldChar w:fldCharType="begin"/>
      </w:r>
      <w:r>
        <w:rPr>
          <w:rFonts w:hint="default" w:ascii="Times New Roman" w:hAnsi="Times New Roman" w:eastAsia="宋体" w:cs="Times New Roman"/>
          <w:b w:val="0"/>
          <w:bCs/>
          <w:snapToGrid w:val="0"/>
          <w:spacing w:val="-16"/>
          <w:kern w:val="21"/>
          <w:szCs w:val="21"/>
        </w:rPr>
        <w:instrText xml:space="preserve"> = 6 \* GB3 \* MERGEFORMAT </w:instrText>
      </w:r>
      <w:r>
        <w:rPr>
          <w:rFonts w:hint="default" w:ascii="Times New Roman" w:hAnsi="Times New Roman" w:eastAsia="宋体" w:cs="Times New Roman"/>
          <w:b w:val="0"/>
          <w:bCs/>
          <w:snapToGrid w:val="0"/>
          <w:spacing w:val="-16"/>
          <w:kern w:val="21"/>
          <w:szCs w:val="21"/>
        </w:rPr>
        <w:fldChar w:fldCharType="separate"/>
      </w:r>
      <w:r>
        <w:rPr>
          <w:rFonts w:hint="default" w:ascii="Times New Roman" w:hAnsi="Times New Roman" w:eastAsia="宋体" w:cs="Times New Roman"/>
          <w:b w:val="0"/>
          <w:bCs/>
          <w:szCs w:val="21"/>
        </w:rPr>
        <w:t>⑥</w:t>
      </w:r>
      <w:r>
        <w:rPr>
          <w:rFonts w:hint="default" w:ascii="Times New Roman" w:hAnsi="Times New Roman" w:eastAsia="宋体" w:cs="Times New Roman"/>
          <w:b w:val="0"/>
          <w:bCs/>
          <w:snapToGrid w:val="0"/>
          <w:spacing w:val="-16"/>
          <w:kern w:val="21"/>
          <w:szCs w:val="21"/>
        </w:rPr>
        <w:fldChar w:fldCharType="end"/>
      </w:r>
      <w:r>
        <w:rPr>
          <w:rFonts w:hint="default" w:ascii="Times New Roman" w:hAnsi="Times New Roman" w:eastAsia="宋体" w:cs="Times New Roman"/>
          <w:b w:val="0"/>
          <w:bCs/>
          <w:snapToGrid w:val="0"/>
          <w:spacing w:val="-16"/>
          <w:kern w:val="21"/>
          <w:szCs w:val="21"/>
        </w:rPr>
        <w:t>=</w:t>
      </w:r>
      <w:r>
        <w:rPr>
          <w:rFonts w:hint="default" w:ascii="Times New Roman" w:hAnsi="Times New Roman" w:eastAsia="宋体" w:cs="Times New Roman"/>
          <w:b w:val="0"/>
          <w:bCs/>
          <w:snapToGrid w:val="0"/>
          <w:spacing w:val="-6"/>
          <w:kern w:val="21"/>
          <w:szCs w:val="21"/>
        </w:rPr>
        <w:fldChar w:fldCharType="begin"/>
      </w:r>
      <w:r>
        <w:rPr>
          <w:rFonts w:hint="default" w:ascii="Times New Roman" w:hAnsi="Times New Roman" w:eastAsia="宋体" w:cs="Times New Roman"/>
          <w:b w:val="0"/>
          <w:bCs/>
          <w:snapToGrid w:val="0"/>
          <w:spacing w:val="-6"/>
          <w:kern w:val="21"/>
          <w:szCs w:val="21"/>
        </w:rPr>
        <w:instrText xml:space="preserve"> = 1 \* GB3 \* MERGEFORMAT </w:instrText>
      </w:r>
      <w:r>
        <w:rPr>
          <w:rFonts w:hint="default" w:ascii="Times New Roman" w:hAnsi="Times New Roman" w:eastAsia="宋体" w:cs="Times New Roman"/>
          <w:b w:val="0"/>
          <w:bCs/>
          <w:snapToGrid w:val="0"/>
          <w:spacing w:val="-6"/>
          <w:kern w:val="21"/>
          <w:szCs w:val="21"/>
        </w:rPr>
        <w:fldChar w:fldCharType="separate"/>
      </w:r>
      <w:r>
        <w:rPr>
          <w:rFonts w:hint="default" w:ascii="Times New Roman" w:hAnsi="Times New Roman" w:eastAsia="宋体" w:cs="Times New Roman"/>
          <w:b w:val="0"/>
          <w:bCs/>
          <w:szCs w:val="21"/>
        </w:rPr>
        <w:t>①</w:t>
      </w:r>
      <w:r>
        <w:rPr>
          <w:rFonts w:hint="default" w:ascii="Times New Roman" w:hAnsi="Times New Roman" w:eastAsia="宋体" w:cs="Times New Roman"/>
          <w:b w:val="0"/>
          <w:bCs/>
          <w:snapToGrid w:val="0"/>
          <w:spacing w:val="-6"/>
          <w:kern w:val="21"/>
          <w:szCs w:val="21"/>
        </w:rPr>
        <w:fldChar w:fldCharType="end"/>
      </w:r>
      <w:r>
        <w:rPr>
          <w:rFonts w:hint="default" w:ascii="Times New Roman" w:hAnsi="Times New Roman" w:eastAsia="宋体" w:cs="Times New Roman"/>
          <w:b w:val="0"/>
          <w:bCs/>
          <w:snapToGrid w:val="0"/>
          <w:spacing w:val="-6"/>
          <w:kern w:val="21"/>
          <w:szCs w:val="21"/>
        </w:rPr>
        <w:t>+</w:t>
      </w:r>
      <w:r>
        <w:rPr>
          <w:rFonts w:hint="default" w:ascii="Times New Roman" w:hAnsi="Times New Roman" w:eastAsia="宋体" w:cs="Times New Roman"/>
          <w:b w:val="0"/>
          <w:bCs/>
          <w:snapToGrid w:val="0"/>
          <w:spacing w:val="-6"/>
          <w:kern w:val="21"/>
          <w:szCs w:val="21"/>
        </w:rPr>
        <w:fldChar w:fldCharType="begin"/>
      </w:r>
      <w:r>
        <w:rPr>
          <w:rFonts w:hint="default" w:ascii="Times New Roman" w:hAnsi="Times New Roman" w:eastAsia="宋体" w:cs="Times New Roman"/>
          <w:b w:val="0"/>
          <w:bCs/>
          <w:snapToGrid w:val="0"/>
          <w:spacing w:val="-6"/>
          <w:kern w:val="21"/>
          <w:szCs w:val="21"/>
        </w:rPr>
        <w:instrText xml:space="preserve"> = 3 \* GB3 \* MERGEFORMAT </w:instrText>
      </w:r>
      <w:r>
        <w:rPr>
          <w:rFonts w:hint="default" w:ascii="Times New Roman" w:hAnsi="Times New Roman" w:eastAsia="宋体" w:cs="Times New Roman"/>
          <w:b w:val="0"/>
          <w:bCs/>
          <w:snapToGrid w:val="0"/>
          <w:spacing w:val="-6"/>
          <w:kern w:val="21"/>
          <w:szCs w:val="21"/>
        </w:rPr>
        <w:fldChar w:fldCharType="separate"/>
      </w:r>
      <w:r>
        <w:rPr>
          <w:rFonts w:hint="default" w:ascii="Times New Roman" w:hAnsi="Times New Roman" w:eastAsia="宋体" w:cs="Times New Roman"/>
          <w:b w:val="0"/>
          <w:bCs/>
          <w:szCs w:val="21"/>
        </w:rPr>
        <w:t>③</w:t>
      </w:r>
      <w:r>
        <w:rPr>
          <w:rFonts w:hint="default" w:ascii="Times New Roman" w:hAnsi="Times New Roman" w:eastAsia="宋体" w:cs="Times New Roman"/>
          <w:b w:val="0"/>
          <w:bCs/>
          <w:snapToGrid w:val="0"/>
          <w:spacing w:val="-6"/>
          <w:kern w:val="21"/>
          <w:szCs w:val="21"/>
        </w:rPr>
        <w:fldChar w:fldCharType="end"/>
      </w:r>
      <w:r>
        <w:rPr>
          <w:rFonts w:hint="default" w:ascii="Times New Roman" w:hAnsi="Times New Roman" w:eastAsia="宋体" w:cs="Times New Roman"/>
          <w:b w:val="0"/>
          <w:bCs/>
          <w:snapToGrid w:val="0"/>
          <w:spacing w:val="-6"/>
          <w:kern w:val="21"/>
          <w:szCs w:val="21"/>
        </w:rPr>
        <w:t>+</w:t>
      </w:r>
      <w:r>
        <w:rPr>
          <w:rFonts w:hint="default" w:ascii="Times New Roman" w:hAnsi="Times New Roman" w:eastAsia="宋体" w:cs="Times New Roman"/>
          <w:b w:val="0"/>
          <w:bCs/>
          <w:snapToGrid w:val="0"/>
          <w:spacing w:val="-6"/>
          <w:kern w:val="21"/>
          <w:szCs w:val="21"/>
        </w:rPr>
        <w:fldChar w:fldCharType="begin"/>
      </w:r>
      <w:r>
        <w:rPr>
          <w:rFonts w:hint="default" w:ascii="Times New Roman" w:hAnsi="Times New Roman" w:eastAsia="宋体" w:cs="Times New Roman"/>
          <w:b w:val="0"/>
          <w:bCs/>
          <w:snapToGrid w:val="0"/>
          <w:spacing w:val="-6"/>
          <w:kern w:val="21"/>
          <w:szCs w:val="21"/>
        </w:rPr>
        <w:instrText xml:space="preserve"> = 4 \* GB3 \* MERGEFORMAT </w:instrText>
      </w:r>
      <w:r>
        <w:rPr>
          <w:rFonts w:hint="default" w:ascii="Times New Roman" w:hAnsi="Times New Roman" w:eastAsia="宋体" w:cs="Times New Roman"/>
          <w:b w:val="0"/>
          <w:bCs/>
          <w:snapToGrid w:val="0"/>
          <w:spacing w:val="-6"/>
          <w:kern w:val="21"/>
          <w:szCs w:val="21"/>
        </w:rPr>
        <w:fldChar w:fldCharType="separate"/>
      </w:r>
      <w:r>
        <w:rPr>
          <w:rFonts w:hint="default" w:ascii="Times New Roman" w:hAnsi="Times New Roman" w:eastAsia="宋体" w:cs="Times New Roman"/>
          <w:b w:val="0"/>
          <w:bCs/>
          <w:szCs w:val="21"/>
        </w:rPr>
        <w:t>④</w:t>
      </w:r>
      <w:r>
        <w:rPr>
          <w:rFonts w:hint="default" w:ascii="Times New Roman" w:hAnsi="Times New Roman" w:eastAsia="宋体" w:cs="Times New Roman"/>
          <w:b w:val="0"/>
          <w:bCs/>
          <w:snapToGrid w:val="0"/>
          <w:spacing w:val="-6"/>
          <w:kern w:val="21"/>
          <w:szCs w:val="21"/>
        </w:rPr>
        <w:fldChar w:fldCharType="end"/>
      </w:r>
      <w:r>
        <w:rPr>
          <w:rFonts w:hint="default" w:ascii="Times New Roman" w:hAnsi="Times New Roman" w:eastAsia="宋体" w:cs="Times New Roman"/>
          <w:b w:val="0"/>
          <w:bCs/>
          <w:snapToGrid w:val="0"/>
          <w:spacing w:val="-6"/>
          <w:kern w:val="21"/>
          <w:szCs w:val="21"/>
        </w:rPr>
        <w:t>-</w:t>
      </w:r>
      <w:r>
        <w:rPr>
          <w:rFonts w:hint="default" w:ascii="Times New Roman" w:hAnsi="Times New Roman" w:eastAsia="宋体" w:cs="Times New Roman"/>
          <w:b w:val="0"/>
          <w:bCs/>
          <w:snapToGrid w:val="0"/>
          <w:spacing w:val="-16"/>
          <w:kern w:val="21"/>
          <w:szCs w:val="21"/>
        </w:rPr>
        <w:fldChar w:fldCharType="begin"/>
      </w:r>
      <w:r>
        <w:rPr>
          <w:rFonts w:hint="default" w:ascii="Times New Roman" w:hAnsi="Times New Roman" w:eastAsia="宋体" w:cs="Times New Roman"/>
          <w:b w:val="0"/>
          <w:bCs/>
          <w:snapToGrid w:val="0"/>
          <w:spacing w:val="-16"/>
          <w:kern w:val="21"/>
          <w:szCs w:val="21"/>
        </w:rPr>
        <w:instrText xml:space="preserve"> = 5 \* GB3 \* MERGEFORMAT </w:instrText>
      </w:r>
      <w:r>
        <w:rPr>
          <w:rFonts w:hint="default" w:ascii="Times New Roman" w:hAnsi="Times New Roman" w:eastAsia="宋体" w:cs="Times New Roman"/>
          <w:b w:val="0"/>
          <w:bCs/>
          <w:snapToGrid w:val="0"/>
          <w:spacing w:val="-16"/>
          <w:kern w:val="21"/>
          <w:szCs w:val="21"/>
        </w:rPr>
        <w:fldChar w:fldCharType="separate"/>
      </w:r>
      <w:r>
        <w:rPr>
          <w:rFonts w:hint="default" w:ascii="Times New Roman" w:hAnsi="Times New Roman" w:eastAsia="宋体" w:cs="Times New Roman"/>
          <w:b w:val="0"/>
          <w:bCs/>
          <w:szCs w:val="21"/>
        </w:rPr>
        <w:t>⑤</w:t>
      </w:r>
      <w:r>
        <w:rPr>
          <w:rFonts w:hint="default" w:ascii="Times New Roman" w:hAnsi="Times New Roman" w:eastAsia="宋体" w:cs="Times New Roman"/>
          <w:b w:val="0"/>
          <w:bCs/>
          <w:snapToGrid w:val="0"/>
          <w:spacing w:val="-16"/>
          <w:kern w:val="21"/>
          <w:szCs w:val="21"/>
        </w:rPr>
        <w:fldChar w:fldCharType="end"/>
      </w:r>
      <w:r>
        <w:rPr>
          <w:rFonts w:hint="default" w:ascii="Times New Roman" w:hAnsi="Times New Roman" w:eastAsia="宋体" w:cs="Times New Roman"/>
          <w:b w:val="0"/>
          <w:bCs/>
          <w:snapToGrid w:val="0"/>
          <w:spacing w:val="-16"/>
          <w:kern w:val="21"/>
          <w:szCs w:val="21"/>
        </w:rPr>
        <w:t>；</w:t>
      </w:r>
      <w:r>
        <w:rPr>
          <w:rFonts w:hint="default" w:ascii="Times New Roman" w:hAnsi="Times New Roman" w:eastAsia="宋体" w:cs="Times New Roman"/>
          <w:b w:val="0"/>
          <w:bCs/>
          <w:snapToGrid w:val="0"/>
          <w:spacing w:val="-6"/>
          <w:kern w:val="21"/>
          <w:szCs w:val="21"/>
        </w:rPr>
        <w:fldChar w:fldCharType="begin"/>
      </w:r>
      <w:r>
        <w:rPr>
          <w:rFonts w:hint="default" w:ascii="Times New Roman" w:hAnsi="Times New Roman" w:eastAsia="宋体" w:cs="Times New Roman"/>
          <w:b w:val="0"/>
          <w:bCs/>
          <w:snapToGrid w:val="0"/>
          <w:spacing w:val="-6"/>
          <w:kern w:val="21"/>
          <w:szCs w:val="21"/>
        </w:rPr>
        <w:instrText xml:space="preserve"> = 7 \* GB3 \* MERGEFORMAT </w:instrText>
      </w:r>
      <w:r>
        <w:rPr>
          <w:rFonts w:hint="default" w:ascii="Times New Roman" w:hAnsi="Times New Roman" w:eastAsia="宋体" w:cs="Times New Roman"/>
          <w:b w:val="0"/>
          <w:bCs/>
          <w:snapToGrid w:val="0"/>
          <w:spacing w:val="-6"/>
          <w:kern w:val="21"/>
          <w:szCs w:val="21"/>
        </w:rPr>
        <w:fldChar w:fldCharType="separate"/>
      </w:r>
      <w:r>
        <w:rPr>
          <w:rFonts w:hint="default" w:ascii="Times New Roman" w:hAnsi="Times New Roman" w:eastAsia="宋体" w:cs="Times New Roman"/>
          <w:b w:val="0"/>
          <w:bCs/>
          <w:szCs w:val="21"/>
        </w:rPr>
        <w:t>⑦</w:t>
      </w:r>
      <w:r>
        <w:rPr>
          <w:rFonts w:hint="default" w:ascii="Times New Roman" w:hAnsi="Times New Roman" w:eastAsia="宋体" w:cs="Times New Roman"/>
          <w:b w:val="0"/>
          <w:bCs/>
          <w:snapToGrid w:val="0"/>
          <w:spacing w:val="-6"/>
          <w:kern w:val="21"/>
          <w:szCs w:val="21"/>
        </w:rPr>
        <w:fldChar w:fldCharType="end"/>
      </w:r>
      <w:r>
        <w:rPr>
          <w:rFonts w:hint="default" w:ascii="Times New Roman" w:hAnsi="Times New Roman" w:eastAsia="宋体" w:cs="Times New Roman"/>
          <w:b w:val="0"/>
          <w:bCs/>
          <w:snapToGrid w:val="0"/>
          <w:spacing w:val="-6"/>
          <w:kern w:val="21"/>
          <w:szCs w:val="21"/>
        </w:rPr>
        <w:t>=</w:t>
      </w:r>
      <w:r>
        <w:rPr>
          <w:rFonts w:hint="default" w:ascii="Times New Roman" w:hAnsi="Times New Roman" w:eastAsia="宋体" w:cs="Times New Roman"/>
          <w:b w:val="0"/>
          <w:bCs/>
          <w:snapToGrid w:val="0"/>
          <w:spacing w:val="-16"/>
          <w:kern w:val="21"/>
          <w:szCs w:val="21"/>
        </w:rPr>
        <w:fldChar w:fldCharType="begin"/>
      </w:r>
      <w:r>
        <w:rPr>
          <w:rFonts w:hint="default" w:ascii="Times New Roman" w:hAnsi="Times New Roman" w:eastAsia="宋体" w:cs="Times New Roman"/>
          <w:b w:val="0"/>
          <w:bCs/>
          <w:snapToGrid w:val="0"/>
          <w:spacing w:val="-16"/>
          <w:kern w:val="21"/>
          <w:szCs w:val="21"/>
        </w:rPr>
        <w:instrText xml:space="preserve"> = 6 \* GB3 \* MERGEFORMAT </w:instrText>
      </w:r>
      <w:r>
        <w:rPr>
          <w:rFonts w:hint="default" w:ascii="Times New Roman" w:hAnsi="Times New Roman" w:eastAsia="宋体" w:cs="Times New Roman"/>
          <w:b w:val="0"/>
          <w:bCs/>
          <w:snapToGrid w:val="0"/>
          <w:spacing w:val="-16"/>
          <w:kern w:val="21"/>
          <w:szCs w:val="21"/>
        </w:rPr>
        <w:fldChar w:fldCharType="separate"/>
      </w:r>
      <w:r>
        <w:rPr>
          <w:rFonts w:hint="default" w:ascii="Times New Roman" w:hAnsi="Times New Roman" w:eastAsia="宋体" w:cs="Times New Roman"/>
          <w:b w:val="0"/>
          <w:bCs/>
          <w:szCs w:val="21"/>
        </w:rPr>
        <w:t>⑥</w:t>
      </w:r>
      <w:r>
        <w:rPr>
          <w:rFonts w:hint="default" w:ascii="Times New Roman" w:hAnsi="Times New Roman" w:eastAsia="宋体" w:cs="Times New Roman"/>
          <w:b w:val="0"/>
          <w:bCs/>
          <w:snapToGrid w:val="0"/>
          <w:spacing w:val="-16"/>
          <w:kern w:val="21"/>
          <w:szCs w:val="21"/>
        </w:rPr>
        <w:fldChar w:fldCharType="end"/>
      </w:r>
      <w:r>
        <w:rPr>
          <w:rFonts w:hint="default" w:ascii="Times New Roman" w:hAnsi="Times New Roman" w:eastAsia="宋体" w:cs="Times New Roman"/>
          <w:b w:val="0"/>
          <w:bCs/>
          <w:snapToGrid w:val="0"/>
          <w:spacing w:val="-16"/>
          <w:kern w:val="21"/>
          <w:szCs w:val="21"/>
        </w:rPr>
        <w:t>-</w:t>
      </w:r>
      <w:r>
        <w:rPr>
          <w:rFonts w:hint="default" w:ascii="Times New Roman" w:hAnsi="Times New Roman" w:eastAsia="宋体" w:cs="Times New Roman"/>
          <w:b w:val="0"/>
          <w:bCs/>
          <w:snapToGrid w:val="0"/>
          <w:spacing w:val="-6"/>
          <w:kern w:val="21"/>
          <w:szCs w:val="21"/>
        </w:rPr>
        <w:fldChar w:fldCharType="begin"/>
      </w:r>
      <w:r>
        <w:rPr>
          <w:rFonts w:hint="default" w:ascii="Times New Roman" w:hAnsi="Times New Roman" w:eastAsia="宋体" w:cs="Times New Roman"/>
          <w:b w:val="0"/>
          <w:bCs/>
          <w:snapToGrid w:val="0"/>
          <w:spacing w:val="-6"/>
          <w:kern w:val="21"/>
          <w:szCs w:val="21"/>
        </w:rPr>
        <w:instrText xml:space="preserve"> = 1 \* GB3 \* MERGEFORMAT </w:instrText>
      </w:r>
      <w:r>
        <w:rPr>
          <w:rFonts w:hint="default" w:ascii="Times New Roman" w:hAnsi="Times New Roman" w:eastAsia="宋体" w:cs="Times New Roman"/>
          <w:b w:val="0"/>
          <w:bCs/>
          <w:snapToGrid w:val="0"/>
          <w:spacing w:val="-6"/>
          <w:kern w:val="21"/>
          <w:szCs w:val="21"/>
        </w:rPr>
        <w:fldChar w:fldCharType="separate"/>
      </w:r>
      <w:r>
        <w:rPr>
          <w:rFonts w:hint="default" w:ascii="Times New Roman" w:hAnsi="Times New Roman" w:eastAsia="宋体" w:cs="Times New Roman"/>
          <w:b w:val="0"/>
          <w:bCs/>
          <w:szCs w:val="21"/>
        </w:rPr>
        <w:t>①</w:t>
      </w:r>
      <w:r>
        <w:rPr>
          <w:rFonts w:hint="default" w:ascii="Times New Roman" w:hAnsi="Times New Roman" w:eastAsia="宋体" w:cs="Times New Roman"/>
          <w:b w:val="0"/>
          <w:bCs/>
          <w:snapToGrid w:val="0"/>
          <w:spacing w:val="-6"/>
          <w:kern w:val="21"/>
          <w:szCs w:val="21"/>
        </w:rPr>
        <w:fldChar w:fldCharType="end"/>
      </w:r>
    </w:p>
    <w:p w14:paraId="4BC302DB">
      <w:pPr>
        <w:pStyle w:val="2"/>
        <w:rPr>
          <w:rFonts w:hint="default"/>
          <w:lang w:val="en-US" w:eastAsia="zh-CN"/>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6415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1A28D">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7A2F1">
                          <w:pPr>
                            <w:pStyle w:val="1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0467A2F1">
                    <w:pPr>
                      <w:pStyle w:val="1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EC3B">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E3A03A"/>
    <w:multiLevelType w:val="singleLevel"/>
    <w:tmpl w:val="13E3A03A"/>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wMzIxMDFlNjU3MWZkZDA1MjNhN2E3MjFhOThhMGMifQ=="/>
  </w:docVars>
  <w:rsids>
    <w:rsidRoot w:val="00E3580E"/>
    <w:rsid w:val="00022C11"/>
    <w:rsid w:val="00054BEF"/>
    <w:rsid w:val="000B6281"/>
    <w:rsid w:val="00150EEB"/>
    <w:rsid w:val="001729AD"/>
    <w:rsid w:val="00172E78"/>
    <w:rsid w:val="00177BF8"/>
    <w:rsid w:val="0018274C"/>
    <w:rsid w:val="001B0CD9"/>
    <w:rsid w:val="001C7ACA"/>
    <w:rsid w:val="001E4038"/>
    <w:rsid w:val="00267B02"/>
    <w:rsid w:val="002B13FD"/>
    <w:rsid w:val="003C5BFE"/>
    <w:rsid w:val="00443541"/>
    <w:rsid w:val="00464984"/>
    <w:rsid w:val="004874D5"/>
    <w:rsid w:val="004E78DA"/>
    <w:rsid w:val="004F3841"/>
    <w:rsid w:val="00502D1B"/>
    <w:rsid w:val="00575E35"/>
    <w:rsid w:val="005B4DDA"/>
    <w:rsid w:val="005D0FD9"/>
    <w:rsid w:val="005F481F"/>
    <w:rsid w:val="00627E6B"/>
    <w:rsid w:val="00650387"/>
    <w:rsid w:val="006927C1"/>
    <w:rsid w:val="006B4F71"/>
    <w:rsid w:val="00736B04"/>
    <w:rsid w:val="007402CA"/>
    <w:rsid w:val="00762AFD"/>
    <w:rsid w:val="007C7B54"/>
    <w:rsid w:val="007E31BF"/>
    <w:rsid w:val="007E697C"/>
    <w:rsid w:val="00832AE1"/>
    <w:rsid w:val="0087167F"/>
    <w:rsid w:val="00891076"/>
    <w:rsid w:val="00964E3E"/>
    <w:rsid w:val="00977A0E"/>
    <w:rsid w:val="009D204E"/>
    <w:rsid w:val="00A02F4A"/>
    <w:rsid w:val="00A067C3"/>
    <w:rsid w:val="00A10638"/>
    <w:rsid w:val="00A20ABE"/>
    <w:rsid w:val="00A33D6C"/>
    <w:rsid w:val="00AA289B"/>
    <w:rsid w:val="00AA2BBE"/>
    <w:rsid w:val="00B67DE0"/>
    <w:rsid w:val="00B901D7"/>
    <w:rsid w:val="00BB71F7"/>
    <w:rsid w:val="00C04340"/>
    <w:rsid w:val="00C225C5"/>
    <w:rsid w:val="00C57EBB"/>
    <w:rsid w:val="00C61CE6"/>
    <w:rsid w:val="00C71C32"/>
    <w:rsid w:val="00C7327C"/>
    <w:rsid w:val="00C84172"/>
    <w:rsid w:val="00C85F20"/>
    <w:rsid w:val="00CB73DD"/>
    <w:rsid w:val="00CD057E"/>
    <w:rsid w:val="00CF3752"/>
    <w:rsid w:val="00D4132C"/>
    <w:rsid w:val="00D46520"/>
    <w:rsid w:val="00D465F0"/>
    <w:rsid w:val="00D531C8"/>
    <w:rsid w:val="00D552FC"/>
    <w:rsid w:val="00D84C89"/>
    <w:rsid w:val="00D936D6"/>
    <w:rsid w:val="00E3580E"/>
    <w:rsid w:val="00E41F14"/>
    <w:rsid w:val="00E645F8"/>
    <w:rsid w:val="00E84F6E"/>
    <w:rsid w:val="00E910B7"/>
    <w:rsid w:val="00EA058C"/>
    <w:rsid w:val="00EB1C0E"/>
    <w:rsid w:val="00EC4469"/>
    <w:rsid w:val="00EC5A14"/>
    <w:rsid w:val="00F33370"/>
    <w:rsid w:val="00F43007"/>
    <w:rsid w:val="00F46D15"/>
    <w:rsid w:val="00FB1E49"/>
    <w:rsid w:val="00FF66CE"/>
    <w:rsid w:val="01017DA9"/>
    <w:rsid w:val="01033471"/>
    <w:rsid w:val="010B7D84"/>
    <w:rsid w:val="010D427B"/>
    <w:rsid w:val="010D66B0"/>
    <w:rsid w:val="01141165"/>
    <w:rsid w:val="011763A1"/>
    <w:rsid w:val="011E7635"/>
    <w:rsid w:val="012007E5"/>
    <w:rsid w:val="01207AF0"/>
    <w:rsid w:val="01213866"/>
    <w:rsid w:val="01231F48"/>
    <w:rsid w:val="012B197D"/>
    <w:rsid w:val="012B4701"/>
    <w:rsid w:val="01325A8F"/>
    <w:rsid w:val="013301B5"/>
    <w:rsid w:val="013406E7"/>
    <w:rsid w:val="0136732D"/>
    <w:rsid w:val="01372C6E"/>
    <w:rsid w:val="013A7D67"/>
    <w:rsid w:val="013B4665"/>
    <w:rsid w:val="013E4434"/>
    <w:rsid w:val="01462E8A"/>
    <w:rsid w:val="014734E6"/>
    <w:rsid w:val="014A2FDD"/>
    <w:rsid w:val="014F71AA"/>
    <w:rsid w:val="01582307"/>
    <w:rsid w:val="015A7AE5"/>
    <w:rsid w:val="016078D7"/>
    <w:rsid w:val="01636499"/>
    <w:rsid w:val="016C168F"/>
    <w:rsid w:val="016D10E7"/>
    <w:rsid w:val="0172632E"/>
    <w:rsid w:val="01737D6C"/>
    <w:rsid w:val="017A6386"/>
    <w:rsid w:val="017E4157"/>
    <w:rsid w:val="017F2CF3"/>
    <w:rsid w:val="01803C13"/>
    <w:rsid w:val="0180414B"/>
    <w:rsid w:val="01830099"/>
    <w:rsid w:val="01887C9C"/>
    <w:rsid w:val="01891B53"/>
    <w:rsid w:val="01902B7B"/>
    <w:rsid w:val="019323AB"/>
    <w:rsid w:val="01993D60"/>
    <w:rsid w:val="019D115B"/>
    <w:rsid w:val="019E0677"/>
    <w:rsid w:val="019F6CB7"/>
    <w:rsid w:val="01A00C4B"/>
    <w:rsid w:val="01A2371D"/>
    <w:rsid w:val="01A469B0"/>
    <w:rsid w:val="01A66527"/>
    <w:rsid w:val="01AA0D70"/>
    <w:rsid w:val="01B00625"/>
    <w:rsid w:val="01B11EE8"/>
    <w:rsid w:val="01B439E4"/>
    <w:rsid w:val="01B4632C"/>
    <w:rsid w:val="01B72D1A"/>
    <w:rsid w:val="01B80ADB"/>
    <w:rsid w:val="01BD4306"/>
    <w:rsid w:val="01BE7323"/>
    <w:rsid w:val="01C050C1"/>
    <w:rsid w:val="01C2563F"/>
    <w:rsid w:val="01C30851"/>
    <w:rsid w:val="01C310A5"/>
    <w:rsid w:val="01C66F45"/>
    <w:rsid w:val="01C80D3F"/>
    <w:rsid w:val="01C84DD7"/>
    <w:rsid w:val="01CD7566"/>
    <w:rsid w:val="01CE57B8"/>
    <w:rsid w:val="01D17056"/>
    <w:rsid w:val="01D76E0B"/>
    <w:rsid w:val="01E054EB"/>
    <w:rsid w:val="01E861CD"/>
    <w:rsid w:val="01EB42D0"/>
    <w:rsid w:val="01ED7E75"/>
    <w:rsid w:val="01EE5EEC"/>
    <w:rsid w:val="01F243DA"/>
    <w:rsid w:val="01F82835"/>
    <w:rsid w:val="02005BDC"/>
    <w:rsid w:val="02031B2D"/>
    <w:rsid w:val="020548F6"/>
    <w:rsid w:val="02056D00"/>
    <w:rsid w:val="02070F9F"/>
    <w:rsid w:val="02091157"/>
    <w:rsid w:val="02092C94"/>
    <w:rsid w:val="020C4532"/>
    <w:rsid w:val="02137E7B"/>
    <w:rsid w:val="021E1AEF"/>
    <w:rsid w:val="021F45D0"/>
    <w:rsid w:val="02217FDE"/>
    <w:rsid w:val="02232F8C"/>
    <w:rsid w:val="02257772"/>
    <w:rsid w:val="0228286A"/>
    <w:rsid w:val="02290C40"/>
    <w:rsid w:val="022E2489"/>
    <w:rsid w:val="02300221"/>
    <w:rsid w:val="02315D47"/>
    <w:rsid w:val="02340726"/>
    <w:rsid w:val="023778ED"/>
    <w:rsid w:val="02424AB8"/>
    <w:rsid w:val="02481A8E"/>
    <w:rsid w:val="02481EB7"/>
    <w:rsid w:val="024912E2"/>
    <w:rsid w:val="02497634"/>
    <w:rsid w:val="024A0BB7"/>
    <w:rsid w:val="024E4B4B"/>
    <w:rsid w:val="024E5AF3"/>
    <w:rsid w:val="0250441F"/>
    <w:rsid w:val="025111E4"/>
    <w:rsid w:val="02532161"/>
    <w:rsid w:val="02595C07"/>
    <w:rsid w:val="025C2FF5"/>
    <w:rsid w:val="025C657D"/>
    <w:rsid w:val="02604429"/>
    <w:rsid w:val="02612E62"/>
    <w:rsid w:val="0261662C"/>
    <w:rsid w:val="02621BE8"/>
    <w:rsid w:val="026F4AA1"/>
    <w:rsid w:val="026F4AFE"/>
    <w:rsid w:val="027239EE"/>
    <w:rsid w:val="0272440B"/>
    <w:rsid w:val="027361A1"/>
    <w:rsid w:val="0274748E"/>
    <w:rsid w:val="02750329"/>
    <w:rsid w:val="027520D7"/>
    <w:rsid w:val="02755DFE"/>
    <w:rsid w:val="02775BC8"/>
    <w:rsid w:val="027A76EE"/>
    <w:rsid w:val="027C5214"/>
    <w:rsid w:val="0281282A"/>
    <w:rsid w:val="02857815"/>
    <w:rsid w:val="028657DE"/>
    <w:rsid w:val="02867A8E"/>
    <w:rsid w:val="02873BB9"/>
    <w:rsid w:val="02881B88"/>
    <w:rsid w:val="029210D5"/>
    <w:rsid w:val="02943927"/>
    <w:rsid w:val="02970FD9"/>
    <w:rsid w:val="02972323"/>
    <w:rsid w:val="02972F89"/>
    <w:rsid w:val="029C6B5B"/>
    <w:rsid w:val="029D0AB9"/>
    <w:rsid w:val="02A300C4"/>
    <w:rsid w:val="02A833E6"/>
    <w:rsid w:val="02A87AB1"/>
    <w:rsid w:val="02AA4304"/>
    <w:rsid w:val="02AB0289"/>
    <w:rsid w:val="02B56978"/>
    <w:rsid w:val="02B91F78"/>
    <w:rsid w:val="02BD3750"/>
    <w:rsid w:val="02C06B04"/>
    <w:rsid w:val="02C20E90"/>
    <w:rsid w:val="02C2381D"/>
    <w:rsid w:val="02C27B00"/>
    <w:rsid w:val="02C84698"/>
    <w:rsid w:val="02C848FD"/>
    <w:rsid w:val="02CC0889"/>
    <w:rsid w:val="02D212D8"/>
    <w:rsid w:val="02D301F8"/>
    <w:rsid w:val="02D765E6"/>
    <w:rsid w:val="02DD1C24"/>
    <w:rsid w:val="02DF57A3"/>
    <w:rsid w:val="02E24CF0"/>
    <w:rsid w:val="02E35293"/>
    <w:rsid w:val="02E47CE3"/>
    <w:rsid w:val="02E5559B"/>
    <w:rsid w:val="02E90454"/>
    <w:rsid w:val="02EA0B01"/>
    <w:rsid w:val="02F0175E"/>
    <w:rsid w:val="02F148A5"/>
    <w:rsid w:val="02F254D6"/>
    <w:rsid w:val="02F613F2"/>
    <w:rsid w:val="02F626E3"/>
    <w:rsid w:val="02F85854"/>
    <w:rsid w:val="02FE3E7B"/>
    <w:rsid w:val="03125B78"/>
    <w:rsid w:val="03127926"/>
    <w:rsid w:val="031A1681"/>
    <w:rsid w:val="031B3094"/>
    <w:rsid w:val="031C2553"/>
    <w:rsid w:val="03211686"/>
    <w:rsid w:val="0321587C"/>
    <w:rsid w:val="032411DC"/>
    <w:rsid w:val="032578E5"/>
    <w:rsid w:val="03272347"/>
    <w:rsid w:val="032738A8"/>
    <w:rsid w:val="032F7D47"/>
    <w:rsid w:val="0331026F"/>
    <w:rsid w:val="03357917"/>
    <w:rsid w:val="0337493F"/>
    <w:rsid w:val="03390520"/>
    <w:rsid w:val="033E3B4F"/>
    <w:rsid w:val="033F6241"/>
    <w:rsid w:val="0340565D"/>
    <w:rsid w:val="0347432C"/>
    <w:rsid w:val="034B737D"/>
    <w:rsid w:val="034C108A"/>
    <w:rsid w:val="034F1899"/>
    <w:rsid w:val="035352B0"/>
    <w:rsid w:val="035622F4"/>
    <w:rsid w:val="03575C81"/>
    <w:rsid w:val="035905AF"/>
    <w:rsid w:val="03637321"/>
    <w:rsid w:val="036515D6"/>
    <w:rsid w:val="036D1000"/>
    <w:rsid w:val="03710B53"/>
    <w:rsid w:val="037164F2"/>
    <w:rsid w:val="03751B2D"/>
    <w:rsid w:val="0394658D"/>
    <w:rsid w:val="03982981"/>
    <w:rsid w:val="039E3388"/>
    <w:rsid w:val="039F1B33"/>
    <w:rsid w:val="039F3F41"/>
    <w:rsid w:val="03A0059A"/>
    <w:rsid w:val="03A1159F"/>
    <w:rsid w:val="03A76DA4"/>
    <w:rsid w:val="03A936FF"/>
    <w:rsid w:val="03A97F7B"/>
    <w:rsid w:val="03AA7B5F"/>
    <w:rsid w:val="03AC0005"/>
    <w:rsid w:val="03AF786B"/>
    <w:rsid w:val="03B0225A"/>
    <w:rsid w:val="03B307CF"/>
    <w:rsid w:val="03B46C2F"/>
    <w:rsid w:val="03B91916"/>
    <w:rsid w:val="03C30C20"/>
    <w:rsid w:val="03C45E94"/>
    <w:rsid w:val="03C82119"/>
    <w:rsid w:val="03C84229"/>
    <w:rsid w:val="03C86237"/>
    <w:rsid w:val="03CA6453"/>
    <w:rsid w:val="03CB7B24"/>
    <w:rsid w:val="03D270B5"/>
    <w:rsid w:val="03D67F82"/>
    <w:rsid w:val="03DB48A7"/>
    <w:rsid w:val="03E2723E"/>
    <w:rsid w:val="03E70DB3"/>
    <w:rsid w:val="03E9062F"/>
    <w:rsid w:val="03F8252C"/>
    <w:rsid w:val="03FC374B"/>
    <w:rsid w:val="03FD78EB"/>
    <w:rsid w:val="0401641D"/>
    <w:rsid w:val="0402799B"/>
    <w:rsid w:val="040412D5"/>
    <w:rsid w:val="040C25C7"/>
    <w:rsid w:val="040D668A"/>
    <w:rsid w:val="040E2188"/>
    <w:rsid w:val="040F2294"/>
    <w:rsid w:val="04117BDE"/>
    <w:rsid w:val="04137DFA"/>
    <w:rsid w:val="04161698"/>
    <w:rsid w:val="04186B9D"/>
    <w:rsid w:val="041B198A"/>
    <w:rsid w:val="041B618B"/>
    <w:rsid w:val="042567B9"/>
    <w:rsid w:val="0425705C"/>
    <w:rsid w:val="04266270"/>
    <w:rsid w:val="04267B2D"/>
    <w:rsid w:val="04273005"/>
    <w:rsid w:val="04282CDD"/>
    <w:rsid w:val="042E07AD"/>
    <w:rsid w:val="042F62B6"/>
    <w:rsid w:val="043164D2"/>
    <w:rsid w:val="0434654A"/>
    <w:rsid w:val="04351BCD"/>
    <w:rsid w:val="04376F19"/>
    <w:rsid w:val="04394442"/>
    <w:rsid w:val="04426D56"/>
    <w:rsid w:val="04474836"/>
    <w:rsid w:val="04497378"/>
    <w:rsid w:val="044C0C16"/>
    <w:rsid w:val="044D6493"/>
    <w:rsid w:val="044E2BE0"/>
    <w:rsid w:val="04510922"/>
    <w:rsid w:val="04526B27"/>
    <w:rsid w:val="045805D3"/>
    <w:rsid w:val="04590A01"/>
    <w:rsid w:val="045B39AD"/>
    <w:rsid w:val="045D5BC2"/>
    <w:rsid w:val="045F7B0A"/>
    <w:rsid w:val="04616029"/>
    <w:rsid w:val="04654360"/>
    <w:rsid w:val="046545BC"/>
    <w:rsid w:val="046643CE"/>
    <w:rsid w:val="04682B59"/>
    <w:rsid w:val="04685075"/>
    <w:rsid w:val="04696787"/>
    <w:rsid w:val="046B20EE"/>
    <w:rsid w:val="046C6B64"/>
    <w:rsid w:val="047168CE"/>
    <w:rsid w:val="04772D59"/>
    <w:rsid w:val="047832A9"/>
    <w:rsid w:val="04787212"/>
    <w:rsid w:val="0479444F"/>
    <w:rsid w:val="047B44CA"/>
    <w:rsid w:val="047B6BED"/>
    <w:rsid w:val="047D2B8E"/>
    <w:rsid w:val="04801A9E"/>
    <w:rsid w:val="048057D3"/>
    <w:rsid w:val="04846366"/>
    <w:rsid w:val="04846602"/>
    <w:rsid w:val="048B0601"/>
    <w:rsid w:val="048B43D1"/>
    <w:rsid w:val="04934E0F"/>
    <w:rsid w:val="04976402"/>
    <w:rsid w:val="04981AC5"/>
    <w:rsid w:val="04983BEF"/>
    <w:rsid w:val="049A7BD3"/>
    <w:rsid w:val="049D12CA"/>
    <w:rsid w:val="049E3864"/>
    <w:rsid w:val="04A22F2C"/>
    <w:rsid w:val="04A257ED"/>
    <w:rsid w:val="04A44EF6"/>
    <w:rsid w:val="04A45F97"/>
    <w:rsid w:val="04A47E89"/>
    <w:rsid w:val="04A9268A"/>
    <w:rsid w:val="04AD33D4"/>
    <w:rsid w:val="04B07A8D"/>
    <w:rsid w:val="04B303F2"/>
    <w:rsid w:val="04B350BC"/>
    <w:rsid w:val="04B65A1E"/>
    <w:rsid w:val="04B70785"/>
    <w:rsid w:val="04B80386"/>
    <w:rsid w:val="04BA6816"/>
    <w:rsid w:val="04BC2F7B"/>
    <w:rsid w:val="04BD7D66"/>
    <w:rsid w:val="04C10B93"/>
    <w:rsid w:val="04C504D6"/>
    <w:rsid w:val="04C57CF8"/>
    <w:rsid w:val="04C9495C"/>
    <w:rsid w:val="04CE5392"/>
    <w:rsid w:val="04CF27E2"/>
    <w:rsid w:val="04D70E27"/>
    <w:rsid w:val="04E10D91"/>
    <w:rsid w:val="04E470A0"/>
    <w:rsid w:val="04E5637F"/>
    <w:rsid w:val="04E6106A"/>
    <w:rsid w:val="04EA6DAD"/>
    <w:rsid w:val="04EB6681"/>
    <w:rsid w:val="04F35090"/>
    <w:rsid w:val="04F83787"/>
    <w:rsid w:val="04F96FF0"/>
    <w:rsid w:val="05015B7C"/>
    <w:rsid w:val="050A25F3"/>
    <w:rsid w:val="050D18C6"/>
    <w:rsid w:val="05172057"/>
    <w:rsid w:val="0518296D"/>
    <w:rsid w:val="051C2CDE"/>
    <w:rsid w:val="05240CA2"/>
    <w:rsid w:val="052B41ED"/>
    <w:rsid w:val="052C3C0E"/>
    <w:rsid w:val="052F0F86"/>
    <w:rsid w:val="05313A49"/>
    <w:rsid w:val="05321B50"/>
    <w:rsid w:val="05353DA0"/>
    <w:rsid w:val="05355B4E"/>
    <w:rsid w:val="05366AE9"/>
    <w:rsid w:val="05373C0D"/>
    <w:rsid w:val="053776F4"/>
    <w:rsid w:val="05385D98"/>
    <w:rsid w:val="053E246F"/>
    <w:rsid w:val="054364BD"/>
    <w:rsid w:val="0548762F"/>
    <w:rsid w:val="054A784B"/>
    <w:rsid w:val="054D2800"/>
    <w:rsid w:val="054F783A"/>
    <w:rsid w:val="055230D9"/>
    <w:rsid w:val="05534352"/>
    <w:rsid w:val="05557F9E"/>
    <w:rsid w:val="055A7363"/>
    <w:rsid w:val="055E3F57"/>
    <w:rsid w:val="056326BB"/>
    <w:rsid w:val="05650A05"/>
    <w:rsid w:val="056860EF"/>
    <w:rsid w:val="056971A0"/>
    <w:rsid w:val="056B6662"/>
    <w:rsid w:val="056C64E5"/>
    <w:rsid w:val="056F1060"/>
    <w:rsid w:val="05707E80"/>
    <w:rsid w:val="05717BAE"/>
    <w:rsid w:val="0575419C"/>
    <w:rsid w:val="05761CD9"/>
    <w:rsid w:val="057B5C57"/>
    <w:rsid w:val="057D1158"/>
    <w:rsid w:val="057E7745"/>
    <w:rsid w:val="057F3709"/>
    <w:rsid w:val="05812C55"/>
    <w:rsid w:val="05836FC7"/>
    <w:rsid w:val="058C38CA"/>
    <w:rsid w:val="058D598A"/>
    <w:rsid w:val="059149D9"/>
    <w:rsid w:val="059207E8"/>
    <w:rsid w:val="059C64D5"/>
    <w:rsid w:val="059D57CB"/>
    <w:rsid w:val="05A01020"/>
    <w:rsid w:val="05A01219"/>
    <w:rsid w:val="05A81A33"/>
    <w:rsid w:val="05A94F98"/>
    <w:rsid w:val="05AC109E"/>
    <w:rsid w:val="05AD2CBF"/>
    <w:rsid w:val="05AE7BFE"/>
    <w:rsid w:val="05B13A99"/>
    <w:rsid w:val="05B922DB"/>
    <w:rsid w:val="05BB035D"/>
    <w:rsid w:val="05BD72A8"/>
    <w:rsid w:val="05C14567"/>
    <w:rsid w:val="05C24545"/>
    <w:rsid w:val="05C50C80"/>
    <w:rsid w:val="05C707CB"/>
    <w:rsid w:val="05CA098C"/>
    <w:rsid w:val="05D834B5"/>
    <w:rsid w:val="05D9472B"/>
    <w:rsid w:val="05DA3DAA"/>
    <w:rsid w:val="05E023C5"/>
    <w:rsid w:val="05E64A5A"/>
    <w:rsid w:val="05EA2DDC"/>
    <w:rsid w:val="05F41565"/>
    <w:rsid w:val="05F41DB5"/>
    <w:rsid w:val="05F51706"/>
    <w:rsid w:val="05FB4360"/>
    <w:rsid w:val="0602087A"/>
    <w:rsid w:val="06021ED4"/>
    <w:rsid w:val="06023C82"/>
    <w:rsid w:val="06025A06"/>
    <w:rsid w:val="060611D1"/>
    <w:rsid w:val="06063869"/>
    <w:rsid w:val="06064032"/>
    <w:rsid w:val="060A0AF3"/>
    <w:rsid w:val="060A4C87"/>
    <w:rsid w:val="06164129"/>
    <w:rsid w:val="06164D27"/>
    <w:rsid w:val="061B2548"/>
    <w:rsid w:val="061B2C9F"/>
    <w:rsid w:val="061C00A8"/>
    <w:rsid w:val="061C341A"/>
    <w:rsid w:val="062005AC"/>
    <w:rsid w:val="06221F7A"/>
    <w:rsid w:val="06227932"/>
    <w:rsid w:val="06253E14"/>
    <w:rsid w:val="06267C39"/>
    <w:rsid w:val="062B146D"/>
    <w:rsid w:val="062C0CFF"/>
    <w:rsid w:val="062D5483"/>
    <w:rsid w:val="063127B9"/>
    <w:rsid w:val="06345E06"/>
    <w:rsid w:val="06395FE5"/>
    <w:rsid w:val="06467ADA"/>
    <w:rsid w:val="064A1C94"/>
    <w:rsid w:val="064E159E"/>
    <w:rsid w:val="064E7A24"/>
    <w:rsid w:val="06504E83"/>
    <w:rsid w:val="06593708"/>
    <w:rsid w:val="065B02A0"/>
    <w:rsid w:val="065C1B78"/>
    <w:rsid w:val="065E4F1F"/>
    <w:rsid w:val="065E601D"/>
    <w:rsid w:val="06633117"/>
    <w:rsid w:val="066466EB"/>
    <w:rsid w:val="06654367"/>
    <w:rsid w:val="066606B5"/>
    <w:rsid w:val="066C3365"/>
    <w:rsid w:val="06732DD2"/>
    <w:rsid w:val="06793750"/>
    <w:rsid w:val="067B3A34"/>
    <w:rsid w:val="067D47C1"/>
    <w:rsid w:val="067F52D3"/>
    <w:rsid w:val="067F6566"/>
    <w:rsid w:val="068C5C42"/>
    <w:rsid w:val="06905732"/>
    <w:rsid w:val="0694352C"/>
    <w:rsid w:val="069C5FBF"/>
    <w:rsid w:val="069E5399"/>
    <w:rsid w:val="06A06146"/>
    <w:rsid w:val="06A170B0"/>
    <w:rsid w:val="06A21A1D"/>
    <w:rsid w:val="06A50AB1"/>
    <w:rsid w:val="06A77900"/>
    <w:rsid w:val="06A92DB2"/>
    <w:rsid w:val="06A95B70"/>
    <w:rsid w:val="06AC6482"/>
    <w:rsid w:val="06AE2FA5"/>
    <w:rsid w:val="06AE678A"/>
    <w:rsid w:val="06B02408"/>
    <w:rsid w:val="06B048E3"/>
    <w:rsid w:val="06B478EB"/>
    <w:rsid w:val="06B56F46"/>
    <w:rsid w:val="06B745C6"/>
    <w:rsid w:val="06B80E29"/>
    <w:rsid w:val="06B937D6"/>
    <w:rsid w:val="06BD404D"/>
    <w:rsid w:val="06BD7C25"/>
    <w:rsid w:val="06BD7EB1"/>
    <w:rsid w:val="06C24C18"/>
    <w:rsid w:val="06C27F3C"/>
    <w:rsid w:val="06C47634"/>
    <w:rsid w:val="06CB0518"/>
    <w:rsid w:val="06CD24E2"/>
    <w:rsid w:val="06CE0008"/>
    <w:rsid w:val="06DA0A54"/>
    <w:rsid w:val="06DC3451"/>
    <w:rsid w:val="06DC697B"/>
    <w:rsid w:val="06DC7B5F"/>
    <w:rsid w:val="06DF2215"/>
    <w:rsid w:val="06DF5D71"/>
    <w:rsid w:val="06E131B1"/>
    <w:rsid w:val="06E710CA"/>
    <w:rsid w:val="06EA1921"/>
    <w:rsid w:val="06EA592F"/>
    <w:rsid w:val="06EB2968"/>
    <w:rsid w:val="06EC7257"/>
    <w:rsid w:val="06F44109"/>
    <w:rsid w:val="06F475A1"/>
    <w:rsid w:val="06F5520B"/>
    <w:rsid w:val="06FA5880"/>
    <w:rsid w:val="06FA704F"/>
    <w:rsid w:val="06FB757B"/>
    <w:rsid w:val="07085267"/>
    <w:rsid w:val="070B47D1"/>
    <w:rsid w:val="07124C2B"/>
    <w:rsid w:val="07153E89"/>
    <w:rsid w:val="071E2D3E"/>
    <w:rsid w:val="071E5B38"/>
    <w:rsid w:val="072B545A"/>
    <w:rsid w:val="07372051"/>
    <w:rsid w:val="073742E4"/>
    <w:rsid w:val="07381BC3"/>
    <w:rsid w:val="073836D3"/>
    <w:rsid w:val="07387FB0"/>
    <w:rsid w:val="073F0F06"/>
    <w:rsid w:val="074151A5"/>
    <w:rsid w:val="07460884"/>
    <w:rsid w:val="074854FD"/>
    <w:rsid w:val="07491A5B"/>
    <w:rsid w:val="0749701A"/>
    <w:rsid w:val="0749768F"/>
    <w:rsid w:val="074B147F"/>
    <w:rsid w:val="074C6936"/>
    <w:rsid w:val="074D4A77"/>
    <w:rsid w:val="0751137D"/>
    <w:rsid w:val="075479AE"/>
    <w:rsid w:val="07554868"/>
    <w:rsid w:val="075955B5"/>
    <w:rsid w:val="075B50A5"/>
    <w:rsid w:val="076150B4"/>
    <w:rsid w:val="076646E5"/>
    <w:rsid w:val="076C3B81"/>
    <w:rsid w:val="076D7821"/>
    <w:rsid w:val="07754928"/>
    <w:rsid w:val="077706A0"/>
    <w:rsid w:val="077B1B3F"/>
    <w:rsid w:val="078057A6"/>
    <w:rsid w:val="078270A5"/>
    <w:rsid w:val="07846919"/>
    <w:rsid w:val="07853E8E"/>
    <w:rsid w:val="078726FB"/>
    <w:rsid w:val="078D30FE"/>
    <w:rsid w:val="07922DAA"/>
    <w:rsid w:val="07943000"/>
    <w:rsid w:val="079707BA"/>
    <w:rsid w:val="07996868"/>
    <w:rsid w:val="079A613C"/>
    <w:rsid w:val="07A66218"/>
    <w:rsid w:val="07A80520"/>
    <w:rsid w:val="07A9021B"/>
    <w:rsid w:val="07AF3996"/>
    <w:rsid w:val="07B03AFC"/>
    <w:rsid w:val="07B36D98"/>
    <w:rsid w:val="07B65E09"/>
    <w:rsid w:val="07B94814"/>
    <w:rsid w:val="07CA4C73"/>
    <w:rsid w:val="07CB0DE8"/>
    <w:rsid w:val="07CB2C73"/>
    <w:rsid w:val="07DD7487"/>
    <w:rsid w:val="07DE071F"/>
    <w:rsid w:val="07DE599F"/>
    <w:rsid w:val="07DF7DD1"/>
    <w:rsid w:val="07E21FBD"/>
    <w:rsid w:val="07E34344"/>
    <w:rsid w:val="07EA70C4"/>
    <w:rsid w:val="07F13EF7"/>
    <w:rsid w:val="07F3456B"/>
    <w:rsid w:val="07F81CA6"/>
    <w:rsid w:val="080135BA"/>
    <w:rsid w:val="080A14EF"/>
    <w:rsid w:val="080B1AF0"/>
    <w:rsid w:val="080B4FC2"/>
    <w:rsid w:val="080D00DC"/>
    <w:rsid w:val="081321F8"/>
    <w:rsid w:val="08143A78"/>
    <w:rsid w:val="08143F07"/>
    <w:rsid w:val="08144141"/>
    <w:rsid w:val="08174CE7"/>
    <w:rsid w:val="08194EC1"/>
    <w:rsid w:val="081B094F"/>
    <w:rsid w:val="081D1F36"/>
    <w:rsid w:val="0822060B"/>
    <w:rsid w:val="082557D4"/>
    <w:rsid w:val="08257CE9"/>
    <w:rsid w:val="082612E9"/>
    <w:rsid w:val="082B1286"/>
    <w:rsid w:val="082B708E"/>
    <w:rsid w:val="082F43A2"/>
    <w:rsid w:val="08323FD7"/>
    <w:rsid w:val="08386B20"/>
    <w:rsid w:val="08397703"/>
    <w:rsid w:val="083C608B"/>
    <w:rsid w:val="083D5702"/>
    <w:rsid w:val="08414D45"/>
    <w:rsid w:val="084925D7"/>
    <w:rsid w:val="084B597A"/>
    <w:rsid w:val="084B6833"/>
    <w:rsid w:val="084D5407"/>
    <w:rsid w:val="08504DDE"/>
    <w:rsid w:val="08517143"/>
    <w:rsid w:val="0854482E"/>
    <w:rsid w:val="08560EF5"/>
    <w:rsid w:val="0861149B"/>
    <w:rsid w:val="08626C5A"/>
    <w:rsid w:val="086712B3"/>
    <w:rsid w:val="08687B8B"/>
    <w:rsid w:val="086A667C"/>
    <w:rsid w:val="086C13DA"/>
    <w:rsid w:val="086F75C9"/>
    <w:rsid w:val="086F7A65"/>
    <w:rsid w:val="08716E9D"/>
    <w:rsid w:val="0876529A"/>
    <w:rsid w:val="087C3466"/>
    <w:rsid w:val="087E15BA"/>
    <w:rsid w:val="087E5AB3"/>
    <w:rsid w:val="08806D04"/>
    <w:rsid w:val="088452D6"/>
    <w:rsid w:val="08850B9A"/>
    <w:rsid w:val="08870B27"/>
    <w:rsid w:val="08897FF4"/>
    <w:rsid w:val="088B669A"/>
    <w:rsid w:val="08911842"/>
    <w:rsid w:val="0892013F"/>
    <w:rsid w:val="089471CB"/>
    <w:rsid w:val="089670AE"/>
    <w:rsid w:val="089B216C"/>
    <w:rsid w:val="089D4136"/>
    <w:rsid w:val="089E6336"/>
    <w:rsid w:val="089F2AD4"/>
    <w:rsid w:val="08A423BF"/>
    <w:rsid w:val="08A4584E"/>
    <w:rsid w:val="08B80A82"/>
    <w:rsid w:val="08BB5F89"/>
    <w:rsid w:val="08C10475"/>
    <w:rsid w:val="08C16076"/>
    <w:rsid w:val="08C22966"/>
    <w:rsid w:val="08C67651"/>
    <w:rsid w:val="08CB6822"/>
    <w:rsid w:val="08CC031F"/>
    <w:rsid w:val="08D35DAA"/>
    <w:rsid w:val="08D552CA"/>
    <w:rsid w:val="08DE1D2E"/>
    <w:rsid w:val="08E24354"/>
    <w:rsid w:val="08E361DE"/>
    <w:rsid w:val="08E80F22"/>
    <w:rsid w:val="08EC5EE6"/>
    <w:rsid w:val="08ED6008"/>
    <w:rsid w:val="08ED6E6B"/>
    <w:rsid w:val="08EF0964"/>
    <w:rsid w:val="08F00C5F"/>
    <w:rsid w:val="08F3498C"/>
    <w:rsid w:val="08FA50E4"/>
    <w:rsid w:val="08FD22CC"/>
    <w:rsid w:val="08FD652C"/>
    <w:rsid w:val="08FF0070"/>
    <w:rsid w:val="0900337B"/>
    <w:rsid w:val="09010220"/>
    <w:rsid w:val="09041952"/>
    <w:rsid w:val="09081A2D"/>
    <w:rsid w:val="09106D0A"/>
    <w:rsid w:val="09117FA0"/>
    <w:rsid w:val="09153CCC"/>
    <w:rsid w:val="09177189"/>
    <w:rsid w:val="091C454A"/>
    <w:rsid w:val="091D33B4"/>
    <w:rsid w:val="09215B17"/>
    <w:rsid w:val="092C04C1"/>
    <w:rsid w:val="092D54BA"/>
    <w:rsid w:val="092D5F6F"/>
    <w:rsid w:val="092F3162"/>
    <w:rsid w:val="093305F6"/>
    <w:rsid w:val="09371CE5"/>
    <w:rsid w:val="093920CD"/>
    <w:rsid w:val="093A0C4D"/>
    <w:rsid w:val="093D1475"/>
    <w:rsid w:val="093D7EFE"/>
    <w:rsid w:val="093F6F9B"/>
    <w:rsid w:val="0944414B"/>
    <w:rsid w:val="094822F4"/>
    <w:rsid w:val="094C44E3"/>
    <w:rsid w:val="09505852"/>
    <w:rsid w:val="0952238E"/>
    <w:rsid w:val="095347F5"/>
    <w:rsid w:val="095A5B83"/>
    <w:rsid w:val="095C1EF7"/>
    <w:rsid w:val="095C557C"/>
    <w:rsid w:val="095F3199"/>
    <w:rsid w:val="096429CB"/>
    <w:rsid w:val="096C3401"/>
    <w:rsid w:val="096D1E04"/>
    <w:rsid w:val="09772BD9"/>
    <w:rsid w:val="097F70A9"/>
    <w:rsid w:val="09853444"/>
    <w:rsid w:val="09885D8F"/>
    <w:rsid w:val="098B3F8E"/>
    <w:rsid w:val="09931095"/>
    <w:rsid w:val="09934BB5"/>
    <w:rsid w:val="099A1DD0"/>
    <w:rsid w:val="099A2423"/>
    <w:rsid w:val="099C6924"/>
    <w:rsid w:val="099F1469"/>
    <w:rsid w:val="09A0385D"/>
    <w:rsid w:val="09A91622"/>
    <w:rsid w:val="09B010B1"/>
    <w:rsid w:val="09B17DE9"/>
    <w:rsid w:val="09B260ED"/>
    <w:rsid w:val="09B66000"/>
    <w:rsid w:val="09B71227"/>
    <w:rsid w:val="09B863E1"/>
    <w:rsid w:val="09BA0384"/>
    <w:rsid w:val="09BE6112"/>
    <w:rsid w:val="09C35E1E"/>
    <w:rsid w:val="09C84263"/>
    <w:rsid w:val="09C85D6F"/>
    <w:rsid w:val="09D75C18"/>
    <w:rsid w:val="09D929A3"/>
    <w:rsid w:val="09DB7DF4"/>
    <w:rsid w:val="09E149FA"/>
    <w:rsid w:val="09E214BE"/>
    <w:rsid w:val="09E956FD"/>
    <w:rsid w:val="09E96A79"/>
    <w:rsid w:val="09EA5569"/>
    <w:rsid w:val="09EB09DB"/>
    <w:rsid w:val="09F0797A"/>
    <w:rsid w:val="09F61D17"/>
    <w:rsid w:val="09F61D4D"/>
    <w:rsid w:val="09F626CE"/>
    <w:rsid w:val="09F763F0"/>
    <w:rsid w:val="09F82F54"/>
    <w:rsid w:val="0A023E3D"/>
    <w:rsid w:val="0A042B0D"/>
    <w:rsid w:val="0A07584F"/>
    <w:rsid w:val="0A0855DF"/>
    <w:rsid w:val="0A0A52DA"/>
    <w:rsid w:val="0A0D2C0E"/>
    <w:rsid w:val="0A0D7099"/>
    <w:rsid w:val="0A0F4478"/>
    <w:rsid w:val="0A131686"/>
    <w:rsid w:val="0A1451BA"/>
    <w:rsid w:val="0A1844B3"/>
    <w:rsid w:val="0A1977EC"/>
    <w:rsid w:val="0A1B5312"/>
    <w:rsid w:val="0A212B5E"/>
    <w:rsid w:val="0A2649D7"/>
    <w:rsid w:val="0A285C81"/>
    <w:rsid w:val="0A2F210F"/>
    <w:rsid w:val="0A307589"/>
    <w:rsid w:val="0A344626"/>
    <w:rsid w:val="0A366318"/>
    <w:rsid w:val="0A426D43"/>
    <w:rsid w:val="0A455A91"/>
    <w:rsid w:val="0A464557"/>
    <w:rsid w:val="0A4C3698"/>
    <w:rsid w:val="0A50059C"/>
    <w:rsid w:val="0A5151D8"/>
    <w:rsid w:val="0A527929"/>
    <w:rsid w:val="0A577970"/>
    <w:rsid w:val="0A5B7E05"/>
    <w:rsid w:val="0A60088B"/>
    <w:rsid w:val="0A735F6D"/>
    <w:rsid w:val="0A747118"/>
    <w:rsid w:val="0A7504FA"/>
    <w:rsid w:val="0A7B5B07"/>
    <w:rsid w:val="0A800407"/>
    <w:rsid w:val="0A801B21"/>
    <w:rsid w:val="0A810F15"/>
    <w:rsid w:val="0A813377"/>
    <w:rsid w:val="0A851ADE"/>
    <w:rsid w:val="0A852E29"/>
    <w:rsid w:val="0A8530D4"/>
    <w:rsid w:val="0A876E4C"/>
    <w:rsid w:val="0A8D52F2"/>
    <w:rsid w:val="0A8E1F88"/>
    <w:rsid w:val="0A8E7038"/>
    <w:rsid w:val="0A917CCA"/>
    <w:rsid w:val="0A931346"/>
    <w:rsid w:val="0A94593A"/>
    <w:rsid w:val="0A996075"/>
    <w:rsid w:val="0A9E1295"/>
    <w:rsid w:val="0A9E3D8B"/>
    <w:rsid w:val="0A9E4C0B"/>
    <w:rsid w:val="0A9E6C97"/>
    <w:rsid w:val="0A9E7981"/>
    <w:rsid w:val="0AA417AC"/>
    <w:rsid w:val="0AA65496"/>
    <w:rsid w:val="0AA817AD"/>
    <w:rsid w:val="0AA94190"/>
    <w:rsid w:val="0AAC5195"/>
    <w:rsid w:val="0AAD7774"/>
    <w:rsid w:val="0AAF2118"/>
    <w:rsid w:val="0AB33CEE"/>
    <w:rsid w:val="0AB61302"/>
    <w:rsid w:val="0AB72AB4"/>
    <w:rsid w:val="0AB77CB1"/>
    <w:rsid w:val="0ABC00C4"/>
    <w:rsid w:val="0ABC6811"/>
    <w:rsid w:val="0ABE7B49"/>
    <w:rsid w:val="0AC302F4"/>
    <w:rsid w:val="0AC3578F"/>
    <w:rsid w:val="0AC86146"/>
    <w:rsid w:val="0ACA15B9"/>
    <w:rsid w:val="0ACC485F"/>
    <w:rsid w:val="0ACF1D5A"/>
    <w:rsid w:val="0AD12C1C"/>
    <w:rsid w:val="0ADF574B"/>
    <w:rsid w:val="0AE147AE"/>
    <w:rsid w:val="0AE1789B"/>
    <w:rsid w:val="0AE266B9"/>
    <w:rsid w:val="0AE30A64"/>
    <w:rsid w:val="0AE37DDF"/>
    <w:rsid w:val="0AEA1189"/>
    <w:rsid w:val="0AEE0C79"/>
    <w:rsid w:val="0AEE7F78"/>
    <w:rsid w:val="0AEF2198"/>
    <w:rsid w:val="0AEF2288"/>
    <w:rsid w:val="0AEF3E82"/>
    <w:rsid w:val="0AEF4BDC"/>
    <w:rsid w:val="0AF171D2"/>
    <w:rsid w:val="0AF53045"/>
    <w:rsid w:val="0AF618DB"/>
    <w:rsid w:val="0AF61C3A"/>
    <w:rsid w:val="0AF729B4"/>
    <w:rsid w:val="0AF74245"/>
    <w:rsid w:val="0AF75383"/>
    <w:rsid w:val="0AFE5B22"/>
    <w:rsid w:val="0AFF2E86"/>
    <w:rsid w:val="0B045796"/>
    <w:rsid w:val="0B052C7C"/>
    <w:rsid w:val="0B0760EA"/>
    <w:rsid w:val="0B085B7B"/>
    <w:rsid w:val="0B0E1F15"/>
    <w:rsid w:val="0B106E41"/>
    <w:rsid w:val="0B1405BF"/>
    <w:rsid w:val="0B146CEA"/>
    <w:rsid w:val="0B1A5D21"/>
    <w:rsid w:val="0B207881"/>
    <w:rsid w:val="0B23544C"/>
    <w:rsid w:val="0B237BFE"/>
    <w:rsid w:val="0B2533C4"/>
    <w:rsid w:val="0B260413"/>
    <w:rsid w:val="0B2B203A"/>
    <w:rsid w:val="0B2B3C7B"/>
    <w:rsid w:val="0B301291"/>
    <w:rsid w:val="0B361AA6"/>
    <w:rsid w:val="0B381EF4"/>
    <w:rsid w:val="0B3B6363"/>
    <w:rsid w:val="0B3B6D0B"/>
    <w:rsid w:val="0B3C7C36"/>
    <w:rsid w:val="0B3D39AE"/>
    <w:rsid w:val="0B435C1C"/>
    <w:rsid w:val="0B4368DB"/>
    <w:rsid w:val="0B464D13"/>
    <w:rsid w:val="0B465F4D"/>
    <w:rsid w:val="0B4765DB"/>
    <w:rsid w:val="0B4A5FAE"/>
    <w:rsid w:val="0B4B46CA"/>
    <w:rsid w:val="0B4C4571"/>
    <w:rsid w:val="0B4D7E38"/>
    <w:rsid w:val="0B4F3D8E"/>
    <w:rsid w:val="0B515EF0"/>
    <w:rsid w:val="0B5331D2"/>
    <w:rsid w:val="0B584344"/>
    <w:rsid w:val="0B5A29A2"/>
    <w:rsid w:val="0B603655"/>
    <w:rsid w:val="0B622494"/>
    <w:rsid w:val="0B676F7D"/>
    <w:rsid w:val="0B6F0BEC"/>
    <w:rsid w:val="0B753148"/>
    <w:rsid w:val="0B7D21CB"/>
    <w:rsid w:val="0B806972"/>
    <w:rsid w:val="0B863D66"/>
    <w:rsid w:val="0B8901D1"/>
    <w:rsid w:val="0B8909A2"/>
    <w:rsid w:val="0B8937BF"/>
    <w:rsid w:val="0B8C3FEE"/>
    <w:rsid w:val="0B8D42D8"/>
    <w:rsid w:val="0B8D6529"/>
    <w:rsid w:val="0B8F21FA"/>
    <w:rsid w:val="0B911D8C"/>
    <w:rsid w:val="0B914450"/>
    <w:rsid w:val="0B925AA8"/>
    <w:rsid w:val="0B940485"/>
    <w:rsid w:val="0B945DFC"/>
    <w:rsid w:val="0B977FF1"/>
    <w:rsid w:val="0B996E37"/>
    <w:rsid w:val="0BA07041"/>
    <w:rsid w:val="0BA07C0E"/>
    <w:rsid w:val="0BA4235C"/>
    <w:rsid w:val="0BB7132F"/>
    <w:rsid w:val="0BB9448E"/>
    <w:rsid w:val="0BBA6DAD"/>
    <w:rsid w:val="0BBA7014"/>
    <w:rsid w:val="0BC06369"/>
    <w:rsid w:val="0BC26BB8"/>
    <w:rsid w:val="0BC72C69"/>
    <w:rsid w:val="0BCE3AE3"/>
    <w:rsid w:val="0BCE4339"/>
    <w:rsid w:val="0BD03841"/>
    <w:rsid w:val="0BD05882"/>
    <w:rsid w:val="0BD12803"/>
    <w:rsid w:val="0BD222CE"/>
    <w:rsid w:val="0BD240F7"/>
    <w:rsid w:val="0BD657ED"/>
    <w:rsid w:val="0BD67DF0"/>
    <w:rsid w:val="0BD77A17"/>
    <w:rsid w:val="0BDB775E"/>
    <w:rsid w:val="0BDC7020"/>
    <w:rsid w:val="0BDE2A9B"/>
    <w:rsid w:val="0BDF05C2"/>
    <w:rsid w:val="0BDF6813"/>
    <w:rsid w:val="0BE21CA7"/>
    <w:rsid w:val="0BE678A2"/>
    <w:rsid w:val="0BEB6221"/>
    <w:rsid w:val="0BF44FDB"/>
    <w:rsid w:val="0BF64289"/>
    <w:rsid w:val="0BF85DB1"/>
    <w:rsid w:val="0BFA53FB"/>
    <w:rsid w:val="0BFA6DDB"/>
    <w:rsid w:val="0BFD4069"/>
    <w:rsid w:val="0C017DDE"/>
    <w:rsid w:val="0C061FF2"/>
    <w:rsid w:val="0C066135"/>
    <w:rsid w:val="0C081404"/>
    <w:rsid w:val="0C0F46C9"/>
    <w:rsid w:val="0C174EAA"/>
    <w:rsid w:val="0C177D5B"/>
    <w:rsid w:val="0C210BDA"/>
    <w:rsid w:val="0C2433AF"/>
    <w:rsid w:val="0C250505"/>
    <w:rsid w:val="0C272694"/>
    <w:rsid w:val="0C2D0A20"/>
    <w:rsid w:val="0C2E4CB5"/>
    <w:rsid w:val="0C321E24"/>
    <w:rsid w:val="0C390FAC"/>
    <w:rsid w:val="0C3C3C66"/>
    <w:rsid w:val="0C3C40B3"/>
    <w:rsid w:val="0C4403D3"/>
    <w:rsid w:val="0C4503A0"/>
    <w:rsid w:val="0C496F9D"/>
    <w:rsid w:val="0C4A6383"/>
    <w:rsid w:val="0C4B5C57"/>
    <w:rsid w:val="0C4F369E"/>
    <w:rsid w:val="0C560E46"/>
    <w:rsid w:val="0C5A59EB"/>
    <w:rsid w:val="0C5C49CE"/>
    <w:rsid w:val="0C697B1C"/>
    <w:rsid w:val="0C752EE2"/>
    <w:rsid w:val="0C754E91"/>
    <w:rsid w:val="0C77050C"/>
    <w:rsid w:val="0C770DFE"/>
    <w:rsid w:val="0C777589"/>
    <w:rsid w:val="0C7A22E4"/>
    <w:rsid w:val="0C7D22B4"/>
    <w:rsid w:val="0C7E427E"/>
    <w:rsid w:val="0C81051D"/>
    <w:rsid w:val="0C85560D"/>
    <w:rsid w:val="0C913FB2"/>
    <w:rsid w:val="0C917B0E"/>
    <w:rsid w:val="0C960FAD"/>
    <w:rsid w:val="0C96202E"/>
    <w:rsid w:val="0C973498"/>
    <w:rsid w:val="0C975227"/>
    <w:rsid w:val="0C9879D0"/>
    <w:rsid w:val="0C9E3828"/>
    <w:rsid w:val="0CA041EC"/>
    <w:rsid w:val="0CA20FDF"/>
    <w:rsid w:val="0CA269A6"/>
    <w:rsid w:val="0CA27F6D"/>
    <w:rsid w:val="0CA75518"/>
    <w:rsid w:val="0CA76B66"/>
    <w:rsid w:val="0CA91CCA"/>
    <w:rsid w:val="0CB01BCB"/>
    <w:rsid w:val="0CB152CC"/>
    <w:rsid w:val="0CB675B5"/>
    <w:rsid w:val="0CBB102F"/>
    <w:rsid w:val="0CBB319C"/>
    <w:rsid w:val="0CBB7C19"/>
    <w:rsid w:val="0CBB7C4B"/>
    <w:rsid w:val="0CBC071C"/>
    <w:rsid w:val="0CBF16C1"/>
    <w:rsid w:val="0CC16226"/>
    <w:rsid w:val="0CC779D3"/>
    <w:rsid w:val="0CCA74C4"/>
    <w:rsid w:val="0CCF4ADA"/>
    <w:rsid w:val="0CD3450C"/>
    <w:rsid w:val="0CD721D7"/>
    <w:rsid w:val="0CDE1EA1"/>
    <w:rsid w:val="0CE53932"/>
    <w:rsid w:val="0CEE4F60"/>
    <w:rsid w:val="0CEF0CD8"/>
    <w:rsid w:val="0CF30203"/>
    <w:rsid w:val="0D06216B"/>
    <w:rsid w:val="0D0A2995"/>
    <w:rsid w:val="0D10137A"/>
    <w:rsid w:val="0D132C19"/>
    <w:rsid w:val="0D1544B2"/>
    <w:rsid w:val="0D164D36"/>
    <w:rsid w:val="0D177791"/>
    <w:rsid w:val="0D217829"/>
    <w:rsid w:val="0D2D6AE8"/>
    <w:rsid w:val="0D2F7B19"/>
    <w:rsid w:val="0D307327"/>
    <w:rsid w:val="0D313E1B"/>
    <w:rsid w:val="0D330BC5"/>
    <w:rsid w:val="0D3C216F"/>
    <w:rsid w:val="0D3E48E7"/>
    <w:rsid w:val="0D436DB3"/>
    <w:rsid w:val="0D443541"/>
    <w:rsid w:val="0D464D9C"/>
    <w:rsid w:val="0D4728C2"/>
    <w:rsid w:val="0D4B355C"/>
    <w:rsid w:val="0D51729D"/>
    <w:rsid w:val="0D525752"/>
    <w:rsid w:val="0D5648B3"/>
    <w:rsid w:val="0D5B1ADB"/>
    <w:rsid w:val="0D5B2C57"/>
    <w:rsid w:val="0D5C420B"/>
    <w:rsid w:val="0D5C4757"/>
    <w:rsid w:val="0D5D3E94"/>
    <w:rsid w:val="0D5E1321"/>
    <w:rsid w:val="0D5F1F83"/>
    <w:rsid w:val="0D6149B3"/>
    <w:rsid w:val="0D644439"/>
    <w:rsid w:val="0D65614D"/>
    <w:rsid w:val="0D660C1A"/>
    <w:rsid w:val="0D687C1B"/>
    <w:rsid w:val="0D697D46"/>
    <w:rsid w:val="0D6B035F"/>
    <w:rsid w:val="0D6C68F4"/>
    <w:rsid w:val="0D705975"/>
    <w:rsid w:val="0D757075"/>
    <w:rsid w:val="0D7E4232"/>
    <w:rsid w:val="0D7F02AE"/>
    <w:rsid w:val="0D837081"/>
    <w:rsid w:val="0D845AC4"/>
    <w:rsid w:val="0D857517"/>
    <w:rsid w:val="0D86353A"/>
    <w:rsid w:val="0D8D29CB"/>
    <w:rsid w:val="0D9149EC"/>
    <w:rsid w:val="0D941565"/>
    <w:rsid w:val="0D981B99"/>
    <w:rsid w:val="0D990F5F"/>
    <w:rsid w:val="0D9C5DC5"/>
    <w:rsid w:val="0DA03D4E"/>
    <w:rsid w:val="0DA10224"/>
    <w:rsid w:val="0DA258DC"/>
    <w:rsid w:val="0DA46EFA"/>
    <w:rsid w:val="0DA605FC"/>
    <w:rsid w:val="0DA67ADA"/>
    <w:rsid w:val="0DAB10A3"/>
    <w:rsid w:val="0DAF0B93"/>
    <w:rsid w:val="0DB066B9"/>
    <w:rsid w:val="0DB5363E"/>
    <w:rsid w:val="0DB86DF8"/>
    <w:rsid w:val="0DBD42A8"/>
    <w:rsid w:val="0DC02C04"/>
    <w:rsid w:val="0DCB3F8A"/>
    <w:rsid w:val="0DD01275"/>
    <w:rsid w:val="0DD07DC9"/>
    <w:rsid w:val="0DD33E09"/>
    <w:rsid w:val="0DD36A09"/>
    <w:rsid w:val="0DD709E0"/>
    <w:rsid w:val="0DD71D96"/>
    <w:rsid w:val="0DD81974"/>
    <w:rsid w:val="0DDA26E7"/>
    <w:rsid w:val="0DDD377D"/>
    <w:rsid w:val="0DDE58F7"/>
    <w:rsid w:val="0DDE73EA"/>
    <w:rsid w:val="0DDF1DCE"/>
    <w:rsid w:val="0DE10621"/>
    <w:rsid w:val="0DE545B5"/>
    <w:rsid w:val="0DE819AF"/>
    <w:rsid w:val="0DE85E53"/>
    <w:rsid w:val="0DE9205F"/>
    <w:rsid w:val="0DEF2194"/>
    <w:rsid w:val="0DF14750"/>
    <w:rsid w:val="0DF61ADF"/>
    <w:rsid w:val="0DF70E8C"/>
    <w:rsid w:val="0DF963A9"/>
    <w:rsid w:val="0DFC7B47"/>
    <w:rsid w:val="0DFE2A87"/>
    <w:rsid w:val="0E045213"/>
    <w:rsid w:val="0E057123"/>
    <w:rsid w:val="0E057C6A"/>
    <w:rsid w:val="0E06277D"/>
    <w:rsid w:val="0E070EDC"/>
    <w:rsid w:val="0E0B3D2F"/>
    <w:rsid w:val="0E0D233D"/>
    <w:rsid w:val="0E0D7668"/>
    <w:rsid w:val="0E0E7C85"/>
    <w:rsid w:val="0E1171C8"/>
    <w:rsid w:val="0E1308B7"/>
    <w:rsid w:val="0E147564"/>
    <w:rsid w:val="0E1949F8"/>
    <w:rsid w:val="0E1E1023"/>
    <w:rsid w:val="0E22180B"/>
    <w:rsid w:val="0E286250"/>
    <w:rsid w:val="0E2A288A"/>
    <w:rsid w:val="0E320CCA"/>
    <w:rsid w:val="0E323572"/>
    <w:rsid w:val="0E343A4B"/>
    <w:rsid w:val="0E3955AC"/>
    <w:rsid w:val="0E3C1CFB"/>
    <w:rsid w:val="0E3D3FEF"/>
    <w:rsid w:val="0E40619F"/>
    <w:rsid w:val="0E423016"/>
    <w:rsid w:val="0E436B53"/>
    <w:rsid w:val="0E47058B"/>
    <w:rsid w:val="0E4B63E2"/>
    <w:rsid w:val="0E503B05"/>
    <w:rsid w:val="0E5256B6"/>
    <w:rsid w:val="0E553A87"/>
    <w:rsid w:val="0E564766"/>
    <w:rsid w:val="0E570853"/>
    <w:rsid w:val="0E5E09FF"/>
    <w:rsid w:val="0E5F5D88"/>
    <w:rsid w:val="0E601953"/>
    <w:rsid w:val="0E601E8E"/>
    <w:rsid w:val="0E6151B4"/>
    <w:rsid w:val="0E683544"/>
    <w:rsid w:val="0E697416"/>
    <w:rsid w:val="0E6D76B0"/>
    <w:rsid w:val="0E6F0CE9"/>
    <w:rsid w:val="0E71409B"/>
    <w:rsid w:val="0E7E40C2"/>
    <w:rsid w:val="0E847590"/>
    <w:rsid w:val="0E8A07EC"/>
    <w:rsid w:val="0E8B2062"/>
    <w:rsid w:val="0E8F7A02"/>
    <w:rsid w:val="0E96143D"/>
    <w:rsid w:val="0E9723EA"/>
    <w:rsid w:val="0E9A47B2"/>
    <w:rsid w:val="0E9D182E"/>
    <w:rsid w:val="0E9E4764"/>
    <w:rsid w:val="0EA004DC"/>
    <w:rsid w:val="0EA015B0"/>
    <w:rsid w:val="0EA0228A"/>
    <w:rsid w:val="0EA2573C"/>
    <w:rsid w:val="0EA508BC"/>
    <w:rsid w:val="0EA8721D"/>
    <w:rsid w:val="0EAA3109"/>
    <w:rsid w:val="0EAA3E90"/>
    <w:rsid w:val="0EAC4537"/>
    <w:rsid w:val="0EAD7D6E"/>
    <w:rsid w:val="0EB13CB9"/>
    <w:rsid w:val="0EB55AE3"/>
    <w:rsid w:val="0EB83A78"/>
    <w:rsid w:val="0EBE6BB4"/>
    <w:rsid w:val="0EC12110"/>
    <w:rsid w:val="0EC20452"/>
    <w:rsid w:val="0EC266A4"/>
    <w:rsid w:val="0EC613F3"/>
    <w:rsid w:val="0EC663FD"/>
    <w:rsid w:val="0EC675AC"/>
    <w:rsid w:val="0EC85388"/>
    <w:rsid w:val="0ECA37AB"/>
    <w:rsid w:val="0ECA6384"/>
    <w:rsid w:val="0EDB1514"/>
    <w:rsid w:val="0EE30D43"/>
    <w:rsid w:val="0EEB7908"/>
    <w:rsid w:val="0EEE56EB"/>
    <w:rsid w:val="0EF27647"/>
    <w:rsid w:val="0EF37803"/>
    <w:rsid w:val="0EF7257E"/>
    <w:rsid w:val="0EFE3455"/>
    <w:rsid w:val="0EFF16A6"/>
    <w:rsid w:val="0EFF2700"/>
    <w:rsid w:val="0EFF489D"/>
    <w:rsid w:val="0F023598"/>
    <w:rsid w:val="0F024154"/>
    <w:rsid w:val="0F096081"/>
    <w:rsid w:val="0F0D5446"/>
    <w:rsid w:val="0F0F2E88"/>
    <w:rsid w:val="0F1D1B2D"/>
    <w:rsid w:val="0F224A57"/>
    <w:rsid w:val="0F2743A8"/>
    <w:rsid w:val="0F2A1B00"/>
    <w:rsid w:val="0F2A7F65"/>
    <w:rsid w:val="0F2D0006"/>
    <w:rsid w:val="0F2D3A6E"/>
    <w:rsid w:val="0F2E2047"/>
    <w:rsid w:val="0F3A199C"/>
    <w:rsid w:val="0F3F36C5"/>
    <w:rsid w:val="0F3F7CF5"/>
    <w:rsid w:val="0F435C60"/>
    <w:rsid w:val="0F436DEC"/>
    <w:rsid w:val="0F475257"/>
    <w:rsid w:val="0F5A4B2F"/>
    <w:rsid w:val="0F5B2BE7"/>
    <w:rsid w:val="0F5D461F"/>
    <w:rsid w:val="0F627D60"/>
    <w:rsid w:val="0F6459AD"/>
    <w:rsid w:val="0F654E85"/>
    <w:rsid w:val="0F657030"/>
    <w:rsid w:val="0F694D72"/>
    <w:rsid w:val="0F6E2001"/>
    <w:rsid w:val="0F7438F9"/>
    <w:rsid w:val="0F772F30"/>
    <w:rsid w:val="0F7A0CE0"/>
    <w:rsid w:val="0F7A2ADB"/>
    <w:rsid w:val="0F7B1D4D"/>
    <w:rsid w:val="0F7C1DF5"/>
    <w:rsid w:val="0F816D85"/>
    <w:rsid w:val="0F827BE2"/>
    <w:rsid w:val="0F8536DA"/>
    <w:rsid w:val="0F8D6EA2"/>
    <w:rsid w:val="0F8F47E3"/>
    <w:rsid w:val="0F927D7E"/>
    <w:rsid w:val="0F930041"/>
    <w:rsid w:val="0F963764"/>
    <w:rsid w:val="0F98106E"/>
    <w:rsid w:val="0F983143"/>
    <w:rsid w:val="0F985946"/>
    <w:rsid w:val="0F987405"/>
    <w:rsid w:val="0F9967CD"/>
    <w:rsid w:val="0F9B09A0"/>
    <w:rsid w:val="0F9D4A1B"/>
    <w:rsid w:val="0FA364D6"/>
    <w:rsid w:val="0FA41FAB"/>
    <w:rsid w:val="0FA704C4"/>
    <w:rsid w:val="0FA7589A"/>
    <w:rsid w:val="0FA77648"/>
    <w:rsid w:val="0FA812C4"/>
    <w:rsid w:val="0FAC10EB"/>
    <w:rsid w:val="0FAF7946"/>
    <w:rsid w:val="0FB061D8"/>
    <w:rsid w:val="0FB26719"/>
    <w:rsid w:val="0FB33F34"/>
    <w:rsid w:val="0FB7564B"/>
    <w:rsid w:val="0FB83603"/>
    <w:rsid w:val="0FBC7598"/>
    <w:rsid w:val="0FC377B8"/>
    <w:rsid w:val="0FCB42C4"/>
    <w:rsid w:val="0FD42B11"/>
    <w:rsid w:val="0FD45593"/>
    <w:rsid w:val="0FD522F0"/>
    <w:rsid w:val="0FD8005B"/>
    <w:rsid w:val="0FD86850"/>
    <w:rsid w:val="0FDC19E8"/>
    <w:rsid w:val="0FDC434E"/>
    <w:rsid w:val="0FDE297D"/>
    <w:rsid w:val="0FE17D52"/>
    <w:rsid w:val="0FE20957"/>
    <w:rsid w:val="0FE47720"/>
    <w:rsid w:val="0FE55D2E"/>
    <w:rsid w:val="0FE73EE9"/>
    <w:rsid w:val="0FEB2F72"/>
    <w:rsid w:val="0FEB6643"/>
    <w:rsid w:val="0FEC7947"/>
    <w:rsid w:val="0FED735A"/>
    <w:rsid w:val="0FF22992"/>
    <w:rsid w:val="0FF4448A"/>
    <w:rsid w:val="0FF52AA9"/>
    <w:rsid w:val="10067A3A"/>
    <w:rsid w:val="100875EA"/>
    <w:rsid w:val="100C368B"/>
    <w:rsid w:val="10145E5B"/>
    <w:rsid w:val="101651E5"/>
    <w:rsid w:val="101747CE"/>
    <w:rsid w:val="101B510F"/>
    <w:rsid w:val="101C46B9"/>
    <w:rsid w:val="10222611"/>
    <w:rsid w:val="10225DF8"/>
    <w:rsid w:val="10235465"/>
    <w:rsid w:val="10283E01"/>
    <w:rsid w:val="10297700"/>
    <w:rsid w:val="102D53BB"/>
    <w:rsid w:val="10374E70"/>
    <w:rsid w:val="103D1A5F"/>
    <w:rsid w:val="103D51F3"/>
    <w:rsid w:val="1041118C"/>
    <w:rsid w:val="1047050D"/>
    <w:rsid w:val="104F276F"/>
    <w:rsid w:val="10524CAB"/>
    <w:rsid w:val="10530AC2"/>
    <w:rsid w:val="105552F6"/>
    <w:rsid w:val="10563548"/>
    <w:rsid w:val="10615A49"/>
    <w:rsid w:val="1063277B"/>
    <w:rsid w:val="106419C8"/>
    <w:rsid w:val="106B58FC"/>
    <w:rsid w:val="10702C73"/>
    <w:rsid w:val="10703EDE"/>
    <w:rsid w:val="107439CE"/>
    <w:rsid w:val="107C007A"/>
    <w:rsid w:val="107C2C7E"/>
    <w:rsid w:val="10802FF2"/>
    <w:rsid w:val="10805251"/>
    <w:rsid w:val="10805D1C"/>
    <w:rsid w:val="10817E99"/>
    <w:rsid w:val="108241EC"/>
    <w:rsid w:val="108E275C"/>
    <w:rsid w:val="108F1A98"/>
    <w:rsid w:val="109167D3"/>
    <w:rsid w:val="10965914"/>
    <w:rsid w:val="10997C68"/>
    <w:rsid w:val="109A3BD4"/>
    <w:rsid w:val="109D744F"/>
    <w:rsid w:val="10A02A15"/>
    <w:rsid w:val="10A0400E"/>
    <w:rsid w:val="10A20D0B"/>
    <w:rsid w:val="10A20FFE"/>
    <w:rsid w:val="10A2775C"/>
    <w:rsid w:val="10AB58DC"/>
    <w:rsid w:val="10AC07ED"/>
    <w:rsid w:val="10B2683D"/>
    <w:rsid w:val="10B452D0"/>
    <w:rsid w:val="10B521F3"/>
    <w:rsid w:val="10B66BC9"/>
    <w:rsid w:val="10B73FB1"/>
    <w:rsid w:val="10B95DFE"/>
    <w:rsid w:val="10BD0508"/>
    <w:rsid w:val="10BE3A1D"/>
    <w:rsid w:val="10BF3671"/>
    <w:rsid w:val="10C031C3"/>
    <w:rsid w:val="10C77C1C"/>
    <w:rsid w:val="10CD6E11"/>
    <w:rsid w:val="10CF50A9"/>
    <w:rsid w:val="10D34B99"/>
    <w:rsid w:val="10D40911"/>
    <w:rsid w:val="10D736B1"/>
    <w:rsid w:val="10D821AF"/>
    <w:rsid w:val="10DB17D5"/>
    <w:rsid w:val="10DB1C9F"/>
    <w:rsid w:val="10E11406"/>
    <w:rsid w:val="10E24A58"/>
    <w:rsid w:val="10E52487"/>
    <w:rsid w:val="10E64849"/>
    <w:rsid w:val="10ED62C9"/>
    <w:rsid w:val="10EE616A"/>
    <w:rsid w:val="10F45B00"/>
    <w:rsid w:val="10F67454"/>
    <w:rsid w:val="10F74511"/>
    <w:rsid w:val="10F77E9A"/>
    <w:rsid w:val="10FE773C"/>
    <w:rsid w:val="11005262"/>
    <w:rsid w:val="110C3C07"/>
    <w:rsid w:val="110F3902"/>
    <w:rsid w:val="111331E7"/>
    <w:rsid w:val="111A01C1"/>
    <w:rsid w:val="111D4066"/>
    <w:rsid w:val="111E52AA"/>
    <w:rsid w:val="112203C1"/>
    <w:rsid w:val="11235730"/>
    <w:rsid w:val="11272147"/>
    <w:rsid w:val="1137024E"/>
    <w:rsid w:val="113849FC"/>
    <w:rsid w:val="1138517A"/>
    <w:rsid w:val="11387160"/>
    <w:rsid w:val="113C371A"/>
    <w:rsid w:val="113D0261"/>
    <w:rsid w:val="113F3BED"/>
    <w:rsid w:val="11422360"/>
    <w:rsid w:val="114408F4"/>
    <w:rsid w:val="1149458E"/>
    <w:rsid w:val="114C6C01"/>
    <w:rsid w:val="11524785"/>
    <w:rsid w:val="115349B0"/>
    <w:rsid w:val="1158509E"/>
    <w:rsid w:val="11591EC2"/>
    <w:rsid w:val="115B3953"/>
    <w:rsid w:val="11624FF1"/>
    <w:rsid w:val="1164096F"/>
    <w:rsid w:val="11641C95"/>
    <w:rsid w:val="11694844"/>
    <w:rsid w:val="116C5FCF"/>
    <w:rsid w:val="11707C6F"/>
    <w:rsid w:val="11757139"/>
    <w:rsid w:val="11782737"/>
    <w:rsid w:val="117B2B3A"/>
    <w:rsid w:val="118169F3"/>
    <w:rsid w:val="11866F8D"/>
    <w:rsid w:val="1189484A"/>
    <w:rsid w:val="118C0B72"/>
    <w:rsid w:val="118E286E"/>
    <w:rsid w:val="118F3710"/>
    <w:rsid w:val="119211FE"/>
    <w:rsid w:val="11960AC4"/>
    <w:rsid w:val="119841A8"/>
    <w:rsid w:val="11990174"/>
    <w:rsid w:val="119B6521"/>
    <w:rsid w:val="119C61F9"/>
    <w:rsid w:val="11A1409D"/>
    <w:rsid w:val="11A84792"/>
    <w:rsid w:val="11AB4941"/>
    <w:rsid w:val="11AF610A"/>
    <w:rsid w:val="11B52A7C"/>
    <w:rsid w:val="11B60016"/>
    <w:rsid w:val="11B6625F"/>
    <w:rsid w:val="11C53057"/>
    <w:rsid w:val="11C643BE"/>
    <w:rsid w:val="11C9676C"/>
    <w:rsid w:val="11CC1466"/>
    <w:rsid w:val="11CF3202"/>
    <w:rsid w:val="11CF6E9F"/>
    <w:rsid w:val="11D31C55"/>
    <w:rsid w:val="11D32976"/>
    <w:rsid w:val="11D64860"/>
    <w:rsid w:val="11D77818"/>
    <w:rsid w:val="11DA7004"/>
    <w:rsid w:val="11E53F40"/>
    <w:rsid w:val="11E556EC"/>
    <w:rsid w:val="11E73282"/>
    <w:rsid w:val="11EF2ABE"/>
    <w:rsid w:val="11EF443E"/>
    <w:rsid w:val="11F06A97"/>
    <w:rsid w:val="11F766A7"/>
    <w:rsid w:val="11F86147"/>
    <w:rsid w:val="11FB7263"/>
    <w:rsid w:val="11FF19BD"/>
    <w:rsid w:val="11FF551A"/>
    <w:rsid w:val="120511CA"/>
    <w:rsid w:val="12072620"/>
    <w:rsid w:val="12074453"/>
    <w:rsid w:val="120C3CDD"/>
    <w:rsid w:val="120F642F"/>
    <w:rsid w:val="12187542"/>
    <w:rsid w:val="121C487F"/>
    <w:rsid w:val="121F5BBC"/>
    <w:rsid w:val="121F5F7E"/>
    <w:rsid w:val="12224E20"/>
    <w:rsid w:val="122C28B0"/>
    <w:rsid w:val="123023DE"/>
    <w:rsid w:val="1231086C"/>
    <w:rsid w:val="12311E3B"/>
    <w:rsid w:val="12404F19"/>
    <w:rsid w:val="124179BE"/>
    <w:rsid w:val="12463148"/>
    <w:rsid w:val="12497A22"/>
    <w:rsid w:val="124A10BB"/>
    <w:rsid w:val="124B7080"/>
    <w:rsid w:val="124D02E6"/>
    <w:rsid w:val="124E2148"/>
    <w:rsid w:val="12503FC7"/>
    <w:rsid w:val="12536C6A"/>
    <w:rsid w:val="12573F56"/>
    <w:rsid w:val="125D7A8C"/>
    <w:rsid w:val="12610A27"/>
    <w:rsid w:val="126443A1"/>
    <w:rsid w:val="12665CE5"/>
    <w:rsid w:val="126D4B79"/>
    <w:rsid w:val="126D6927"/>
    <w:rsid w:val="1273042B"/>
    <w:rsid w:val="12731139"/>
    <w:rsid w:val="128073DB"/>
    <w:rsid w:val="12870619"/>
    <w:rsid w:val="128E6FB3"/>
    <w:rsid w:val="12916AA6"/>
    <w:rsid w:val="129245E0"/>
    <w:rsid w:val="12970412"/>
    <w:rsid w:val="12993BC0"/>
    <w:rsid w:val="129B7C09"/>
    <w:rsid w:val="129F1B77"/>
    <w:rsid w:val="12A1771E"/>
    <w:rsid w:val="12A668CB"/>
    <w:rsid w:val="12A8795F"/>
    <w:rsid w:val="12AE2C22"/>
    <w:rsid w:val="12AE4669"/>
    <w:rsid w:val="12B15F6E"/>
    <w:rsid w:val="12B32D8C"/>
    <w:rsid w:val="12B46304"/>
    <w:rsid w:val="12B55B84"/>
    <w:rsid w:val="12BC165D"/>
    <w:rsid w:val="12BE61AE"/>
    <w:rsid w:val="12CA151C"/>
    <w:rsid w:val="12CF66B9"/>
    <w:rsid w:val="12D1354A"/>
    <w:rsid w:val="12D7637B"/>
    <w:rsid w:val="12D9291A"/>
    <w:rsid w:val="12E0683B"/>
    <w:rsid w:val="12E26FC8"/>
    <w:rsid w:val="12E94387"/>
    <w:rsid w:val="12EF4942"/>
    <w:rsid w:val="12F06B96"/>
    <w:rsid w:val="12F641EE"/>
    <w:rsid w:val="12F7713B"/>
    <w:rsid w:val="12FC0B84"/>
    <w:rsid w:val="12FC12B7"/>
    <w:rsid w:val="1300655A"/>
    <w:rsid w:val="130348AB"/>
    <w:rsid w:val="1304765D"/>
    <w:rsid w:val="130D37CB"/>
    <w:rsid w:val="1312467E"/>
    <w:rsid w:val="1319085D"/>
    <w:rsid w:val="13193394"/>
    <w:rsid w:val="131B45D5"/>
    <w:rsid w:val="131C54BB"/>
    <w:rsid w:val="1320788F"/>
    <w:rsid w:val="13250FB0"/>
    <w:rsid w:val="13262CC4"/>
    <w:rsid w:val="132B03E2"/>
    <w:rsid w:val="132E5ABE"/>
    <w:rsid w:val="13381148"/>
    <w:rsid w:val="13433B2C"/>
    <w:rsid w:val="1345144A"/>
    <w:rsid w:val="1348010F"/>
    <w:rsid w:val="134F094E"/>
    <w:rsid w:val="13527516"/>
    <w:rsid w:val="13536BAC"/>
    <w:rsid w:val="13542CE0"/>
    <w:rsid w:val="13547644"/>
    <w:rsid w:val="135740C5"/>
    <w:rsid w:val="135A007A"/>
    <w:rsid w:val="13612694"/>
    <w:rsid w:val="136247B4"/>
    <w:rsid w:val="1376180B"/>
    <w:rsid w:val="13764B1B"/>
    <w:rsid w:val="13773EEC"/>
    <w:rsid w:val="137A1724"/>
    <w:rsid w:val="137B4906"/>
    <w:rsid w:val="137B6357"/>
    <w:rsid w:val="137D09B2"/>
    <w:rsid w:val="13824654"/>
    <w:rsid w:val="1384502B"/>
    <w:rsid w:val="138836C6"/>
    <w:rsid w:val="138959E3"/>
    <w:rsid w:val="138A1D2C"/>
    <w:rsid w:val="138C102F"/>
    <w:rsid w:val="138E1DCF"/>
    <w:rsid w:val="138E2FF9"/>
    <w:rsid w:val="138F413B"/>
    <w:rsid w:val="13906D71"/>
    <w:rsid w:val="139132E8"/>
    <w:rsid w:val="139221E1"/>
    <w:rsid w:val="13924F54"/>
    <w:rsid w:val="139679D5"/>
    <w:rsid w:val="13974112"/>
    <w:rsid w:val="139879D4"/>
    <w:rsid w:val="139A31D1"/>
    <w:rsid w:val="139C7E9F"/>
    <w:rsid w:val="139D2A1A"/>
    <w:rsid w:val="139D3DFC"/>
    <w:rsid w:val="13B80EC8"/>
    <w:rsid w:val="13BF042A"/>
    <w:rsid w:val="13BF31B2"/>
    <w:rsid w:val="13BF4C25"/>
    <w:rsid w:val="13C133CE"/>
    <w:rsid w:val="13C24A51"/>
    <w:rsid w:val="13C70A93"/>
    <w:rsid w:val="13CA1BEF"/>
    <w:rsid w:val="13CC0F3D"/>
    <w:rsid w:val="13CC3B21"/>
    <w:rsid w:val="13CC78F4"/>
    <w:rsid w:val="13D053C0"/>
    <w:rsid w:val="13D3611F"/>
    <w:rsid w:val="13D36C5E"/>
    <w:rsid w:val="13D40D7B"/>
    <w:rsid w:val="13D80718"/>
    <w:rsid w:val="13DA0AAC"/>
    <w:rsid w:val="13E147DA"/>
    <w:rsid w:val="13E40B0D"/>
    <w:rsid w:val="13E946D3"/>
    <w:rsid w:val="13EC5383"/>
    <w:rsid w:val="13EF22C9"/>
    <w:rsid w:val="13F932DB"/>
    <w:rsid w:val="13F9553D"/>
    <w:rsid w:val="13FA68E0"/>
    <w:rsid w:val="13FB0C28"/>
    <w:rsid w:val="13FE6EF1"/>
    <w:rsid w:val="140575E4"/>
    <w:rsid w:val="14111320"/>
    <w:rsid w:val="14117786"/>
    <w:rsid w:val="141334FE"/>
    <w:rsid w:val="1419322E"/>
    <w:rsid w:val="141A2ADF"/>
    <w:rsid w:val="141D78C5"/>
    <w:rsid w:val="14233C4A"/>
    <w:rsid w:val="14234A4B"/>
    <w:rsid w:val="14292A24"/>
    <w:rsid w:val="142B0848"/>
    <w:rsid w:val="142B6A9A"/>
    <w:rsid w:val="1432607A"/>
    <w:rsid w:val="14335F47"/>
    <w:rsid w:val="143A3661"/>
    <w:rsid w:val="143A6CDD"/>
    <w:rsid w:val="143F7A7C"/>
    <w:rsid w:val="144162BD"/>
    <w:rsid w:val="1448292D"/>
    <w:rsid w:val="1448764C"/>
    <w:rsid w:val="144931CD"/>
    <w:rsid w:val="144B0EEA"/>
    <w:rsid w:val="144B713C"/>
    <w:rsid w:val="144C6E32"/>
    <w:rsid w:val="144F5A29"/>
    <w:rsid w:val="1450017D"/>
    <w:rsid w:val="145062EF"/>
    <w:rsid w:val="145267A1"/>
    <w:rsid w:val="1454016C"/>
    <w:rsid w:val="14545B87"/>
    <w:rsid w:val="14575B69"/>
    <w:rsid w:val="145926F6"/>
    <w:rsid w:val="14594962"/>
    <w:rsid w:val="145D2017"/>
    <w:rsid w:val="14606BBF"/>
    <w:rsid w:val="14624527"/>
    <w:rsid w:val="146C7C3C"/>
    <w:rsid w:val="14711449"/>
    <w:rsid w:val="14726477"/>
    <w:rsid w:val="14733102"/>
    <w:rsid w:val="1479169C"/>
    <w:rsid w:val="147E3B44"/>
    <w:rsid w:val="14803D26"/>
    <w:rsid w:val="14812B5E"/>
    <w:rsid w:val="148271FE"/>
    <w:rsid w:val="14850E37"/>
    <w:rsid w:val="14883EEC"/>
    <w:rsid w:val="14902DA1"/>
    <w:rsid w:val="14911462"/>
    <w:rsid w:val="1497412F"/>
    <w:rsid w:val="149B2415"/>
    <w:rsid w:val="14A0633F"/>
    <w:rsid w:val="14A46AC3"/>
    <w:rsid w:val="14A94CED"/>
    <w:rsid w:val="14A95C11"/>
    <w:rsid w:val="14AF76CB"/>
    <w:rsid w:val="14B41848"/>
    <w:rsid w:val="14B474C5"/>
    <w:rsid w:val="14B66F5B"/>
    <w:rsid w:val="14B940A6"/>
    <w:rsid w:val="14C549C3"/>
    <w:rsid w:val="14CB7588"/>
    <w:rsid w:val="14CC78F3"/>
    <w:rsid w:val="14CF1B1B"/>
    <w:rsid w:val="14D279B4"/>
    <w:rsid w:val="14DD32F0"/>
    <w:rsid w:val="14DF1BD5"/>
    <w:rsid w:val="14E07A2C"/>
    <w:rsid w:val="14E153AA"/>
    <w:rsid w:val="14E57C63"/>
    <w:rsid w:val="14E63301"/>
    <w:rsid w:val="14E953FD"/>
    <w:rsid w:val="14EA0703"/>
    <w:rsid w:val="14ED6053"/>
    <w:rsid w:val="14EE541C"/>
    <w:rsid w:val="14EF14C8"/>
    <w:rsid w:val="14EF3F6B"/>
    <w:rsid w:val="14F06616"/>
    <w:rsid w:val="14F21366"/>
    <w:rsid w:val="14F3352F"/>
    <w:rsid w:val="14F36743"/>
    <w:rsid w:val="14F670A8"/>
    <w:rsid w:val="14FC58F2"/>
    <w:rsid w:val="14FE79A5"/>
    <w:rsid w:val="15003A82"/>
    <w:rsid w:val="150063A0"/>
    <w:rsid w:val="150117A8"/>
    <w:rsid w:val="15016650"/>
    <w:rsid w:val="15064E11"/>
    <w:rsid w:val="15074494"/>
    <w:rsid w:val="150B001C"/>
    <w:rsid w:val="150B2A1B"/>
    <w:rsid w:val="15121A08"/>
    <w:rsid w:val="15135793"/>
    <w:rsid w:val="15153797"/>
    <w:rsid w:val="15154F6B"/>
    <w:rsid w:val="1517743B"/>
    <w:rsid w:val="15190FE8"/>
    <w:rsid w:val="151E1671"/>
    <w:rsid w:val="152119E5"/>
    <w:rsid w:val="15227E9D"/>
    <w:rsid w:val="152571A3"/>
    <w:rsid w:val="152E435F"/>
    <w:rsid w:val="152F5FAA"/>
    <w:rsid w:val="153E323D"/>
    <w:rsid w:val="153F3F2D"/>
    <w:rsid w:val="1542409B"/>
    <w:rsid w:val="154406BF"/>
    <w:rsid w:val="15505450"/>
    <w:rsid w:val="155B33AF"/>
    <w:rsid w:val="155C2C83"/>
    <w:rsid w:val="155D0482"/>
    <w:rsid w:val="156009C5"/>
    <w:rsid w:val="15620CA0"/>
    <w:rsid w:val="15645760"/>
    <w:rsid w:val="1565422D"/>
    <w:rsid w:val="1566572F"/>
    <w:rsid w:val="156726E4"/>
    <w:rsid w:val="156C2EC6"/>
    <w:rsid w:val="156C7992"/>
    <w:rsid w:val="1574215A"/>
    <w:rsid w:val="157606D6"/>
    <w:rsid w:val="15761F97"/>
    <w:rsid w:val="15787ABD"/>
    <w:rsid w:val="15791641"/>
    <w:rsid w:val="157B135B"/>
    <w:rsid w:val="157B13BC"/>
    <w:rsid w:val="157D0E9D"/>
    <w:rsid w:val="157F7533"/>
    <w:rsid w:val="15806971"/>
    <w:rsid w:val="15882032"/>
    <w:rsid w:val="15883A78"/>
    <w:rsid w:val="158C0C3F"/>
    <w:rsid w:val="158C4D72"/>
    <w:rsid w:val="158D3108"/>
    <w:rsid w:val="158F12AA"/>
    <w:rsid w:val="158F714A"/>
    <w:rsid w:val="15900A0D"/>
    <w:rsid w:val="15922A63"/>
    <w:rsid w:val="15932B49"/>
    <w:rsid w:val="159A3ED7"/>
    <w:rsid w:val="159A53A0"/>
    <w:rsid w:val="159A5CDC"/>
    <w:rsid w:val="159A6FEE"/>
    <w:rsid w:val="159D0CC2"/>
    <w:rsid w:val="159E329B"/>
    <w:rsid w:val="159E6824"/>
    <w:rsid w:val="159F1F9D"/>
    <w:rsid w:val="15A05265"/>
    <w:rsid w:val="15A60BA5"/>
    <w:rsid w:val="15AB2B75"/>
    <w:rsid w:val="15AC1E7C"/>
    <w:rsid w:val="15AC7CA9"/>
    <w:rsid w:val="15AE2DC8"/>
    <w:rsid w:val="15B34273"/>
    <w:rsid w:val="15B45E9B"/>
    <w:rsid w:val="15B50D11"/>
    <w:rsid w:val="15B8423D"/>
    <w:rsid w:val="15B87207"/>
    <w:rsid w:val="15C62573"/>
    <w:rsid w:val="15CF11DB"/>
    <w:rsid w:val="15D15511"/>
    <w:rsid w:val="15D171CD"/>
    <w:rsid w:val="15D54F0F"/>
    <w:rsid w:val="15E45511"/>
    <w:rsid w:val="15E555E5"/>
    <w:rsid w:val="15EB4DF3"/>
    <w:rsid w:val="15EE4223"/>
    <w:rsid w:val="15F6675E"/>
    <w:rsid w:val="15FB06EE"/>
    <w:rsid w:val="15FD52F6"/>
    <w:rsid w:val="15FF3D3A"/>
    <w:rsid w:val="160022D2"/>
    <w:rsid w:val="16007AB2"/>
    <w:rsid w:val="16024F07"/>
    <w:rsid w:val="16041350"/>
    <w:rsid w:val="160752E5"/>
    <w:rsid w:val="160E443B"/>
    <w:rsid w:val="16111CBF"/>
    <w:rsid w:val="16156872"/>
    <w:rsid w:val="1619582C"/>
    <w:rsid w:val="161B4433"/>
    <w:rsid w:val="161C1760"/>
    <w:rsid w:val="16214607"/>
    <w:rsid w:val="162437A1"/>
    <w:rsid w:val="16257E60"/>
    <w:rsid w:val="16263C7C"/>
    <w:rsid w:val="162D71E8"/>
    <w:rsid w:val="162E461F"/>
    <w:rsid w:val="163119CE"/>
    <w:rsid w:val="16324A4A"/>
    <w:rsid w:val="163836F0"/>
    <w:rsid w:val="16410673"/>
    <w:rsid w:val="16443A44"/>
    <w:rsid w:val="1645002A"/>
    <w:rsid w:val="16465EF9"/>
    <w:rsid w:val="164B6F7F"/>
    <w:rsid w:val="164C2CF7"/>
    <w:rsid w:val="16501384"/>
    <w:rsid w:val="16564724"/>
    <w:rsid w:val="165A18B8"/>
    <w:rsid w:val="165B4EA8"/>
    <w:rsid w:val="165D6D35"/>
    <w:rsid w:val="16600A22"/>
    <w:rsid w:val="1663076D"/>
    <w:rsid w:val="16651332"/>
    <w:rsid w:val="16661FBB"/>
    <w:rsid w:val="166B221D"/>
    <w:rsid w:val="166B5465"/>
    <w:rsid w:val="166B5873"/>
    <w:rsid w:val="166D15EC"/>
    <w:rsid w:val="16706804"/>
    <w:rsid w:val="16752C34"/>
    <w:rsid w:val="16765F7F"/>
    <w:rsid w:val="16775FC6"/>
    <w:rsid w:val="16797F90"/>
    <w:rsid w:val="167C0930"/>
    <w:rsid w:val="16817530"/>
    <w:rsid w:val="16830799"/>
    <w:rsid w:val="168B3820"/>
    <w:rsid w:val="16935F86"/>
    <w:rsid w:val="169408EA"/>
    <w:rsid w:val="169916F7"/>
    <w:rsid w:val="16A10D7E"/>
    <w:rsid w:val="16A31C0B"/>
    <w:rsid w:val="16A353F9"/>
    <w:rsid w:val="16A448E1"/>
    <w:rsid w:val="16A6065A"/>
    <w:rsid w:val="16A60D5F"/>
    <w:rsid w:val="16A638BE"/>
    <w:rsid w:val="16A94232"/>
    <w:rsid w:val="16AB2114"/>
    <w:rsid w:val="16B12199"/>
    <w:rsid w:val="16B56E58"/>
    <w:rsid w:val="16BB37A3"/>
    <w:rsid w:val="16BB6B10"/>
    <w:rsid w:val="16BE584F"/>
    <w:rsid w:val="16BF701F"/>
    <w:rsid w:val="16C0050D"/>
    <w:rsid w:val="16C75500"/>
    <w:rsid w:val="16C775FE"/>
    <w:rsid w:val="16CA2F40"/>
    <w:rsid w:val="16CC16CE"/>
    <w:rsid w:val="16CD49B3"/>
    <w:rsid w:val="16CF654F"/>
    <w:rsid w:val="16D30095"/>
    <w:rsid w:val="16D31A1B"/>
    <w:rsid w:val="16D60B11"/>
    <w:rsid w:val="16D87923"/>
    <w:rsid w:val="16DB1AC1"/>
    <w:rsid w:val="16DD47DB"/>
    <w:rsid w:val="16E060CA"/>
    <w:rsid w:val="16E10014"/>
    <w:rsid w:val="16E475A4"/>
    <w:rsid w:val="16E53451"/>
    <w:rsid w:val="16E60DF9"/>
    <w:rsid w:val="16E875C5"/>
    <w:rsid w:val="16F32E01"/>
    <w:rsid w:val="16FC64CC"/>
    <w:rsid w:val="16FD5BD9"/>
    <w:rsid w:val="16FE3FF2"/>
    <w:rsid w:val="17014F36"/>
    <w:rsid w:val="170535D2"/>
    <w:rsid w:val="170651A4"/>
    <w:rsid w:val="170949A7"/>
    <w:rsid w:val="170D2E54"/>
    <w:rsid w:val="17187A03"/>
    <w:rsid w:val="171B54BE"/>
    <w:rsid w:val="171F70DD"/>
    <w:rsid w:val="17207BFF"/>
    <w:rsid w:val="172150F6"/>
    <w:rsid w:val="172171F6"/>
    <w:rsid w:val="1722780F"/>
    <w:rsid w:val="17252038"/>
    <w:rsid w:val="172865B7"/>
    <w:rsid w:val="172872C1"/>
    <w:rsid w:val="172D42CE"/>
    <w:rsid w:val="172E1417"/>
    <w:rsid w:val="1737255D"/>
    <w:rsid w:val="173739A8"/>
    <w:rsid w:val="173C25DF"/>
    <w:rsid w:val="174145C8"/>
    <w:rsid w:val="17416484"/>
    <w:rsid w:val="17430688"/>
    <w:rsid w:val="17436A43"/>
    <w:rsid w:val="174411E0"/>
    <w:rsid w:val="17451C21"/>
    <w:rsid w:val="174672E5"/>
    <w:rsid w:val="174E7AEF"/>
    <w:rsid w:val="174F66DD"/>
    <w:rsid w:val="17504430"/>
    <w:rsid w:val="175317A1"/>
    <w:rsid w:val="17546308"/>
    <w:rsid w:val="175956CC"/>
    <w:rsid w:val="175A5403"/>
    <w:rsid w:val="175D1469"/>
    <w:rsid w:val="17616DA6"/>
    <w:rsid w:val="17691BB2"/>
    <w:rsid w:val="17696F5D"/>
    <w:rsid w:val="176A5E19"/>
    <w:rsid w:val="176A78D9"/>
    <w:rsid w:val="176B183A"/>
    <w:rsid w:val="176E70B3"/>
    <w:rsid w:val="176E70C4"/>
    <w:rsid w:val="17745F1B"/>
    <w:rsid w:val="17756461"/>
    <w:rsid w:val="177A4ECD"/>
    <w:rsid w:val="177B0E6C"/>
    <w:rsid w:val="177D4252"/>
    <w:rsid w:val="17835914"/>
    <w:rsid w:val="178677B1"/>
    <w:rsid w:val="178A3AD7"/>
    <w:rsid w:val="178B0A17"/>
    <w:rsid w:val="17906A6C"/>
    <w:rsid w:val="17913549"/>
    <w:rsid w:val="17935082"/>
    <w:rsid w:val="17940548"/>
    <w:rsid w:val="17975E0B"/>
    <w:rsid w:val="179A0052"/>
    <w:rsid w:val="179E1BF7"/>
    <w:rsid w:val="17A55F78"/>
    <w:rsid w:val="17A70B2D"/>
    <w:rsid w:val="17B7074A"/>
    <w:rsid w:val="17B906D9"/>
    <w:rsid w:val="17BB4F50"/>
    <w:rsid w:val="17BE2E86"/>
    <w:rsid w:val="17C0574B"/>
    <w:rsid w:val="17C32668"/>
    <w:rsid w:val="17C622CB"/>
    <w:rsid w:val="17C92852"/>
    <w:rsid w:val="17CC2342"/>
    <w:rsid w:val="17D00A3A"/>
    <w:rsid w:val="17D029EF"/>
    <w:rsid w:val="17D411F6"/>
    <w:rsid w:val="17D74F0C"/>
    <w:rsid w:val="17D867BC"/>
    <w:rsid w:val="17D86F39"/>
    <w:rsid w:val="17DC167A"/>
    <w:rsid w:val="17E07B9B"/>
    <w:rsid w:val="17E4389C"/>
    <w:rsid w:val="17E52F4F"/>
    <w:rsid w:val="17E67B60"/>
    <w:rsid w:val="17E72CD8"/>
    <w:rsid w:val="17E7572C"/>
    <w:rsid w:val="17E84BB2"/>
    <w:rsid w:val="17E87351"/>
    <w:rsid w:val="17ED3B41"/>
    <w:rsid w:val="17EF4FFC"/>
    <w:rsid w:val="17F951D5"/>
    <w:rsid w:val="17FB6783"/>
    <w:rsid w:val="17FE0021"/>
    <w:rsid w:val="18023FB5"/>
    <w:rsid w:val="180A4C18"/>
    <w:rsid w:val="180E4708"/>
    <w:rsid w:val="1810433F"/>
    <w:rsid w:val="18167B10"/>
    <w:rsid w:val="18181E8D"/>
    <w:rsid w:val="181C0CD1"/>
    <w:rsid w:val="181F06C4"/>
    <w:rsid w:val="181F63D4"/>
    <w:rsid w:val="1821268E"/>
    <w:rsid w:val="182B350C"/>
    <w:rsid w:val="182D31C3"/>
    <w:rsid w:val="182D4122"/>
    <w:rsid w:val="182E4630"/>
    <w:rsid w:val="182F3072"/>
    <w:rsid w:val="18334789"/>
    <w:rsid w:val="183471DC"/>
    <w:rsid w:val="18354663"/>
    <w:rsid w:val="18360C4F"/>
    <w:rsid w:val="18381DD3"/>
    <w:rsid w:val="18386A70"/>
    <w:rsid w:val="183B1275"/>
    <w:rsid w:val="184327DE"/>
    <w:rsid w:val="18475E6C"/>
    <w:rsid w:val="184A503E"/>
    <w:rsid w:val="18516BBD"/>
    <w:rsid w:val="18535ABC"/>
    <w:rsid w:val="185365BF"/>
    <w:rsid w:val="18557D7D"/>
    <w:rsid w:val="18583BD5"/>
    <w:rsid w:val="185D11EC"/>
    <w:rsid w:val="185D72AB"/>
    <w:rsid w:val="185F2DAF"/>
    <w:rsid w:val="186339A7"/>
    <w:rsid w:val="18647688"/>
    <w:rsid w:val="1869193F"/>
    <w:rsid w:val="186A059D"/>
    <w:rsid w:val="1871155F"/>
    <w:rsid w:val="18711565"/>
    <w:rsid w:val="187529D9"/>
    <w:rsid w:val="1876405C"/>
    <w:rsid w:val="18785BEF"/>
    <w:rsid w:val="187B63C2"/>
    <w:rsid w:val="187F73B4"/>
    <w:rsid w:val="1880461E"/>
    <w:rsid w:val="188B4AFF"/>
    <w:rsid w:val="188C7D85"/>
    <w:rsid w:val="188E7589"/>
    <w:rsid w:val="18975E70"/>
    <w:rsid w:val="18982224"/>
    <w:rsid w:val="189C1D14"/>
    <w:rsid w:val="18A24E51"/>
    <w:rsid w:val="18A3668F"/>
    <w:rsid w:val="18A9617F"/>
    <w:rsid w:val="18AB2B24"/>
    <w:rsid w:val="18AC4F64"/>
    <w:rsid w:val="18B142EE"/>
    <w:rsid w:val="18B32480"/>
    <w:rsid w:val="18B34A2A"/>
    <w:rsid w:val="18B352B0"/>
    <w:rsid w:val="18B4198B"/>
    <w:rsid w:val="18B52DD6"/>
    <w:rsid w:val="18B946A4"/>
    <w:rsid w:val="18BA01FF"/>
    <w:rsid w:val="18BE7650"/>
    <w:rsid w:val="18C179CD"/>
    <w:rsid w:val="18CB6A1D"/>
    <w:rsid w:val="18D857B1"/>
    <w:rsid w:val="18D94D16"/>
    <w:rsid w:val="18DF1EB1"/>
    <w:rsid w:val="18E64911"/>
    <w:rsid w:val="18E86D07"/>
    <w:rsid w:val="18F33E1D"/>
    <w:rsid w:val="18F356AC"/>
    <w:rsid w:val="18FB5146"/>
    <w:rsid w:val="18FC2175"/>
    <w:rsid w:val="19085771"/>
    <w:rsid w:val="190A6308"/>
    <w:rsid w:val="190B50EC"/>
    <w:rsid w:val="190F5795"/>
    <w:rsid w:val="19132319"/>
    <w:rsid w:val="19134827"/>
    <w:rsid w:val="19163C62"/>
    <w:rsid w:val="191C34A5"/>
    <w:rsid w:val="191D2C9B"/>
    <w:rsid w:val="19224845"/>
    <w:rsid w:val="19264E23"/>
    <w:rsid w:val="192A0255"/>
    <w:rsid w:val="192D1125"/>
    <w:rsid w:val="192F3FF0"/>
    <w:rsid w:val="19314B52"/>
    <w:rsid w:val="193337F3"/>
    <w:rsid w:val="19365277"/>
    <w:rsid w:val="19366C94"/>
    <w:rsid w:val="193B5442"/>
    <w:rsid w:val="193C52A5"/>
    <w:rsid w:val="19400CFB"/>
    <w:rsid w:val="194018CC"/>
    <w:rsid w:val="19452A7B"/>
    <w:rsid w:val="1946006F"/>
    <w:rsid w:val="194B373A"/>
    <w:rsid w:val="194B54E8"/>
    <w:rsid w:val="194B7296"/>
    <w:rsid w:val="194D237F"/>
    <w:rsid w:val="19503165"/>
    <w:rsid w:val="195357A7"/>
    <w:rsid w:val="19554B74"/>
    <w:rsid w:val="19574D48"/>
    <w:rsid w:val="19575C3B"/>
    <w:rsid w:val="195C3F25"/>
    <w:rsid w:val="19670574"/>
    <w:rsid w:val="1968609A"/>
    <w:rsid w:val="196A08CD"/>
    <w:rsid w:val="196A76A5"/>
    <w:rsid w:val="196C5B8A"/>
    <w:rsid w:val="196F4370"/>
    <w:rsid w:val="19786206"/>
    <w:rsid w:val="197B4380"/>
    <w:rsid w:val="197B608A"/>
    <w:rsid w:val="19814E9C"/>
    <w:rsid w:val="198454CC"/>
    <w:rsid w:val="198465F3"/>
    <w:rsid w:val="198509FA"/>
    <w:rsid w:val="198A4263"/>
    <w:rsid w:val="198E16B0"/>
    <w:rsid w:val="199649B5"/>
    <w:rsid w:val="19973CD8"/>
    <w:rsid w:val="19A3762F"/>
    <w:rsid w:val="19AD1CFF"/>
    <w:rsid w:val="19AE26F1"/>
    <w:rsid w:val="19AF6F72"/>
    <w:rsid w:val="19AF7825"/>
    <w:rsid w:val="19B3645C"/>
    <w:rsid w:val="19B6552F"/>
    <w:rsid w:val="19B80595"/>
    <w:rsid w:val="19BC350E"/>
    <w:rsid w:val="19BD0194"/>
    <w:rsid w:val="19BF795C"/>
    <w:rsid w:val="19C24C2F"/>
    <w:rsid w:val="19C916C4"/>
    <w:rsid w:val="19C95E24"/>
    <w:rsid w:val="19CC3B6E"/>
    <w:rsid w:val="19CD2D0C"/>
    <w:rsid w:val="19CE05F3"/>
    <w:rsid w:val="19CE1B53"/>
    <w:rsid w:val="19D46A04"/>
    <w:rsid w:val="19D754F4"/>
    <w:rsid w:val="19D8069E"/>
    <w:rsid w:val="19DF45AE"/>
    <w:rsid w:val="19E50FDE"/>
    <w:rsid w:val="19E6347B"/>
    <w:rsid w:val="19E877B3"/>
    <w:rsid w:val="19EF1920"/>
    <w:rsid w:val="19F416DC"/>
    <w:rsid w:val="19F45B80"/>
    <w:rsid w:val="19FA4C13"/>
    <w:rsid w:val="19FE1E73"/>
    <w:rsid w:val="19FE255B"/>
    <w:rsid w:val="19FE6418"/>
    <w:rsid w:val="1A006A76"/>
    <w:rsid w:val="1A026B5D"/>
    <w:rsid w:val="1A054EE9"/>
    <w:rsid w:val="1A057D8D"/>
    <w:rsid w:val="1A072B59"/>
    <w:rsid w:val="1A073B05"/>
    <w:rsid w:val="1A0A752D"/>
    <w:rsid w:val="1A0B3B5C"/>
    <w:rsid w:val="1A0B6F32"/>
    <w:rsid w:val="1A0C4BCD"/>
    <w:rsid w:val="1A0E6C42"/>
    <w:rsid w:val="1A1542BA"/>
    <w:rsid w:val="1A1600B2"/>
    <w:rsid w:val="1A18098A"/>
    <w:rsid w:val="1A181453"/>
    <w:rsid w:val="1A1B310D"/>
    <w:rsid w:val="1A1E64FF"/>
    <w:rsid w:val="1A1F0750"/>
    <w:rsid w:val="1A24438C"/>
    <w:rsid w:val="1A280A3F"/>
    <w:rsid w:val="1A2A15A2"/>
    <w:rsid w:val="1A2B0289"/>
    <w:rsid w:val="1A2B66B5"/>
    <w:rsid w:val="1A310B82"/>
    <w:rsid w:val="1A3348FA"/>
    <w:rsid w:val="1A340E83"/>
    <w:rsid w:val="1A3A31D3"/>
    <w:rsid w:val="1A3D355B"/>
    <w:rsid w:val="1A481AA8"/>
    <w:rsid w:val="1A4927E5"/>
    <w:rsid w:val="1A495ECC"/>
    <w:rsid w:val="1A576D9E"/>
    <w:rsid w:val="1A5865FF"/>
    <w:rsid w:val="1A5A29EE"/>
    <w:rsid w:val="1A5B207C"/>
    <w:rsid w:val="1A5E0A43"/>
    <w:rsid w:val="1A5F0B00"/>
    <w:rsid w:val="1A5F3D37"/>
    <w:rsid w:val="1A622AE9"/>
    <w:rsid w:val="1A634824"/>
    <w:rsid w:val="1A6434CC"/>
    <w:rsid w:val="1A676352"/>
    <w:rsid w:val="1A691988"/>
    <w:rsid w:val="1A6A545B"/>
    <w:rsid w:val="1A7025E8"/>
    <w:rsid w:val="1A74215F"/>
    <w:rsid w:val="1A7566F2"/>
    <w:rsid w:val="1A770CC8"/>
    <w:rsid w:val="1A77464F"/>
    <w:rsid w:val="1A7A1B33"/>
    <w:rsid w:val="1A7C2A49"/>
    <w:rsid w:val="1A7C6383"/>
    <w:rsid w:val="1A7E45B1"/>
    <w:rsid w:val="1A802E6C"/>
    <w:rsid w:val="1A8B192F"/>
    <w:rsid w:val="1A8B41C9"/>
    <w:rsid w:val="1A8C3553"/>
    <w:rsid w:val="1A911621"/>
    <w:rsid w:val="1A937FFB"/>
    <w:rsid w:val="1A977D36"/>
    <w:rsid w:val="1A9F708B"/>
    <w:rsid w:val="1AA05DF4"/>
    <w:rsid w:val="1AA43102"/>
    <w:rsid w:val="1AA779DA"/>
    <w:rsid w:val="1AA878A9"/>
    <w:rsid w:val="1AAA66D6"/>
    <w:rsid w:val="1AAD64AC"/>
    <w:rsid w:val="1AAE10EC"/>
    <w:rsid w:val="1AB07CF9"/>
    <w:rsid w:val="1AB64BE3"/>
    <w:rsid w:val="1AB772D9"/>
    <w:rsid w:val="1ABB087D"/>
    <w:rsid w:val="1ABB2456"/>
    <w:rsid w:val="1ABC6045"/>
    <w:rsid w:val="1AC62248"/>
    <w:rsid w:val="1AC6341C"/>
    <w:rsid w:val="1AC64FF5"/>
    <w:rsid w:val="1AC76DF0"/>
    <w:rsid w:val="1AC968F2"/>
    <w:rsid w:val="1ACA64E8"/>
    <w:rsid w:val="1ACA67C8"/>
    <w:rsid w:val="1ACB68E1"/>
    <w:rsid w:val="1AD04B9A"/>
    <w:rsid w:val="1AD24430"/>
    <w:rsid w:val="1AD30604"/>
    <w:rsid w:val="1AD41CB4"/>
    <w:rsid w:val="1AD83A65"/>
    <w:rsid w:val="1AD94039"/>
    <w:rsid w:val="1AD978A3"/>
    <w:rsid w:val="1ADF2787"/>
    <w:rsid w:val="1AE87D36"/>
    <w:rsid w:val="1AEE125C"/>
    <w:rsid w:val="1AEF59B8"/>
    <w:rsid w:val="1AF01459"/>
    <w:rsid w:val="1AF05E88"/>
    <w:rsid w:val="1AF2684C"/>
    <w:rsid w:val="1AF71062"/>
    <w:rsid w:val="1AF90D4D"/>
    <w:rsid w:val="1AFC510C"/>
    <w:rsid w:val="1B0C120E"/>
    <w:rsid w:val="1B0D4108"/>
    <w:rsid w:val="1B0E67CD"/>
    <w:rsid w:val="1B0F0EC3"/>
    <w:rsid w:val="1B0F4711"/>
    <w:rsid w:val="1B12628B"/>
    <w:rsid w:val="1B130D13"/>
    <w:rsid w:val="1B1970BA"/>
    <w:rsid w:val="1B1B7066"/>
    <w:rsid w:val="1B1B7BF4"/>
    <w:rsid w:val="1B245FF1"/>
    <w:rsid w:val="1B2A45A7"/>
    <w:rsid w:val="1B32070E"/>
    <w:rsid w:val="1B335FB7"/>
    <w:rsid w:val="1B374424"/>
    <w:rsid w:val="1B3A3A66"/>
    <w:rsid w:val="1B477BFC"/>
    <w:rsid w:val="1B486183"/>
    <w:rsid w:val="1B4F0C9B"/>
    <w:rsid w:val="1B502A2B"/>
    <w:rsid w:val="1B532247"/>
    <w:rsid w:val="1B5B45DC"/>
    <w:rsid w:val="1B5B5FDA"/>
    <w:rsid w:val="1B5C578B"/>
    <w:rsid w:val="1B651694"/>
    <w:rsid w:val="1B6C0367"/>
    <w:rsid w:val="1B6C66D9"/>
    <w:rsid w:val="1B7371D9"/>
    <w:rsid w:val="1B7406C7"/>
    <w:rsid w:val="1B770817"/>
    <w:rsid w:val="1B784C7F"/>
    <w:rsid w:val="1B79458F"/>
    <w:rsid w:val="1B7E3953"/>
    <w:rsid w:val="1B7E67C6"/>
    <w:rsid w:val="1B7F280B"/>
    <w:rsid w:val="1B8134CC"/>
    <w:rsid w:val="1B830F69"/>
    <w:rsid w:val="1B836421"/>
    <w:rsid w:val="1B85484D"/>
    <w:rsid w:val="1B857136"/>
    <w:rsid w:val="1B8D003A"/>
    <w:rsid w:val="1B913FEF"/>
    <w:rsid w:val="1B957BB4"/>
    <w:rsid w:val="1B971BA9"/>
    <w:rsid w:val="1B9F099B"/>
    <w:rsid w:val="1BA517A1"/>
    <w:rsid w:val="1BB074A7"/>
    <w:rsid w:val="1BB146D3"/>
    <w:rsid w:val="1BB6133F"/>
    <w:rsid w:val="1BB66F61"/>
    <w:rsid w:val="1BB959AA"/>
    <w:rsid w:val="1BC30FDD"/>
    <w:rsid w:val="1BC31CAE"/>
    <w:rsid w:val="1BC6633A"/>
    <w:rsid w:val="1BC70323"/>
    <w:rsid w:val="1BC90051"/>
    <w:rsid w:val="1BC97C41"/>
    <w:rsid w:val="1BCA7EDE"/>
    <w:rsid w:val="1BCB4DCC"/>
    <w:rsid w:val="1BCD0E63"/>
    <w:rsid w:val="1BCD48DA"/>
    <w:rsid w:val="1BCD6688"/>
    <w:rsid w:val="1BCD7E6B"/>
    <w:rsid w:val="1BD118B1"/>
    <w:rsid w:val="1BD12E87"/>
    <w:rsid w:val="1BD72B13"/>
    <w:rsid w:val="1BD87507"/>
    <w:rsid w:val="1BDC279E"/>
    <w:rsid w:val="1BDD2D6F"/>
    <w:rsid w:val="1BDE0675"/>
    <w:rsid w:val="1BE340FE"/>
    <w:rsid w:val="1BE614F8"/>
    <w:rsid w:val="1BEB7A9D"/>
    <w:rsid w:val="1BF234F2"/>
    <w:rsid w:val="1BF67FDC"/>
    <w:rsid w:val="1BFA5749"/>
    <w:rsid w:val="1BFF55A7"/>
    <w:rsid w:val="1C025112"/>
    <w:rsid w:val="1C0565D6"/>
    <w:rsid w:val="1C090E9C"/>
    <w:rsid w:val="1C0E117B"/>
    <w:rsid w:val="1C0E6482"/>
    <w:rsid w:val="1C12168A"/>
    <w:rsid w:val="1C142FD3"/>
    <w:rsid w:val="1C161DDD"/>
    <w:rsid w:val="1C1823F4"/>
    <w:rsid w:val="1C1D26ED"/>
    <w:rsid w:val="1C1F5987"/>
    <w:rsid w:val="1C2136E1"/>
    <w:rsid w:val="1C241C3D"/>
    <w:rsid w:val="1C26048F"/>
    <w:rsid w:val="1C267F4F"/>
    <w:rsid w:val="1C2B4641"/>
    <w:rsid w:val="1C3861F8"/>
    <w:rsid w:val="1C456157"/>
    <w:rsid w:val="1C4723EA"/>
    <w:rsid w:val="1C490921"/>
    <w:rsid w:val="1C49257F"/>
    <w:rsid w:val="1C4A7CD9"/>
    <w:rsid w:val="1C501F09"/>
    <w:rsid w:val="1C516588"/>
    <w:rsid w:val="1C522447"/>
    <w:rsid w:val="1C56667E"/>
    <w:rsid w:val="1C597F1C"/>
    <w:rsid w:val="1C6012AB"/>
    <w:rsid w:val="1C64435B"/>
    <w:rsid w:val="1C6D5805"/>
    <w:rsid w:val="1C760ACE"/>
    <w:rsid w:val="1C76752A"/>
    <w:rsid w:val="1C787886"/>
    <w:rsid w:val="1C7C7A64"/>
    <w:rsid w:val="1C80194D"/>
    <w:rsid w:val="1C842F55"/>
    <w:rsid w:val="1C864F11"/>
    <w:rsid w:val="1C8B140C"/>
    <w:rsid w:val="1C8B7161"/>
    <w:rsid w:val="1C8C20A0"/>
    <w:rsid w:val="1C8D11AB"/>
    <w:rsid w:val="1C8E4206"/>
    <w:rsid w:val="1C8F78EF"/>
    <w:rsid w:val="1C90290D"/>
    <w:rsid w:val="1C964CCC"/>
    <w:rsid w:val="1C99656B"/>
    <w:rsid w:val="1C9C4DED"/>
    <w:rsid w:val="1C9C6787"/>
    <w:rsid w:val="1CA35D6A"/>
    <w:rsid w:val="1CA4563B"/>
    <w:rsid w:val="1CA949C8"/>
    <w:rsid w:val="1CAA0778"/>
    <w:rsid w:val="1CB32B6D"/>
    <w:rsid w:val="1CB33AD0"/>
    <w:rsid w:val="1CB7108C"/>
    <w:rsid w:val="1CB91DEC"/>
    <w:rsid w:val="1CC30290"/>
    <w:rsid w:val="1CC46A38"/>
    <w:rsid w:val="1CC7757C"/>
    <w:rsid w:val="1CC85FEF"/>
    <w:rsid w:val="1CD36D62"/>
    <w:rsid w:val="1CD6176F"/>
    <w:rsid w:val="1CD75A11"/>
    <w:rsid w:val="1CDF1CDF"/>
    <w:rsid w:val="1CDF2D5E"/>
    <w:rsid w:val="1CDF2E64"/>
    <w:rsid w:val="1CDF6673"/>
    <w:rsid w:val="1CE622C0"/>
    <w:rsid w:val="1CE75623"/>
    <w:rsid w:val="1CF24C02"/>
    <w:rsid w:val="1CF67955"/>
    <w:rsid w:val="1D005D35"/>
    <w:rsid w:val="1D01031E"/>
    <w:rsid w:val="1D061E52"/>
    <w:rsid w:val="1D076AC5"/>
    <w:rsid w:val="1D0F29C1"/>
    <w:rsid w:val="1D1207F7"/>
    <w:rsid w:val="1D145F06"/>
    <w:rsid w:val="1D154BE0"/>
    <w:rsid w:val="1D1722B1"/>
    <w:rsid w:val="1D222A36"/>
    <w:rsid w:val="1D2247B2"/>
    <w:rsid w:val="1D231983"/>
    <w:rsid w:val="1D2642A2"/>
    <w:rsid w:val="1D286EE6"/>
    <w:rsid w:val="1D310521"/>
    <w:rsid w:val="1D350989"/>
    <w:rsid w:val="1D383FD6"/>
    <w:rsid w:val="1D3B4E59"/>
    <w:rsid w:val="1D3C1A50"/>
    <w:rsid w:val="1D4170C5"/>
    <w:rsid w:val="1D4218D7"/>
    <w:rsid w:val="1D49533D"/>
    <w:rsid w:val="1D4D5CD3"/>
    <w:rsid w:val="1D4E6761"/>
    <w:rsid w:val="1D591F60"/>
    <w:rsid w:val="1D5B1F3A"/>
    <w:rsid w:val="1D5D3DD1"/>
    <w:rsid w:val="1D5E1BB3"/>
    <w:rsid w:val="1D5F2AD3"/>
    <w:rsid w:val="1D666D95"/>
    <w:rsid w:val="1D691539"/>
    <w:rsid w:val="1D6E7783"/>
    <w:rsid w:val="1D7276BB"/>
    <w:rsid w:val="1D73025B"/>
    <w:rsid w:val="1D7355AB"/>
    <w:rsid w:val="1D752B34"/>
    <w:rsid w:val="1D77278A"/>
    <w:rsid w:val="1D776411"/>
    <w:rsid w:val="1D792DEC"/>
    <w:rsid w:val="1D8C0AFA"/>
    <w:rsid w:val="1D8E3BF5"/>
    <w:rsid w:val="1D972B4A"/>
    <w:rsid w:val="1D983F49"/>
    <w:rsid w:val="1DA51673"/>
    <w:rsid w:val="1DAA4B96"/>
    <w:rsid w:val="1DAB5340"/>
    <w:rsid w:val="1DB16262"/>
    <w:rsid w:val="1DB45D52"/>
    <w:rsid w:val="1DB55626"/>
    <w:rsid w:val="1DB573D4"/>
    <w:rsid w:val="1DB65578"/>
    <w:rsid w:val="1DBA25A3"/>
    <w:rsid w:val="1DBC0763"/>
    <w:rsid w:val="1DC046F7"/>
    <w:rsid w:val="1DC1221D"/>
    <w:rsid w:val="1DC33AA2"/>
    <w:rsid w:val="1DCF66E8"/>
    <w:rsid w:val="1DD261D8"/>
    <w:rsid w:val="1DDA4CBB"/>
    <w:rsid w:val="1DE04776"/>
    <w:rsid w:val="1DE318BC"/>
    <w:rsid w:val="1DE63A32"/>
    <w:rsid w:val="1DEA52D0"/>
    <w:rsid w:val="1DED217A"/>
    <w:rsid w:val="1DF120A7"/>
    <w:rsid w:val="1DF4689F"/>
    <w:rsid w:val="1DF816DA"/>
    <w:rsid w:val="1DFE6525"/>
    <w:rsid w:val="1DFF09B2"/>
    <w:rsid w:val="1DFF1E79"/>
    <w:rsid w:val="1DFF55C2"/>
    <w:rsid w:val="1E0233E2"/>
    <w:rsid w:val="1E025CEA"/>
    <w:rsid w:val="1E034679"/>
    <w:rsid w:val="1E0565AE"/>
    <w:rsid w:val="1E085B88"/>
    <w:rsid w:val="1E107DB8"/>
    <w:rsid w:val="1E11423B"/>
    <w:rsid w:val="1E196591"/>
    <w:rsid w:val="1E1E012C"/>
    <w:rsid w:val="1E1F5BAF"/>
    <w:rsid w:val="1E2178BB"/>
    <w:rsid w:val="1E2707B8"/>
    <w:rsid w:val="1E2A6E8A"/>
    <w:rsid w:val="1E304FEA"/>
    <w:rsid w:val="1E311151"/>
    <w:rsid w:val="1E334401"/>
    <w:rsid w:val="1E3625F6"/>
    <w:rsid w:val="1E366767"/>
    <w:rsid w:val="1E39113C"/>
    <w:rsid w:val="1E3B7ACD"/>
    <w:rsid w:val="1E430E84"/>
    <w:rsid w:val="1E4C46B6"/>
    <w:rsid w:val="1E4E592A"/>
    <w:rsid w:val="1E4F7829"/>
    <w:rsid w:val="1E59021D"/>
    <w:rsid w:val="1E5B02F0"/>
    <w:rsid w:val="1E5B387D"/>
    <w:rsid w:val="1E5C7B4E"/>
    <w:rsid w:val="1E5D6AF5"/>
    <w:rsid w:val="1E604D89"/>
    <w:rsid w:val="1E6257AE"/>
    <w:rsid w:val="1E632413"/>
    <w:rsid w:val="1E643D47"/>
    <w:rsid w:val="1E65221B"/>
    <w:rsid w:val="1E691F90"/>
    <w:rsid w:val="1E6C4753"/>
    <w:rsid w:val="1E6E4153"/>
    <w:rsid w:val="1E6E6048"/>
    <w:rsid w:val="1E7070EB"/>
    <w:rsid w:val="1E71153B"/>
    <w:rsid w:val="1E717517"/>
    <w:rsid w:val="1E741642"/>
    <w:rsid w:val="1E753ADA"/>
    <w:rsid w:val="1E7644ED"/>
    <w:rsid w:val="1E7828DC"/>
    <w:rsid w:val="1E7D0307"/>
    <w:rsid w:val="1E7D6144"/>
    <w:rsid w:val="1E7E7DEE"/>
    <w:rsid w:val="1E806861"/>
    <w:rsid w:val="1E8517EF"/>
    <w:rsid w:val="1E885E5D"/>
    <w:rsid w:val="1E960FB4"/>
    <w:rsid w:val="1E9620D3"/>
    <w:rsid w:val="1E990AA4"/>
    <w:rsid w:val="1E9A536D"/>
    <w:rsid w:val="1EAB0F03"/>
    <w:rsid w:val="1EAB78FF"/>
    <w:rsid w:val="1EAE454F"/>
    <w:rsid w:val="1EB06519"/>
    <w:rsid w:val="1EB1193F"/>
    <w:rsid w:val="1EB15DEE"/>
    <w:rsid w:val="1EB35599"/>
    <w:rsid w:val="1EB36627"/>
    <w:rsid w:val="1EBA3314"/>
    <w:rsid w:val="1EC01F32"/>
    <w:rsid w:val="1EC45AD1"/>
    <w:rsid w:val="1EC56A8E"/>
    <w:rsid w:val="1EC746CA"/>
    <w:rsid w:val="1EC8219B"/>
    <w:rsid w:val="1EC94019"/>
    <w:rsid w:val="1ECD76E6"/>
    <w:rsid w:val="1ED0096A"/>
    <w:rsid w:val="1ED44572"/>
    <w:rsid w:val="1ED50D55"/>
    <w:rsid w:val="1EDD751C"/>
    <w:rsid w:val="1EE00481"/>
    <w:rsid w:val="1EE1643D"/>
    <w:rsid w:val="1EE23B1C"/>
    <w:rsid w:val="1EE40F81"/>
    <w:rsid w:val="1EE53034"/>
    <w:rsid w:val="1EEA3A5F"/>
    <w:rsid w:val="1EEF7422"/>
    <w:rsid w:val="1EF336B4"/>
    <w:rsid w:val="1EFD123D"/>
    <w:rsid w:val="1EFD54D7"/>
    <w:rsid w:val="1EFE55C8"/>
    <w:rsid w:val="1F040AF8"/>
    <w:rsid w:val="1F074B01"/>
    <w:rsid w:val="1F0B11D3"/>
    <w:rsid w:val="1F0D396C"/>
    <w:rsid w:val="1F1574B5"/>
    <w:rsid w:val="1F1A1F65"/>
    <w:rsid w:val="1F1D7927"/>
    <w:rsid w:val="1F1D7F1A"/>
    <w:rsid w:val="1F1F1FCB"/>
    <w:rsid w:val="1F1F207D"/>
    <w:rsid w:val="1F2765CD"/>
    <w:rsid w:val="1F283944"/>
    <w:rsid w:val="1F2B2044"/>
    <w:rsid w:val="1F2B5BA0"/>
    <w:rsid w:val="1F2D2773"/>
    <w:rsid w:val="1F2F552D"/>
    <w:rsid w:val="1F303956"/>
    <w:rsid w:val="1F3231B4"/>
    <w:rsid w:val="1F3800ED"/>
    <w:rsid w:val="1F39725E"/>
    <w:rsid w:val="1F3A1E60"/>
    <w:rsid w:val="1F3A4472"/>
    <w:rsid w:val="1F3E3810"/>
    <w:rsid w:val="1F4201E6"/>
    <w:rsid w:val="1F42345E"/>
    <w:rsid w:val="1F446C62"/>
    <w:rsid w:val="1F4A2B88"/>
    <w:rsid w:val="1F4B7FF0"/>
    <w:rsid w:val="1F537636"/>
    <w:rsid w:val="1F542020"/>
    <w:rsid w:val="1F60485C"/>
    <w:rsid w:val="1F607B77"/>
    <w:rsid w:val="1F682A39"/>
    <w:rsid w:val="1F693042"/>
    <w:rsid w:val="1F6B3F39"/>
    <w:rsid w:val="1F6B41EE"/>
    <w:rsid w:val="1F6B4525"/>
    <w:rsid w:val="1F6E455B"/>
    <w:rsid w:val="1F6E6F9B"/>
    <w:rsid w:val="1F725AC9"/>
    <w:rsid w:val="1F7322DF"/>
    <w:rsid w:val="1F751935"/>
    <w:rsid w:val="1F7B1866"/>
    <w:rsid w:val="1F7E03C6"/>
    <w:rsid w:val="1F812900"/>
    <w:rsid w:val="1F896D6A"/>
    <w:rsid w:val="1F907953"/>
    <w:rsid w:val="1F912FCF"/>
    <w:rsid w:val="1F950C66"/>
    <w:rsid w:val="1F973235"/>
    <w:rsid w:val="1F9761A4"/>
    <w:rsid w:val="1F99613A"/>
    <w:rsid w:val="1F9B1ABB"/>
    <w:rsid w:val="1F9C6DF7"/>
    <w:rsid w:val="1F9F06F0"/>
    <w:rsid w:val="1FA30A6C"/>
    <w:rsid w:val="1FA32C58"/>
    <w:rsid w:val="1FA53BA4"/>
    <w:rsid w:val="1FA55C42"/>
    <w:rsid w:val="1FAB59E6"/>
    <w:rsid w:val="1FAC13D1"/>
    <w:rsid w:val="1FAC4405"/>
    <w:rsid w:val="1FB017D6"/>
    <w:rsid w:val="1FB042F7"/>
    <w:rsid w:val="1FB56B13"/>
    <w:rsid w:val="1FBA777E"/>
    <w:rsid w:val="1FBF080A"/>
    <w:rsid w:val="1FBF58BF"/>
    <w:rsid w:val="1FC1184A"/>
    <w:rsid w:val="1FCE3DAE"/>
    <w:rsid w:val="1FD55B10"/>
    <w:rsid w:val="1FD71884"/>
    <w:rsid w:val="1FDB75C6"/>
    <w:rsid w:val="1FDE4EC2"/>
    <w:rsid w:val="1FE13081"/>
    <w:rsid w:val="1FE3606E"/>
    <w:rsid w:val="1FE521F3"/>
    <w:rsid w:val="1FE62394"/>
    <w:rsid w:val="1FE637D7"/>
    <w:rsid w:val="1FEF682C"/>
    <w:rsid w:val="1FF95C9E"/>
    <w:rsid w:val="1FFB37C4"/>
    <w:rsid w:val="1FFD24A2"/>
    <w:rsid w:val="1FFD2DED"/>
    <w:rsid w:val="1FFF0860"/>
    <w:rsid w:val="1FFF6CC7"/>
    <w:rsid w:val="200F7724"/>
    <w:rsid w:val="20100AD2"/>
    <w:rsid w:val="20126D60"/>
    <w:rsid w:val="201601C3"/>
    <w:rsid w:val="20175624"/>
    <w:rsid w:val="20204AEE"/>
    <w:rsid w:val="202A5E57"/>
    <w:rsid w:val="202B6D90"/>
    <w:rsid w:val="202C6073"/>
    <w:rsid w:val="202C7E22"/>
    <w:rsid w:val="20313FB9"/>
    <w:rsid w:val="203B0007"/>
    <w:rsid w:val="203C353D"/>
    <w:rsid w:val="203C39A2"/>
    <w:rsid w:val="203D6CD3"/>
    <w:rsid w:val="204038CD"/>
    <w:rsid w:val="20407A64"/>
    <w:rsid w:val="20443CB9"/>
    <w:rsid w:val="20457D0E"/>
    <w:rsid w:val="20461A3D"/>
    <w:rsid w:val="20586E69"/>
    <w:rsid w:val="205D0C5E"/>
    <w:rsid w:val="205E1FA5"/>
    <w:rsid w:val="205E737F"/>
    <w:rsid w:val="206226A6"/>
    <w:rsid w:val="20631369"/>
    <w:rsid w:val="206A0C3C"/>
    <w:rsid w:val="206B3A09"/>
    <w:rsid w:val="206B67EA"/>
    <w:rsid w:val="206C37F8"/>
    <w:rsid w:val="206D1261"/>
    <w:rsid w:val="206E4411"/>
    <w:rsid w:val="20735A50"/>
    <w:rsid w:val="207545DC"/>
    <w:rsid w:val="207672EF"/>
    <w:rsid w:val="207812B9"/>
    <w:rsid w:val="20782A0A"/>
    <w:rsid w:val="207B7041"/>
    <w:rsid w:val="207E4939"/>
    <w:rsid w:val="2089132B"/>
    <w:rsid w:val="20891E70"/>
    <w:rsid w:val="208B10F5"/>
    <w:rsid w:val="208C5671"/>
    <w:rsid w:val="208C71D9"/>
    <w:rsid w:val="208E661F"/>
    <w:rsid w:val="20916ECC"/>
    <w:rsid w:val="20940384"/>
    <w:rsid w:val="20987637"/>
    <w:rsid w:val="20A025BE"/>
    <w:rsid w:val="20A13523"/>
    <w:rsid w:val="20A22EDD"/>
    <w:rsid w:val="20B20C21"/>
    <w:rsid w:val="20BD5190"/>
    <w:rsid w:val="20C24078"/>
    <w:rsid w:val="20C279F7"/>
    <w:rsid w:val="20C472B3"/>
    <w:rsid w:val="20C72F89"/>
    <w:rsid w:val="20C83C2D"/>
    <w:rsid w:val="20CD5855"/>
    <w:rsid w:val="20D060D0"/>
    <w:rsid w:val="20D8591C"/>
    <w:rsid w:val="20D901F2"/>
    <w:rsid w:val="20DE4594"/>
    <w:rsid w:val="20E05F03"/>
    <w:rsid w:val="20E424AA"/>
    <w:rsid w:val="20E45C5F"/>
    <w:rsid w:val="20E53DA9"/>
    <w:rsid w:val="20E837A7"/>
    <w:rsid w:val="20EA712D"/>
    <w:rsid w:val="20EC5803"/>
    <w:rsid w:val="20EF2BFD"/>
    <w:rsid w:val="20F13631"/>
    <w:rsid w:val="20F63F8C"/>
    <w:rsid w:val="20FC3928"/>
    <w:rsid w:val="20FE314A"/>
    <w:rsid w:val="20FE5F79"/>
    <w:rsid w:val="21056D13"/>
    <w:rsid w:val="21090163"/>
    <w:rsid w:val="210A2DBD"/>
    <w:rsid w:val="210D3B2A"/>
    <w:rsid w:val="21135A90"/>
    <w:rsid w:val="211B1C44"/>
    <w:rsid w:val="21254B09"/>
    <w:rsid w:val="2129610F"/>
    <w:rsid w:val="212A48F8"/>
    <w:rsid w:val="212C3E51"/>
    <w:rsid w:val="2130262B"/>
    <w:rsid w:val="21356A28"/>
    <w:rsid w:val="21373301"/>
    <w:rsid w:val="213845A4"/>
    <w:rsid w:val="213E6C0A"/>
    <w:rsid w:val="21424995"/>
    <w:rsid w:val="2145715A"/>
    <w:rsid w:val="21463165"/>
    <w:rsid w:val="214844C3"/>
    <w:rsid w:val="21485471"/>
    <w:rsid w:val="2149055F"/>
    <w:rsid w:val="214C004F"/>
    <w:rsid w:val="214D6000"/>
    <w:rsid w:val="21534886"/>
    <w:rsid w:val="215533C5"/>
    <w:rsid w:val="21584C46"/>
    <w:rsid w:val="21584EA5"/>
    <w:rsid w:val="215A6C10"/>
    <w:rsid w:val="215B3668"/>
    <w:rsid w:val="215D6BC3"/>
    <w:rsid w:val="216643CD"/>
    <w:rsid w:val="216929AF"/>
    <w:rsid w:val="216A7931"/>
    <w:rsid w:val="216F189E"/>
    <w:rsid w:val="21731DAF"/>
    <w:rsid w:val="217B4021"/>
    <w:rsid w:val="217C0935"/>
    <w:rsid w:val="217E7E91"/>
    <w:rsid w:val="2181722A"/>
    <w:rsid w:val="218840B4"/>
    <w:rsid w:val="21892999"/>
    <w:rsid w:val="218B7D40"/>
    <w:rsid w:val="21921F06"/>
    <w:rsid w:val="21942239"/>
    <w:rsid w:val="219537A4"/>
    <w:rsid w:val="219C0FD7"/>
    <w:rsid w:val="219C1AAE"/>
    <w:rsid w:val="219F60FF"/>
    <w:rsid w:val="21A5276F"/>
    <w:rsid w:val="21AA16B2"/>
    <w:rsid w:val="21AA36F4"/>
    <w:rsid w:val="21AA757E"/>
    <w:rsid w:val="21AE2AB8"/>
    <w:rsid w:val="21AF2F84"/>
    <w:rsid w:val="21B10E52"/>
    <w:rsid w:val="21B5128A"/>
    <w:rsid w:val="21B75E11"/>
    <w:rsid w:val="21B87493"/>
    <w:rsid w:val="21B96164"/>
    <w:rsid w:val="21BA09D2"/>
    <w:rsid w:val="21BA49F9"/>
    <w:rsid w:val="21BC6F8D"/>
    <w:rsid w:val="21BF6CED"/>
    <w:rsid w:val="21C476DA"/>
    <w:rsid w:val="21C84E54"/>
    <w:rsid w:val="21C87E9E"/>
    <w:rsid w:val="21CA332D"/>
    <w:rsid w:val="21D27AC7"/>
    <w:rsid w:val="21DE7835"/>
    <w:rsid w:val="21E15CD5"/>
    <w:rsid w:val="21E32762"/>
    <w:rsid w:val="21E36B90"/>
    <w:rsid w:val="21E52B87"/>
    <w:rsid w:val="21E825AB"/>
    <w:rsid w:val="21EC0618"/>
    <w:rsid w:val="21EC6D8D"/>
    <w:rsid w:val="21F47827"/>
    <w:rsid w:val="21F50E74"/>
    <w:rsid w:val="21F91DA9"/>
    <w:rsid w:val="21F94701"/>
    <w:rsid w:val="21FD508D"/>
    <w:rsid w:val="22015FEE"/>
    <w:rsid w:val="220B0C83"/>
    <w:rsid w:val="220B1445"/>
    <w:rsid w:val="220C5FFD"/>
    <w:rsid w:val="2212747B"/>
    <w:rsid w:val="221325B4"/>
    <w:rsid w:val="22146DBF"/>
    <w:rsid w:val="2217035E"/>
    <w:rsid w:val="2217240B"/>
    <w:rsid w:val="22173086"/>
    <w:rsid w:val="221845EB"/>
    <w:rsid w:val="221A55CD"/>
    <w:rsid w:val="221B014E"/>
    <w:rsid w:val="221C1CA2"/>
    <w:rsid w:val="2221772E"/>
    <w:rsid w:val="22265FD3"/>
    <w:rsid w:val="222A0391"/>
    <w:rsid w:val="222F49F4"/>
    <w:rsid w:val="223074AA"/>
    <w:rsid w:val="223424C0"/>
    <w:rsid w:val="2234754D"/>
    <w:rsid w:val="22352FE1"/>
    <w:rsid w:val="223C4603"/>
    <w:rsid w:val="22400CF8"/>
    <w:rsid w:val="22402331"/>
    <w:rsid w:val="2242103D"/>
    <w:rsid w:val="22451F67"/>
    <w:rsid w:val="22470C4C"/>
    <w:rsid w:val="22471527"/>
    <w:rsid w:val="22497ED2"/>
    <w:rsid w:val="224A27FE"/>
    <w:rsid w:val="22575747"/>
    <w:rsid w:val="226014A0"/>
    <w:rsid w:val="226028CF"/>
    <w:rsid w:val="22626B9C"/>
    <w:rsid w:val="226412CC"/>
    <w:rsid w:val="22646887"/>
    <w:rsid w:val="226715E5"/>
    <w:rsid w:val="226A0E31"/>
    <w:rsid w:val="226A4C31"/>
    <w:rsid w:val="226F6884"/>
    <w:rsid w:val="227D186C"/>
    <w:rsid w:val="227E7390"/>
    <w:rsid w:val="227F5862"/>
    <w:rsid w:val="227F659C"/>
    <w:rsid w:val="22802924"/>
    <w:rsid w:val="22832BF1"/>
    <w:rsid w:val="22835CF3"/>
    <w:rsid w:val="2283710F"/>
    <w:rsid w:val="228527E4"/>
    <w:rsid w:val="228A687E"/>
    <w:rsid w:val="228C53A7"/>
    <w:rsid w:val="228D4C74"/>
    <w:rsid w:val="228F226B"/>
    <w:rsid w:val="22986781"/>
    <w:rsid w:val="229960A8"/>
    <w:rsid w:val="22A55C69"/>
    <w:rsid w:val="22A923B4"/>
    <w:rsid w:val="22AA7987"/>
    <w:rsid w:val="22B13DEE"/>
    <w:rsid w:val="22B1460E"/>
    <w:rsid w:val="22B673C3"/>
    <w:rsid w:val="22B83BEE"/>
    <w:rsid w:val="22BA03DD"/>
    <w:rsid w:val="22BA53D6"/>
    <w:rsid w:val="22BE777D"/>
    <w:rsid w:val="22BF67CA"/>
    <w:rsid w:val="22C34E6C"/>
    <w:rsid w:val="22C431AE"/>
    <w:rsid w:val="22C53012"/>
    <w:rsid w:val="22D24584"/>
    <w:rsid w:val="22D658DC"/>
    <w:rsid w:val="22DA1DB7"/>
    <w:rsid w:val="22DC5D3F"/>
    <w:rsid w:val="22DE29C3"/>
    <w:rsid w:val="22DF1C79"/>
    <w:rsid w:val="22E53BBB"/>
    <w:rsid w:val="22E55F04"/>
    <w:rsid w:val="22E569AE"/>
    <w:rsid w:val="22E72EA8"/>
    <w:rsid w:val="22E73A08"/>
    <w:rsid w:val="22E9024C"/>
    <w:rsid w:val="22E90B62"/>
    <w:rsid w:val="22E92090"/>
    <w:rsid w:val="22EF4F37"/>
    <w:rsid w:val="22F27C5C"/>
    <w:rsid w:val="22F4099F"/>
    <w:rsid w:val="22F91100"/>
    <w:rsid w:val="22F97F47"/>
    <w:rsid w:val="23063CAF"/>
    <w:rsid w:val="230B1691"/>
    <w:rsid w:val="230C641C"/>
    <w:rsid w:val="230D2C3F"/>
    <w:rsid w:val="230D5982"/>
    <w:rsid w:val="23117B65"/>
    <w:rsid w:val="23121B4A"/>
    <w:rsid w:val="23135E84"/>
    <w:rsid w:val="23155FDF"/>
    <w:rsid w:val="231828DF"/>
    <w:rsid w:val="231D7EF5"/>
    <w:rsid w:val="232079E6"/>
    <w:rsid w:val="2322550C"/>
    <w:rsid w:val="23272B22"/>
    <w:rsid w:val="232F19D7"/>
    <w:rsid w:val="23312EAF"/>
    <w:rsid w:val="23325965"/>
    <w:rsid w:val="2335523F"/>
    <w:rsid w:val="233804A4"/>
    <w:rsid w:val="23396C08"/>
    <w:rsid w:val="233A4B0D"/>
    <w:rsid w:val="234102CD"/>
    <w:rsid w:val="2346744C"/>
    <w:rsid w:val="23474F72"/>
    <w:rsid w:val="234C15D1"/>
    <w:rsid w:val="23566F63"/>
    <w:rsid w:val="23575BDF"/>
    <w:rsid w:val="2359066C"/>
    <w:rsid w:val="235D0BD9"/>
    <w:rsid w:val="235E5A2E"/>
    <w:rsid w:val="23614286"/>
    <w:rsid w:val="23616034"/>
    <w:rsid w:val="2366189C"/>
    <w:rsid w:val="23662640"/>
    <w:rsid w:val="236B2A0F"/>
    <w:rsid w:val="236B5402"/>
    <w:rsid w:val="237065DA"/>
    <w:rsid w:val="23711416"/>
    <w:rsid w:val="238216FA"/>
    <w:rsid w:val="238307B1"/>
    <w:rsid w:val="238B3D62"/>
    <w:rsid w:val="238B640D"/>
    <w:rsid w:val="238C4775"/>
    <w:rsid w:val="23921B8E"/>
    <w:rsid w:val="23983A20"/>
    <w:rsid w:val="239D2DE4"/>
    <w:rsid w:val="23A17298"/>
    <w:rsid w:val="23A45F21"/>
    <w:rsid w:val="23A63066"/>
    <w:rsid w:val="23A71122"/>
    <w:rsid w:val="23A75EE1"/>
    <w:rsid w:val="23A777BF"/>
    <w:rsid w:val="23B02B18"/>
    <w:rsid w:val="23B26890"/>
    <w:rsid w:val="23B42FDE"/>
    <w:rsid w:val="23B82884"/>
    <w:rsid w:val="23BB4A50"/>
    <w:rsid w:val="23C06FEB"/>
    <w:rsid w:val="23C10881"/>
    <w:rsid w:val="23CB0ED0"/>
    <w:rsid w:val="23D120B3"/>
    <w:rsid w:val="23D26F32"/>
    <w:rsid w:val="23D305B4"/>
    <w:rsid w:val="23D63ADC"/>
    <w:rsid w:val="23DA5DEF"/>
    <w:rsid w:val="23DE19CD"/>
    <w:rsid w:val="23DF01E7"/>
    <w:rsid w:val="23DF4F24"/>
    <w:rsid w:val="23E14F55"/>
    <w:rsid w:val="23E20EB0"/>
    <w:rsid w:val="23ED6BF0"/>
    <w:rsid w:val="23EF13FA"/>
    <w:rsid w:val="23F15E22"/>
    <w:rsid w:val="23F55856"/>
    <w:rsid w:val="23F618EE"/>
    <w:rsid w:val="23FA0237"/>
    <w:rsid w:val="24006C15"/>
    <w:rsid w:val="2401637B"/>
    <w:rsid w:val="24021630"/>
    <w:rsid w:val="24037337"/>
    <w:rsid w:val="24064FA3"/>
    <w:rsid w:val="240746F2"/>
    <w:rsid w:val="240B41C1"/>
    <w:rsid w:val="240D6212"/>
    <w:rsid w:val="240E2382"/>
    <w:rsid w:val="24132780"/>
    <w:rsid w:val="24154794"/>
    <w:rsid w:val="241810DF"/>
    <w:rsid w:val="241F11F0"/>
    <w:rsid w:val="241F4F39"/>
    <w:rsid w:val="24247DD2"/>
    <w:rsid w:val="24274E22"/>
    <w:rsid w:val="2428551A"/>
    <w:rsid w:val="242D5F16"/>
    <w:rsid w:val="24343749"/>
    <w:rsid w:val="243549A7"/>
    <w:rsid w:val="2439389C"/>
    <w:rsid w:val="243D1AF9"/>
    <w:rsid w:val="244200D9"/>
    <w:rsid w:val="244F0FD2"/>
    <w:rsid w:val="24506E1F"/>
    <w:rsid w:val="2460453E"/>
    <w:rsid w:val="24650660"/>
    <w:rsid w:val="2468113A"/>
    <w:rsid w:val="246B2DAA"/>
    <w:rsid w:val="246F0BF0"/>
    <w:rsid w:val="24732E3B"/>
    <w:rsid w:val="24790865"/>
    <w:rsid w:val="247B03C3"/>
    <w:rsid w:val="247D14FE"/>
    <w:rsid w:val="24891FAE"/>
    <w:rsid w:val="248B003B"/>
    <w:rsid w:val="248C2FC2"/>
    <w:rsid w:val="248E7FDA"/>
    <w:rsid w:val="2493065F"/>
    <w:rsid w:val="249371C1"/>
    <w:rsid w:val="24967EF4"/>
    <w:rsid w:val="249C0481"/>
    <w:rsid w:val="249D7540"/>
    <w:rsid w:val="24A02EFC"/>
    <w:rsid w:val="24A3513A"/>
    <w:rsid w:val="24A40686"/>
    <w:rsid w:val="24A41095"/>
    <w:rsid w:val="24A84546"/>
    <w:rsid w:val="24A864B6"/>
    <w:rsid w:val="24A92885"/>
    <w:rsid w:val="24AC1823"/>
    <w:rsid w:val="24AF4B7D"/>
    <w:rsid w:val="24B52F5F"/>
    <w:rsid w:val="24B63543"/>
    <w:rsid w:val="24BA7D76"/>
    <w:rsid w:val="24BD00D9"/>
    <w:rsid w:val="24C06D8A"/>
    <w:rsid w:val="24C71522"/>
    <w:rsid w:val="24CE49EA"/>
    <w:rsid w:val="24D428BE"/>
    <w:rsid w:val="24D5576B"/>
    <w:rsid w:val="24D64800"/>
    <w:rsid w:val="24DC25AF"/>
    <w:rsid w:val="24DF1D18"/>
    <w:rsid w:val="24E90E8E"/>
    <w:rsid w:val="24E94A9B"/>
    <w:rsid w:val="24F00B4F"/>
    <w:rsid w:val="24F37160"/>
    <w:rsid w:val="24F72BD5"/>
    <w:rsid w:val="24F8164E"/>
    <w:rsid w:val="24F9229C"/>
    <w:rsid w:val="24FB30EE"/>
    <w:rsid w:val="2509511A"/>
    <w:rsid w:val="250E5D48"/>
    <w:rsid w:val="251D242F"/>
    <w:rsid w:val="251E044D"/>
    <w:rsid w:val="2522186B"/>
    <w:rsid w:val="2527505B"/>
    <w:rsid w:val="252C06D7"/>
    <w:rsid w:val="2537702A"/>
    <w:rsid w:val="25387269"/>
    <w:rsid w:val="253F039F"/>
    <w:rsid w:val="25410903"/>
    <w:rsid w:val="254537D8"/>
    <w:rsid w:val="25473008"/>
    <w:rsid w:val="254D1F81"/>
    <w:rsid w:val="254D4832"/>
    <w:rsid w:val="25502385"/>
    <w:rsid w:val="255026DA"/>
    <w:rsid w:val="25520CCD"/>
    <w:rsid w:val="255319AC"/>
    <w:rsid w:val="25532054"/>
    <w:rsid w:val="25553E19"/>
    <w:rsid w:val="255908BE"/>
    <w:rsid w:val="25617B68"/>
    <w:rsid w:val="25643BBA"/>
    <w:rsid w:val="256576FC"/>
    <w:rsid w:val="256B0559"/>
    <w:rsid w:val="256E4A38"/>
    <w:rsid w:val="25733194"/>
    <w:rsid w:val="25734D99"/>
    <w:rsid w:val="25755DC7"/>
    <w:rsid w:val="25783B09"/>
    <w:rsid w:val="257A33DD"/>
    <w:rsid w:val="257A344B"/>
    <w:rsid w:val="257B4A53"/>
    <w:rsid w:val="257C7E29"/>
    <w:rsid w:val="258E50DA"/>
    <w:rsid w:val="258F17A1"/>
    <w:rsid w:val="258F75FF"/>
    <w:rsid w:val="25941823"/>
    <w:rsid w:val="25943CEA"/>
    <w:rsid w:val="2595315D"/>
    <w:rsid w:val="25956469"/>
    <w:rsid w:val="259C5381"/>
    <w:rsid w:val="259D531E"/>
    <w:rsid w:val="259F1096"/>
    <w:rsid w:val="25A06774"/>
    <w:rsid w:val="25A27A7D"/>
    <w:rsid w:val="25A6613C"/>
    <w:rsid w:val="25AA6505"/>
    <w:rsid w:val="25AB12EC"/>
    <w:rsid w:val="25AB633E"/>
    <w:rsid w:val="25AE4422"/>
    <w:rsid w:val="25B3069D"/>
    <w:rsid w:val="25B52B93"/>
    <w:rsid w:val="25B761D7"/>
    <w:rsid w:val="25B7674F"/>
    <w:rsid w:val="25B82157"/>
    <w:rsid w:val="25BA1A2C"/>
    <w:rsid w:val="25BA2F2C"/>
    <w:rsid w:val="25BE15D1"/>
    <w:rsid w:val="25C95073"/>
    <w:rsid w:val="25C96E85"/>
    <w:rsid w:val="25CC695D"/>
    <w:rsid w:val="25D4309B"/>
    <w:rsid w:val="25E1040B"/>
    <w:rsid w:val="25E53BFB"/>
    <w:rsid w:val="25E92392"/>
    <w:rsid w:val="25E929AA"/>
    <w:rsid w:val="25EB07A2"/>
    <w:rsid w:val="25ED2654"/>
    <w:rsid w:val="25FA43DD"/>
    <w:rsid w:val="25FD0364"/>
    <w:rsid w:val="25FE0AFB"/>
    <w:rsid w:val="25FE6403"/>
    <w:rsid w:val="260D0305"/>
    <w:rsid w:val="26125525"/>
    <w:rsid w:val="26137CFA"/>
    <w:rsid w:val="26143832"/>
    <w:rsid w:val="26147F1F"/>
    <w:rsid w:val="261D5B57"/>
    <w:rsid w:val="261E32B9"/>
    <w:rsid w:val="262338E4"/>
    <w:rsid w:val="26240869"/>
    <w:rsid w:val="262612C3"/>
    <w:rsid w:val="262B0183"/>
    <w:rsid w:val="262D48F3"/>
    <w:rsid w:val="26335313"/>
    <w:rsid w:val="263712CE"/>
    <w:rsid w:val="263A1BF8"/>
    <w:rsid w:val="263B7C1F"/>
    <w:rsid w:val="2641067D"/>
    <w:rsid w:val="2648423E"/>
    <w:rsid w:val="264B2FF9"/>
    <w:rsid w:val="264D41A4"/>
    <w:rsid w:val="264D6D44"/>
    <w:rsid w:val="264E5338"/>
    <w:rsid w:val="265005E2"/>
    <w:rsid w:val="2652435A"/>
    <w:rsid w:val="26527EB6"/>
    <w:rsid w:val="26552343"/>
    <w:rsid w:val="26572466"/>
    <w:rsid w:val="265754CC"/>
    <w:rsid w:val="26693D5F"/>
    <w:rsid w:val="266B0F56"/>
    <w:rsid w:val="266B2624"/>
    <w:rsid w:val="26713044"/>
    <w:rsid w:val="267B565F"/>
    <w:rsid w:val="267D1396"/>
    <w:rsid w:val="26827404"/>
    <w:rsid w:val="2684677B"/>
    <w:rsid w:val="268624ED"/>
    <w:rsid w:val="26906C30"/>
    <w:rsid w:val="2694227D"/>
    <w:rsid w:val="26946800"/>
    <w:rsid w:val="26962499"/>
    <w:rsid w:val="2699341F"/>
    <w:rsid w:val="269E2238"/>
    <w:rsid w:val="26A363FE"/>
    <w:rsid w:val="26A455D9"/>
    <w:rsid w:val="26A864E6"/>
    <w:rsid w:val="26AA5266"/>
    <w:rsid w:val="26AF70B6"/>
    <w:rsid w:val="26B11081"/>
    <w:rsid w:val="26B4291F"/>
    <w:rsid w:val="26BB0AC2"/>
    <w:rsid w:val="26BB1EFF"/>
    <w:rsid w:val="26C100E1"/>
    <w:rsid w:val="26C40A9F"/>
    <w:rsid w:val="26C41A4E"/>
    <w:rsid w:val="26D41D9C"/>
    <w:rsid w:val="26D77652"/>
    <w:rsid w:val="26DF76F3"/>
    <w:rsid w:val="26E31F9A"/>
    <w:rsid w:val="26E608E7"/>
    <w:rsid w:val="26E95599"/>
    <w:rsid w:val="26EC58DC"/>
    <w:rsid w:val="26EF3957"/>
    <w:rsid w:val="26F26E65"/>
    <w:rsid w:val="26FE3B9A"/>
    <w:rsid w:val="270216C1"/>
    <w:rsid w:val="2705317A"/>
    <w:rsid w:val="2705521C"/>
    <w:rsid w:val="270F5985"/>
    <w:rsid w:val="27114FD8"/>
    <w:rsid w:val="27115711"/>
    <w:rsid w:val="271454AD"/>
    <w:rsid w:val="2719216A"/>
    <w:rsid w:val="271D2F8E"/>
    <w:rsid w:val="271E456D"/>
    <w:rsid w:val="27217E52"/>
    <w:rsid w:val="27263EF2"/>
    <w:rsid w:val="272711F0"/>
    <w:rsid w:val="27271343"/>
    <w:rsid w:val="272A1A72"/>
    <w:rsid w:val="272B1609"/>
    <w:rsid w:val="272F1FA5"/>
    <w:rsid w:val="273112C2"/>
    <w:rsid w:val="27381C5A"/>
    <w:rsid w:val="273852FE"/>
    <w:rsid w:val="273D1941"/>
    <w:rsid w:val="273F2493"/>
    <w:rsid w:val="27433CA3"/>
    <w:rsid w:val="27441EF5"/>
    <w:rsid w:val="27450BF0"/>
    <w:rsid w:val="27457A1B"/>
    <w:rsid w:val="27475541"/>
    <w:rsid w:val="2748227B"/>
    <w:rsid w:val="274C2B57"/>
    <w:rsid w:val="27526802"/>
    <w:rsid w:val="27533EE6"/>
    <w:rsid w:val="27573D6E"/>
    <w:rsid w:val="27596B1E"/>
    <w:rsid w:val="275A0816"/>
    <w:rsid w:val="275C37EE"/>
    <w:rsid w:val="275F1799"/>
    <w:rsid w:val="275F4685"/>
    <w:rsid w:val="2760372C"/>
    <w:rsid w:val="27606603"/>
    <w:rsid w:val="27620068"/>
    <w:rsid w:val="276F4797"/>
    <w:rsid w:val="277545C5"/>
    <w:rsid w:val="277702D7"/>
    <w:rsid w:val="2778394C"/>
    <w:rsid w:val="277D7431"/>
    <w:rsid w:val="277F1333"/>
    <w:rsid w:val="27842D7D"/>
    <w:rsid w:val="27867F1C"/>
    <w:rsid w:val="278E28DE"/>
    <w:rsid w:val="278E4F1E"/>
    <w:rsid w:val="279D549A"/>
    <w:rsid w:val="27A06325"/>
    <w:rsid w:val="27AB5FF2"/>
    <w:rsid w:val="27AC404B"/>
    <w:rsid w:val="27B626C7"/>
    <w:rsid w:val="27B939C5"/>
    <w:rsid w:val="27BC1E7A"/>
    <w:rsid w:val="27BF16DB"/>
    <w:rsid w:val="27BF3FDB"/>
    <w:rsid w:val="27C17DCB"/>
    <w:rsid w:val="27C36058"/>
    <w:rsid w:val="27C46164"/>
    <w:rsid w:val="27C6290A"/>
    <w:rsid w:val="27C64E63"/>
    <w:rsid w:val="27CC3C98"/>
    <w:rsid w:val="27CC406E"/>
    <w:rsid w:val="27D50C46"/>
    <w:rsid w:val="27E13374"/>
    <w:rsid w:val="27E2170E"/>
    <w:rsid w:val="27E62F33"/>
    <w:rsid w:val="27EA339A"/>
    <w:rsid w:val="27EB293F"/>
    <w:rsid w:val="27EF4666"/>
    <w:rsid w:val="27F356C9"/>
    <w:rsid w:val="27F51441"/>
    <w:rsid w:val="27F54CEC"/>
    <w:rsid w:val="27FA25B3"/>
    <w:rsid w:val="27FB38C0"/>
    <w:rsid w:val="27FC457D"/>
    <w:rsid w:val="28000212"/>
    <w:rsid w:val="28033B5E"/>
    <w:rsid w:val="28037FA1"/>
    <w:rsid w:val="28041684"/>
    <w:rsid w:val="28085663"/>
    <w:rsid w:val="280D1027"/>
    <w:rsid w:val="280E5984"/>
    <w:rsid w:val="281009B8"/>
    <w:rsid w:val="28126BBF"/>
    <w:rsid w:val="28127C99"/>
    <w:rsid w:val="281411CD"/>
    <w:rsid w:val="28162678"/>
    <w:rsid w:val="28164F13"/>
    <w:rsid w:val="28185E93"/>
    <w:rsid w:val="28187D56"/>
    <w:rsid w:val="2819675E"/>
    <w:rsid w:val="28237D5C"/>
    <w:rsid w:val="28275150"/>
    <w:rsid w:val="282E6701"/>
    <w:rsid w:val="28312DD0"/>
    <w:rsid w:val="28327F9F"/>
    <w:rsid w:val="28333D17"/>
    <w:rsid w:val="2835231A"/>
    <w:rsid w:val="283711A1"/>
    <w:rsid w:val="283870F5"/>
    <w:rsid w:val="28390908"/>
    <w:rsid w:val="283B63BD"/>
    <w:rsid w:val="2845565B"/>
    <w:rsid w:val="28463A4A"/>
    <w:rsid w:val="284E5C24"/>
    <w:rsid w:val="284F152B"/>
    <w:rsid w:val="285044F3"/>
    <w:rsid w:val="28540818"/>
    <w:rsid w:val="28583373"/>
    <w:rsid w:val="2858447E"/>
    <w:rsid w:val="285B5377"/>
    <w:rsid w:val="285B7D7C"/>
    <w:rsid w:val="2862462E"/>
    <w:rsid w:val="286345FC"/>
    <w:rsid w:val="28642123"/>
    <w:rsid w:val="2866708D"/>
    <w:rsid w:val="28667C49"/>
    <w:rsid w:val="286E6DDD"/>
    <w:rsid w:val="28700AC7"/>
    <w:rsid w:val="287134BA"/>
    <w:rsid w:val="28746132"/>
    <w:rsid w:val="287A763D"/>
    <w:rsid w:val="287D2485"/>
    <w:rsid w:val="287E4F92"/>
    <w:rsid w:val="288051AE"/>
    <w:rsid w:val="28812CD5"/>
    <w:rsid w:val="28831186"/>
    <w:rsid w:val="2884003E"/>
    <w:rsid w:val="288665AC"/>
    <w:rsid w:val="288C0653"/>
    <w:rsid w:val="288C50AC"/>
    <w:rsid w:val="288E003E"/>
    <w:rsid w:val="288F702E"/>
    <w:rsid w:val="28934117"/>
    <w:rsid w:val="28961519"/>
    <w:rsid w:val="289C3008"/>
    <w:rsid w:val="28A30E9D"/>
    <w:rsid w:val="28A44A06"/>
    <w:rsid w:val="28A57C39"/>
    <w:rsid w:val="28A864B3"/>
    <w:rsid w:val="28B11647"/>
    <w:rsid w:val="28B208E1"/>
    <w:rsid w:val="28B25A48"/>
    <w:rsid w:val="28B33500"/>
    <w:rsid w:val="28B555A8"/>
    <w:rsid w:val="28B9246E"/>
    <w:rsid w:val="28BD4DD7"/>
    <w:rsid w:val="28BE0B66"/>
    <w:rsid w:val="28BF3029"/>
    <w:rsid w:val="28C63C18"/>
    <w:rsid w:val="28C849A8"/>
    <w:rsid w:val="28CC07BF"/>
    <w:rsid w:val="28CD6CD8"/>
    <w:rsid w:val="28D07266"/>
    <w:rsid w:val="28DA55D4"/>
    <w:rsid w:val="28DD795B"/>
    <w:rsid w:val="28E7211F"/>
    <w:rsid w:val="28E725A8"/>
    <w:rsid w:val="28E77BA0"/>
    <w:rsid w:val="28E9233C"/>
    <w:rsid w:val="28EB4964"/>
    <w:rsid w:val="28F14933"/>
    <w:rsid w:val="28F434A6"/>
    <w:rsid w:val="28F60DD4"/>
    <w:rsid w:val="28F6721F"/>
    <w:rsid w:val="28F7315B"/>
    <w:rsid w:val="28FB65E3"/>
    <w:rsid w:val="28FB6B38"/>
    <w:rsid w:val="28FD68C7"/>
    <w:rsid w:val="290027F2"/>
    <w:rsid w:val="291006B8"/>
    <w:rsid w:val="29156E5D"/>
    <w:rsid w:val="291727AB"/>
    <w:rsid w:val="2917540A"/>
    <w:rsid w:val="291A2E01"/>
    <w:rsid w:val="2920285F"/>
    <w:rsid w:val="29212575"/>
    <w:rsid w:val="29226D9D"/>
    <w:rsid w:val="2927562A"/>
    <w:rsid w:val="292902A4"/>
    <w:rsid w:val="29310375"/>
    <w:rsid w:val="29331AC6"/>
    <w:rsid w:val="29347D47"/>
    <w:rsid w:val="29352B40"/>
    <w:rsid w:val="293712A2"/>
    <w:rsid w:val="293935AF"/>
    <w:rsid w:val="293B7327"/>
    <w:rsid w:val="293F312A"/>
    <w:rsid w:val="29424212"/>
    <w:rsid w:val="294262B9"/>
    <w:rsid w:val="29431BAE"/>
    <w:rsid w:val="29473412"/>
    <w:rsid w:val="294759E8"/>
    <w:rsid w:val="294C2F70"/>
    <w:rsid w:val="294F4615"/>
    <w:rsid w:val="295403E9"/>
    <w:rsid w:val="295D6ADE"/>
    <w:rsid w:val="295F1CB2"/>
    <w:rsid w:val="296022E2"/>
    <w:rsid w:val="29603EB3"/>
    <w:rsid w:val="296158E7"/>
    <w:rsid w:val="29630FD4"/>
    <w:rsid w:val="2964062C"/>
    <w:rsid w:val="2964687E"/>
    <w:rsid w:val="29695C42"/>
    <w:rsid w:val="296D52A1"/>
    <w:rsid w:val="297458AE"/>
    <w:rsid w:val="297D5829"/>
    <w:rsid w:val="297D5830"/>
    <w:rsid w:val="29827B2E"/>
    <w:rsid w:val="29834178"/>
    <w:rsid w:val="29865CC7"/>
    <w:rsid w:val="298712A2"/>
    <w:rsid w:val="298D7242"/>
    <w:rsid w:val="298F31CF"/>
    <w:rsid w:val="299407E6"/>
    <w:rsid w:val="299802D6"/>
    <w:rsid w:val="299A710B"/>
    <w:rsid w:val="299B0448"/>
    <w:rsid w:val="299C30F1"/>
    <w:rsid w:val="299E494A"/>
    <w:rsid w:val="299F19D2"/>
    <w:rsid w:val="29A40D6B"/>
    <w:rsid w:val="29A45B53"/>
    <w:rsid w:val="29AA0009"/>
    <w:rsid w:val="29AA7DB4"/>
    <w:rsid w:val="29AC3D81"/>
    <w:rsid w:val="29AF3F5E"/>
    <w:rsid w:val="29B036B5"/>
    <w:rsid w:val="29B10E1A"/>
    <w:rsid w:val="29B772F9"/>
    <w:rsid w:val="29BD5F8E"/>
    <w:rsid w:val="29C241DE"/>
    <w:rsid w:val="29C34F55"/>
    <w:rsid w:val="29C448AF"/>
    <w:rsid w:val="29C879A0"/>
    <w:rsid w:val="29CA4207"/>
    <w:rsid w:val="29CC1CFC"/>
    <w:rsid w:val="29CE5AA6"/>
    <w:rsid w:val="29D86924"/>
    <w:rsid w:val="29D95D68"/>
    <w:rsid w:val="29DD3F3B"/>
    <w:rsid w:val="29DE3273"/>
    <w:rsid w:val="29DF4157"/>
    <w:rsid w:val="29E21551"/>
    <w:rsid w:val="29E307BC"/>
    <w:rsid w:val="29E46B85"/>
    <w:rsid w:val="29E9291C"/>
    <w:rsid w:val="29E96D83"/>
    <w:rsid w:val="29EF6D69"/>
    <w:rsid w:val="29F24455"/>
    <w:rsid w:val="29F7287D"/>
    <w:rsid w:val="29F72FB0"/>
    <w:rsid w:val="29FB2613"/>
    <w:rsid w:val="29FC1BC0"/>
    <w:rsid w:val="29FE3B8E"/>
    <w:rsid w:val="2A0616E3"/>
    <w:rsid w:val="2A0B3B50"/>
    <w:rsid w:val="2A10482E"/>
    <w:rsid w:val="2A166020"/>
    <w:rsid w:val="2A1B4642"/>
    <w:rsid w:val="2A1D409C"/>
    <w:rsid w:val="2A1F34D4"/>
    <w:rsid w:val="2A1F4744"/>
    <w:rsid w:val="2A2320CF"/>
    <w:rsid w:val="2A2429D8"/>
    <w:rsid w:val="2A27165A"/>
    <w:rsid w:val="2A277653"/>
    <w:rsid w:val="2A30605C"/>
    <w:rsid w:val="2A35718D"/>
    <w:rsid w:val="2A3B777E"/>
    <w:rsid w:val="2A3D1827"/>
    <w:rsid w:val="2A3E46B1"/>
    <w:rsid w:val="2A401725"/>
    <w:rsid w:val="2A4738AF"/>
    <w:rsid w:val="2A532B82"/>
    <w:rsid w:val="2A571F3F"/>
    <w:rsid w:val="2A5979A0"/>
    <w:rsid w:val="2A5E151F"/>
    <w:rsid w:val="2A5F5886"/>
    <w:rsid w:val="2A611121"/>
    <w:rsid w:val="2A612DBE"/>
    <w:rsid w:val="2A6B7798"/>
    <w:rsid w:val="2A6C596E"/>
    <w:rsid w:val="2A6F54DA"/>
    <w:rsid w:val="2A7175A1"/>
    <w:rsid w:val="2A727AC6"/>
    <w:rsid w:val="2A752626"/>
    <w:rsid w:val="2A7610F3"/>
    <w:rsid w:val="2A7B200E"/>
    <w:rsid w:val="2A7C7BF7"/>
    <w:rsid w:val="2A8E16D9"/>
    <w:rsid w:val="2A953B0E"/>
    <w:rsid w:val="2A97233B"/>
    <w:rsid w:val="2A9B74D0"/>
    <w:rsid w:val="2A9E7255"/>
    <w:rsid w:val="2AA27047"/>
    <w:rsid w:val="2AA5080F"/>
    <w:rsid w:val="2AA739BC"/>
    <w:rsid w:val="2AAA4765"/>
    <w:rsid w:val="2AAC30E2"/>
    <w:rsid w:val="2AAD7DB1"/>
    <w:rsid w:val="2AAF1D7B"/>
    <w:rsid w:val="2AB7478C"/>
    <w:rsid w:val="2AB8024A"/>
    <w:rsid w:val="2ABB0155"/>
    <w:rsid w:val="2ABE3D6C"/>
    <w:rsid w:val="2ABE5B1A"/>
    <w:rsid w:val="2ABF3794"/>
    <w:rsid w:val="2ABF7E0F"/>
    <w:rsid w:val="2AC75FE8"/>
    <w:rsid w:val="2ACA4DE4"/>
    <w:rsid w:val="2AD321A5"/>
    <w:rsid w:val="2AD41652"/>
    <w:rsid w:val="2AD6400C"/>
    <w:rsid w:val="2AD6555A"/>
    <w:rsid w:val="2AD73AAA"/>
    <w:rsid w:val="2AD7622E"/>
    <w:rsid w:val="2AE412F9"/>
    <w:rsid w:val="2AE80414"/>
    <w:rsid w:val="2AE93057"/>
    <w:rsid w:val="2AE962EB"/>
    <w:rsid w:val="2AF10FC4"/>
    <w:rsid w:val="2AF221B5"/>
    <w:rsid w:val="2AFA1BEF"/>
    <w:rsid w:val="2AFA655C"/>
    <w:rsid w:val="2AFB2D49"/>
    <w:rsid w:val="2AFE098F"/>
    <w:rsid w:val="2B0A0935"/>
    <w:rsid w:val="2B0A1D97"/>
    <w:rsid w:val="2B130CE6"/>
    <w:rsid w:val="2B14054C"/>
    <w:rsid w:val="2B1C20CD"/>
    <w:rsid w:val="2B2067D5"/>
    <w:rsid w:val="2B230073"/>
    <w:rsid w:val="2B243A89"/>
    <w:rsid w:val="2B2515CB"/>
    <w:rsid w:val="2B25752B"/>
    <w:rsid w:val="2B274302"/>
    <w:rsid w:val="2B282F05"/>
    <w:rsid w:val="2B3264F9"/>
    <w:rsid w:val="2B331284"/>
    <w:rsid w:val="2B354977"/>
    <w:rsid w:val="2B376480"/>
    <w:rsid w:val="2B3B630C"/>
    <w:rsid w:val="2B3D345D"/>
    <w:rsid w:val="2B3E6C5B"/>
    <w:rsid w:val="2B3F23E7"/>
    <w:rsid w:val="2B401844"/>
    <w:rsid w:val="2B430715"/>
    <w:rsid w:val="2B44271B"/>
    <w:rsid w:val="2B481888"/>
    <w:rsid w:val="2B4B28F2"/>
    <w:rsid w:val="2B5917F8"/>
    <w:rsid w:val="2B5949B1"/>
    <w:rsid w:val="2B5A1A3C"/>
    <w:rsid w:val="2B5B780D"/>
    <w:rsid w:val="2B5D2D15"/>
    <w:rsid w:val="2B6111BC"/>
    <w:rsid w:val="2B612718"/>
    <w:rsid w:val="2B6200F2"/>
    <w:rsid w:val="2B620B9B"/>
    <w:rsid w:val="2B636A95"/>
    <w:rsid w:val="2B6616DF"/>
    <w:rsid w:val="2B6C1A1A"/>
    <w:rsid w:val="2B71099F"/>
    <w:rsid w:val="2B732E07"/>
    <w:rsid w:val="2B7D1204"/>
    <w:rsid w:val="2B7E39E7"/>
    <w:rsid w:val="2B7F0A18"/>
    <w:rsid w:val="2B8027DA"/>
    <w:rsid w:val="2B8C3147"/>
    <w:rsid w:val="2B8E1990"/>
    <w:rsid w:val="2B8E2438"/>
    <w:rsid w:val="2B8F21F0"/>
    <w:rsid w:val="2B90559F"/>
    <w:rsid w:val="2B912078"/>
    <w:rsid w:val="2B955D28"/>
    <w:rsid w:val="2BA15BBA"/>
    <w:rsid w:val="2BA215F0"/>
    <w:rsid w:val="2BA21FAD"/>
    <w:rsid w:val="2BA3260E"/>
    <w:rsid w:val="2BA47C5D"/>
    <w:rsid w:val="2BA66955"/>
    <w:rsid w:val="2BA8078D"/>
    <w:rsid w:val="2BA97AD6"/>
    <w:rsid w:val="2BAB3791"/>
    <w:rsid w:val="2BB61AE5"/>
    <w:rsid w:val="2BC43B92"/>
    <w:rsid w:val="2BC70162"/>
    <w:rsid w:val="2BCB28BA"/>
    <w:rsid w:val="2BCE5F4F"/>
    <w:rsid w:val="2BD00DFF"/>
    <w:rsid w:val="2BD10CEF"/>
    <w:rsid w:val="2BD31A99"/>
    <w:rsid w:val="2BD40E84"/>
    <w:rsid w:val="2BD66E93"/>
    <w:rsid w:val="2BD9141E"/>
    <w:rsid w:val="2BDE5160"/>
    <w:rsid w:val="2BE07D12"/>
    <w:rsid w:val="2BE2316D"/>
    <w:rsid w:val="2BE43568"/>
    <w:rsid w:val="2BE94C96"/>
    <w:rsid w:val="2BEA79C8"/>
    <w:rsid w:val="2BEB2F9E"/>
    <w:rsid w:val="2BF11F1F"/>
    <w:rsid w:val="2BF12828"/>
    <w:rsid w:val="2BF26AF0"/>
    <w:rsid w:val="2BF6650A"/>
    <w:rsid w:val="2C015FA1"/>
    <w:rsid w:val="2C0460FA"/>
    <w:rsid w:val="2C0559CB"/>
    <w:rsid w:val="2C0B68EF"/>
    <w:rsid w:val="2C0C0B07"/>
    <w:rsid w:val="2C0D32DF"/>
    <w:rsid w:val="2C0D7863"/>
    <w:rsid w:val="2C116084"/>
    <w:rsid w:val="2C1278E8"/>
    <w:rsid w:val="2C15675A"/>
    <w:rsid w:val="2C157E00"/>
    <w:rsid w:val="2C17461C"/>
    <w:rsid w:val="2C1E29BF"/>
    <w:rsid w:val="2C1E4681"/>
    <w:rsid w:val="2C237B89"/>
    <w:rsid w:val="2C24182D"/>
    <w:rsid w:val="2C2B3683"/>
    <w:rsid w:val="2C2C5018"/>
    <w:rsid w:val="2C2E4F21"/>
    <w:rsid w:val="2C2F3B77"/>
    <w:rsid w:val="2C2F6C5B"/>
    <w:rsid w:val="2C303931"/>
    <w:rsid w:val="2C31778E"/>
    <w:rsid w:val="2C3936FA"/>
    <w:rsid w:val="2C3A1B18"/>
    <w:rsid w:val="2C405E5E"/>
    <w:rsid w:val="2C4219EE"/>
    <w:rsid w:val="2C441BA0"/>
    <w:rsid w:val="2C453C76"/>
    <w:rsid w:val="2C513AFF"/>
    <w:rsid w:val="2C536736"/>
    <w:rsid w:val="2C5524AE"/>
    <w:rsid w:val="2C56116B"/>
    <w:rsid w:val="2C5807EF"/>
    <w:rsid w:val="2C5C1551"/>
    <w:rsid w:val="2C5E3501"/>
    <w:rsid w:val="2C602C01"/>
    <w:rsid w:val="2C624BCB"/>
    <w:rsid w:val="2C626979"/>
    <w:rsid w:val="2C627055"/>
    <w:rsid w:val="2C6426F1"/>
    <w:rsid w:val="2C6C3678"/>
    <w:rsid w:val="2C6E0B7D"/>
    <w:rsid w:val="2C717FBF"/>
    <w:rsid w:val="2C731569"/>
    <w:rsid w:val="2C7566AC"/>
    <w:rsid w:val="2C7B2A34"/>
    <w:rsid w:val="2C802E20"/>
    <w:rsid w:val="2C803D54"/>
    <w:rsid w:val="2C806893"/>
    <w:rsid w:val="2C8C5B08"/>
    <w:rsid w:val="2C8E38A2"/>
    <w:rsid w:val="2C8E7DB1"/>
    <w:rsid w:val="2C940BB2"/>
    <w:rsid w:val="2C9411C3"/>
    <w:rsid w:val="2C976847"/>
    <w:rsid w:val="2C9B0FB9"/>
    <w:rsid w:val="2C9E7F03"/>
    <w:rsid w:val="2CA23219"/>
    <w:rsid w:val="2CA2397C"/>
    <w:rsid w:val="2CA43263"/>
    <w:rsid w:val="2CA46912"/>
    <w:rsid w:val="2CA46F92"/>
    <w:rsid w:val="2CA60F5C"/>
    <w:rsid w:val="2CA72E78"/>
    <w:rsid w:val="2CA843FA"/>
    <w:rsid w:val="2CAE1688"/>
    <w:rsid w:val="2CB2345D"/>
    <w:rsid w:val="2CB371D5"/>
    <w:rsid w:val="2CB5119F"/>
    <w:rsid w:val="2CB52F4D"/>
    <w:rsid w:val="2CBA592E"/>
    <w:rsid w:val="2CBB2EFA"/>
    <w:rsid w:val="2CBC44CC"/>
    <w:rsid w:val="2CC00849"/>
    <w:rsid w:val="2CC05842"/>
    <w:rsid w:val="2CC12C31"/>
    <w:rsid w:val="2CC5764A"/>
    <w:rsid w:val="2CC66F08"/>
    <w:rsid w:val="2CC95E54"/>
    <w:rsid w:val="2CD1535C"/>
    <w:rsid w:val="2CD530E0"/>
    <w:rsid w:val="2CD613D6"/>
    <w:rsid w:val="2CD71115"/>
    <w:rsid w:val="2CD812B0"/>
    <w:rsid w:val="2CDA1EA6"/>
    <w:rsid w:val="2CDC7998"/>
    <w:rsid w:val="2CDE2BC5"/>
    <w:rsid w:val="2CDE6A33"/>
    <w:rsid w:val="2CDF1CD0"/>
    <w:rsid w:val="2CE65C7D"/>
    <w:rsid w:val="2CF0667B"/>
    <w:rsid w:val="2CF26D71"/>
    <w:rsid w:val="2CF46A1A"/>
    <w:rsid w:val="2CF46E61"/>
    <w:rsid w:val="2CF61EDE"/>
    <w:rsid w:val="2CF74BC1"/>
    <w:rsid w:val="2CF75313"/>
    <w:rsid w:val="2CF92AE1"/>
    <w:rsid w:val="2CF954B7"/>
    <w:rsid w:val="2CFC70F4"/>
    <w:rsid w:val="2CFF7460"/>
    <w:rsid w:val="2D000018"/>
    <w:rsid w:val="2D00468F"/>
    <w:rsid w:val="2D01054B"/>
    <w:rsid w:val="2D012636"/>
    <w:rsid w:val="2D044530"/>
    <w:rsid w:val="2D0839C4"/>
    <w:rsid w:val="2D095047"/>
    <w:rsid w:val="2D0B3D7B"/>
    <w:rsid w:val="2D0B75EF"/>
    <w:rsid w:val="2D0E4710"/>
    <w:rsid w:val="2D151C3D"/>
    <w:rsid w:val="2D155826"/>
    <w:rsid w:val="2D1A1CF9"/>
    <w:rsid w:val="2D205A01"/>
    <w:rsid w:val="2D254C2F"/>
    <w:rsid w:val="2D2554B3"/>
    <w:rsid w:val="2D255661"/>
    <w:rsid w:val="2D280B7D"/>
    <w:rsid w:val="2D2A2CC5"/>
    <w:rsid w:val="2D2A393B"/>
    <w:rsid w:val="2D371F49"/>
    <w:rsid w:val="2D396113"/>
    <w:rsid w:val="2D3E73E6"/>
    <w:rsid w:val="2D422AE6"/>
    <w:rsid w:val="2D485B6F"/>
    <w:rsid w:val="2D4D587B"/>
    <w:rsid w:val="2D4F2752"/>
    <w:rsid w:val="2D5704A8"/>
    <w:rsid w:val="2D582EE4"/>
    <w:rsid w:val="2D5926AB"/>
    <w:rsid w:val="2D5A7705"/>
    <w:rsid w:val="2D5D1702"/>
    <w:rsid w:val="2D614EDD"/>
    <w:rsid w:val="2D641C47"/>
    <w:rsid w:val="2D666D51"/>
    <w:rsid w:val="2D677722"/>
    <w:rsid w:val="2D685441"/>
    <w:rsid w:val="2D6C6D9B"/>
    <w:rsid w:val="2D6D0E47"/>
    <w:rsid w:val="2D727090"/>
    <w:rsid w:val="2D743AE8"/>
    <w:rsid w:val="2D7805F1"/>
    <w:rsid w:val="2D7921CC"/>
    <w:rsid w:val="2D7C63D0"/>
    <w:rsid w:val="2D7D1B84"/>
    <w:rsid w:val="2D7D2A99"/>
    <w:rsid w:val="2D7F46F6"/>
    <w:rsid w:val="2D8017AD"/>
    <w:rsid w:val="2D855015"/>
    <w:rsid w:val="2D8716F2"/>
    <w:rsid w:val="2D885FB0"/>
    <w:rsid w:val="2D8868B3"/>
    <w:rsid w:val="2D8B1B8B"/>
    <w:rsid w:val="2D8C63A3"/>
    <w:rsid w:val="2D8F58B1"/>
    <w:rsid w:val="2D8F6A40"/>
    <w:rsid w:val="2D940DB4"/>
    <w:rsid w:val="2D97608D"/>
    <w:rsid w:val="2D977A59"/>
    <w:rsid w:val="2D9B3856"/>
    <w:rsid w:val="2D9B3904"/>
    <w:rsid w:val="2D9E60D7"/>
    <w:rsid w:val="2DA3549B"/>
    <w:rsid w:val="2DA47F51"/>
    <w:rsid w:val="2DA5501C"/>
    <w:rsid w:val="2DAA42B1"/>
    <w:rsid w:val="2DAA682A"/>
    <w:rsid w:val="2DAB1B97"/>
    <w:rsid w:val="2DAC25A2"/>
    <w:rsid w:val="2DAD697B"/>
    <w:rsid w:val="2DB013D1"/>
    <w:rsid w:val="2DB201C1"/>
    <w:rsid w:val="2DB26641"/>
    <w:rsid w:val="2DB50E33"/>
    <w:rsid w:val="2DBA4F87"/>
    <w:rsid w:val="2DC02F7B"/>
    <w:rsid w:val="2DC22F7B"/>
    <w:rsid w:val="2DC92A81"/>
    <w:rsid w:val="2DCA6ABE"/>
    <w:rsid w:val="2DCA729A"/>
    <w:rsid w:val="2DD23A7A"/>
    <w:rsid w:val="2DDA107B"/>
    <w:rsid w:val="2DDF6205"/>
    <w:rsid w:val="2DE20373"/>
    <w:rsid w:val="2DE300D1"/>
    <w:rsid w:val="2DE57862"/>
    <w:rsid w:val="2DE955A4"/>
    <w:rsid w:val="2DEA30CA"/>
    <w:rsid w:val="2DF61A6F"/>
    <w:rsid w:val="2DF67CC1"/>
    <w:rsid w:val="2DF93567"/>
    <w:rsid w:val="2DF96685"/>
    <w:rsid w:val="2DFB47A1"/>
    <w:rsid w:val="2DFC70A1"/>
    <w:rsid w:val="2DFE7DE3"/>
    <w:rsid w:val="2E040630"/>
    <w:rsid w:val="2E0423DE"/>
    <w:rsid w:val="2E066761"/>
    <w:rsid w:val="2E0A208F"/>
    <w:rsid w:val="2E0B6EC8"/>
    <w:rsid w:val="2E1468C4"/>
    <w:rsid w:val="2E15634F"/>
    <w:rsid w:val="2E1A1528"/>
    <w:rsid w:val="2E1F3018"/>
    <w:rsid w:val="2E200533"/>
    <w:rsid w:val="2E2341DD"/>
    <w:rsid w:val="2E2824CA"/>
    <w:rsid w:val="2E29512F"/>
    <w:rsid w:val="2E2B796A"/>
    <w:rsid w:val="2E2C020B"/>
    <w:rsid w:val="2E2E2DB8"/>
    <w:rsid w:val="2E310171"/>
    <w:rsid w:val="2E316244"/>
    <w:rsid w:val="2E3658D7"/>
    <w:rsid w:val="2E366AB8"/>
    <w:rsid w:val="2E374561"/>
    <w:rsid w:val="2E3E1D79"/>
    <w:rsid w:val="2E3F7374"/>
    <w:rsid w:val="2E414AE5"/>
    <w:rsid w:val="2E4245EE"/>
    <w:rsid w:val="2E473FEE"/>
    <w:rsid w:val="2E494294"/>
    <w:rsid w:val="2E4F4D97"/>
    <w:rsid w:val="2E532A1D"/>
    <w:rsid w:val="2E58329E"/>
    <w:rsid w:val="2E590042"/>
    <w:rsid w:val="2E5D370D"/>
    <w:rsid w:val="2E5E060A"/>
    <w:rsid w:val="2E606953"/>
    <w:rsid w:val="2E62704A"/>
    <w:rsid w:val="2E670766"/>
    <w:rsid w:val="2E67398A"/>
    <w:rsid w:val="2E675364"/>
    <w:rsid w:val="2E6B420B"/>
    <w:rsid w:val="2E6C1D31"/>
    <w:rsid w:val="2E7035CF"/>
    <w:rsid w:val="2E7972C8"/>
    <w:rsid w:val="2E7C518F"/>
    <w:rsid w:val="2E7F3A9B"/>
    <w:rsid w:val="2E800DF1"/>
    <w:rsid w:val="2E80518F"/>
    <w:rsid w:val="2E82446A"/>
    <w:rsid w:val="2E82753A"/>
    <w:rsid w:val="2E87171C"/>
    <w:rsid w:val="2E8B0409"/>
    <w:rsid w:val="2E8B0547"/>
    <w:rsid w:val="2E8E1CA7"/>
    <w:rsid w:val="2E914DFF"/>
    <w:rsid w:val="2E932916"/>
    <w:rsid w:val="2E945204"/>
    <w:rsid w:val="2E977742"/>
    <w:rsid w:val="2E987149"/>
    <w:rsid w:val="2E993F45"/>
    <w:rsid w:val="2E9B33F9"/>
    <w:rsid w:val="2E9E177F"/>
    <w:rsid w:val="2EA102EE"/>
    <w:rsid w:val="2EA26DD6"/>
    <w:rsid w:val="2EA4771D"/>
    <w:rsid w:val="2EAF223A"/>
    <w:rsid w:val="2EB12291"/>
    <w:rsid w:val="2EB3170E"/>
    <w:rsid w:val="2EBE26AB"/>
    <w:rsid w:val="2EC102CF"/>
    <w:rsid w:val="2EC456C9"/>
    <w:rsid w:val="2EC5301F"/>
    <w:rsid w:val="2EC8033E"/>
    <w:rsid w:val="2ECB3816"/>
    <w:rsid w:val="2ECE050C"/>
    <w:rsid w:val="2ECF0A27"/>
    <w:rsid w:val="2ECF6C02"/>
    <w:rsid w:val="2ED57C09"/>
    <w:rsid w:val="2EDE20C7"/>
    <w:rsid w:val="2EE41A0E"/>
    <w:rsid w:val="2EE61AE3"/>
    <w:rsid w:val="2EED0919"/>
    <w:rsid w:val="2EEE4A50"/>
    <w:rsid w:val="2EF11762"/>
    <w:rsid w:val="2EF17E5C"/>
    <w:rsid w:val="2EF22560"/>
    <w:rsid w:val="2EF93F4B"/>
    <w:rsid w:val="2EFF6271"/>
    <w:rsid w:val="2F04796F"/>
    <w:rsid w:val="2F050424"/>
    <w:rsid w:val="2F066B4C"/>
    <w:rsid w:val="2F0733D9"/>
    <w:rsid w:val="2F0735FF"/>
    <w:rsid w:val="2F081A5A"/>
    <w:rsid w:val="2F096093"/>
    <w:rsid w:val="2F0D3DA3"/>
    <w:rsid w:val="2F0F4C9C"/>
    <w:rsid w:val="2F1166FB"/>
    <w:rsid w:val="2F1538F0"/>
    <w:rsid w:val="2F15600D"/>
    <w:rsid w:val="2F1601E3"/>
    <w:rsid w:val="2F171C9D"/>
    <w:rsid w:val="2F1A08A9"/>
    <w:rsid w:val="2F202EB4"/>
    <w:rsid w:val="2F212DDD"/>
    <w:rsid w:val="2F251C76"/>
    <w:rsid w:val="2F27202C"/>
    <w:rsid w:val="2F2A27CB"/>
    <w:rsid w:val="2F2E3020"/>
    <w:rsid w:val="2F2F27ED"/>
    <w:rsid w:val="2F303B49"/>
    <w:rsid w:val="2F313228"/>
    <w:rsid w:val="2F340AA1"/>
    <w:rsid w:val="2F3569C2"/>
    <w:rsid w:val="2F3C05AB"/>
    <w:rsid w:val="2F3E547B"/>
    <w:rsid w:val="2F3F2FA2"/>
    <w:rsid w:val="2F46600A"/>
    <w:rsid w:val="2F485FCE"/>
    <w:rsid w:val="2F4B3B31"/>
    <w:rsid w:val="2F5A7DDB"/>
    <w:rsid w:val="2F5C0644"/>
    <w:rsid w:val="2F6E4C8D"/>
    <w:rsid w:val="2F71799E"/>
    <w:rsid w:val="2F73524B"/>
    <w:rsid w:val="2F74558F"/>
    <w:rsid w:val="2F7768F0"/>
    <w:rsid w:val="2F7B4AEA"/>
    <w:rsid w:val="2F7B6B7C"/>
    <w:rsid w:val="2F7D0BFC"/>
    <w:rsid w:val="2F821044"/>
    <w:rsid w:val="2F846602"/>
    <w:rsid w:val="2F8530AA"/>
    <w:rsid w:val="2F86221E"/>
    <w:rsid w:val="2F864264"/>
    <w:rsid w:val="2F894647"/>
    <w:rsid w:val="2F8A246F"/>
    <w:rsid w:val="2F8F1C84"/>
    <w:rsid w:val="2F917175"/>
    <w:rsid w:val="2F917F4B"/>
    <w:rsid w:val="2F9E23BE"/>
    <w:rsid w:val="2FA24BF0"/>
    <w:rsid w:val="2FA61233"/>
    <w:rsid w:val="2FA63021"/>
    <w:rsid w:val="2FAF37E8"/>
    <w:rsid w:val="2FB06639"/>
    <w:rsid w:val="2FB303F4"/>
    <w:rsid w:val="2FB56E1D"/>
    <w:rsid w:val="2FBB622B"/>
    <w:rsid w:val="2FBB6ACC"/>
    <w:rsid w:val="2FBC1590"/>
    <w:rsid w:val="2FC17E5D"/>
    <w:rsid w:val="2FC37139"/>
    <w:rsid w:val="2FC811E9"/>
    <w:rsid w:val="2FCA72C2"/>
    <w:rsid w:val="2FCD67FF"/>
    <w:rsid w:val="2FD43BDB"/>
    <w:rsid w:val="2FD45DE0"/>
    <w:rsid w:val="2FD50DC3"/>
    <w:rsid w:val="2FD81BC2"/>
    <w:rsid w:val="2FDC6A42"/>
    <w:rsid w:val="2FDE015F"/>
    <w:rsid w:val="2FE21452"/>
    <w:rsid w:val="2FE36855"/>
    <w:rsid w:val="2FE55A68"/>
    <w:rsid w:val="2FE778C1"/>
    <w:rsid w:val="2FEE67A1"/>
    <w:rsid w:val="2FF06D0B"/>
    <w:rsid w:val="2FF16992"/>
    <w:rsid w:val="2FF41FDE"/>
    <w:rsid w:val="2FF65D56"/>
    <w:rsid w:val="2FFC6171"/>
    <w:rsid w:val="2FFD4BC6"/>
    <w:rsid w:val="2FFE1750"/>
    <w:rsid w:val="30032221"/>
    <w:rsid w:val="30051B31"/>
    <w:rsid w:val="3006237F"/>
    <w:rsid w:val="30086806"/>
    <w:rsid w:val="30090AAE"/>
    <w:rsid w:val="300C37CC"/>
    <w:rsid w:val="3014689D"/>
    <w:rsid w:val="301A61F8"/>
    <w:rsid w:val="301F52AD"/>
    <w:rsid w:val="301F545A"/>
    <w:rsid w:val="30204B81"/>
    <w:rsid w:val="302407A7"/>
    <w:rsid w:val="30246A80"/>
    <w:rsid w:val="3029260D"/>
    <w:rsid w:val="302C5C1C"/>
    <w:rsid w:val="30360F64"/>
    <w:rsid w:val="303A50FA"/>
    <w:rsid w:val="303B7C6D"/>
    <w:rsid w:val="30403475"/>
    <w:rsid w:val="30405223"/>
    <w:rsid w:val="30470360"/>
    <w:rsid w:val="304D16A9"/>
    <w:rsid w:val="304E16EE"/>
    <w:rsid w:val="30544806"/>
    <w:rsid w:val="305667F5"/>
    <w:rsid w:val="30575512"/>
    <w:rsid w:val="305F1B4D"/>
    <w:rsid w:val="30601F58"/>
    <w:rsid w:val="3061162A"/>
    <w:rsid w:val="30616D08"/>
    <w:rsid w:val="30676C54"/>
    <w:rsid w:val="306A5296"/>
    <w:rsid w:val="306D1CFE"/>
    <w:rsid w:val="307025ED"/>
    <w:rsid w:val="30703191"/>
    <w:rsid w:val="3071345C"/>
    <w:rsid w:val="30716B1B"/>
    <w:rsid w:val="30791B3A"/>
    <w:rsid w:val="30805FDB"/>
    <w:rsid w:val="30852D42"/>
    <w:rsid w:val="3086532C"/>
    <w:rsid w:val="309051B6"/>
    <w:rsid w:val="309275A7"/>
    <w:rsid w:val="309317F7"/>
    <w:rsid w:val="30940170"/>
    <w:rsid w:val="309F7BCD"/>
    <w:rsid w:val="30A06B69"/>
    <w:rsid w:val="30A23E47"/>
    <w:rsid w:val="30A24D58"/>
    <w:rsid w:val="30A51F4E"/>
    <w:rsid w:val="30A6569D"/>
    <w:rsid w:val="30AB0A46"/>
    <w:rsid w:val="30AE0F34"/>
    <w:rsid w:val="30AE5ECE"/>
    <w:rsid w:val="30B05F05"/>
    <w:rsid w:val="30B24A44"/>
    <w:rsid w:val="30B52813"/>
    <w:rsid w:val="30B562D9"/>
    <w:rsid w:val="30B57AC2"/>
    <w:rsid w:val="30BA43E3"/>
    <w:rsid w:val="30BC360F"/>
    <w:rsid w:val="30D00561"/>
    <w:rsid w:val="30D139C1"/>
    <w:rsid w:val="30D14B15"/>
    <w:rsid w:val="30D65986"/>
    <w:rsid w:val="30D90014"/>
    <w:rsid w:val="30DD15BB"/>
    <w:rsid w:val="30DF2CD7"/>
    <w:rsid w:val="30DF67EA"/>
    <w:rsid w:val="30E16A06"/>
    <w:rsid w:val="30E24248"/>
    <w:rsid w:val="30E81B43"/>
    <w:rsid w:val="30F32296"/>
    <w:rsid w:val="30F54260"/>
    <w:rsid w:val="30F625B2"/>
    <w:rsid w:val="30F72DBA"/>
    <w:rsid w:val="30F85B11"/>
    <w:rsid w:val="31015F42"/>
    <w:rsid w:val="3106021B"/>
    <w:rsid w:val="3106646D"/>
    <w:rsid w:val="310C4294"/>
    <w:rsid w:val="310F65A7"/>
    <w:rsid w:val="31102E48"/>
    <w:rsid w:val="31184F95"/>
    <w:rsid w:val="311D0D4C"/>
    <w:rsid w:val="312267B4"/>
    <w:rsid w:val="3128113D"/>
    <w:rsid w:val="312F3EC4"/>
    <w:rsid w:val="312F62D9"/>
    <w:rsid w:val="313346AF"/>
    <w:rsid w:val="31334FC7"/>
    <w:rsid w:val="31357889"/>
    <w:rsid w:val="3136169B"/>
    <w:rsid w:val="313C46F6"/>
    <w:rsid w:val="313D6A41"/>
    <w:rsid w:val="31473CF4"/>
    <w:rsid w:val="314E4ECB"/>
    <w:rsid w:val="315004C0"/>
    <w:rsid w:val="3152520E"/>
    <w:rsid w:val="31544D87"/>
    <w:rsid w:val="31554CFE"/>
    <w:rsid w:val="31590699"/>
    <w:rsid w:val="315A5082"/>
    <w:rsid w:val="315B1EE5"/>
    <w:rsid w:val="315B522B"/>
    <w:rsid w:val="315C4EA3"/>
    <w:rsid w:val="315D0E7A"/>
    <w:rsid w:val="31635843"/>
    <w:rsid w:val="3164188C"/>
    <w:rsid w:val="31674B18"/>
    <w:rsid w:val="316D58C3"/>
    <w:rsid w:val="316E33B4"/>
    <w:rsid w:val="316F5DC0"/>
    <w:rsid w:val="317715B6"/>
    <w:rsid w:val="317B2B05"/>
    <w:rsid w:val="317D30C4"/>
    <w:rsid w:val="317E4255"/>
    <w:rsid w:val="31800117"/>
    <w:rsid w:val="318111FC"/>
    <w:rsid w:val="31815AF3"/>
    <w:rsid w:val="318273C4"/>
    <w:rsid w:val="31856158"/>
    <w:rsid w:val="31861BE3"/>
    <w:rsid w:val="318D30B8"/>
    <w:rsid w:val="318E0D2E"/>
    <w:rsid w:val="318E6D18"/>
    <w:rsid w:val="319475D5"/>
    <w:rsid w:val="319941E5"/>
    <w:rsid w:val="319C292D"/>
    <w:rsid w:val="319C2A82"/>
    <w:rsid w:val="319F0A95"/>
    <w:rsid w:val="319F3583"/>
    <w:rsid w:val="31A051C9"/>
    <w:rsid w:val="31A27A28"/>
    <w:rsid w:val="31A33CBC"/>
    <w:rsid w:val="31A52164"/>
    <w:rsid w:val="31A537D7"/>
    <w:rsid w:val="31A83080"/>
    <w:rsid w:val="31A87524"/>
    <w:rsid w:val="31A95DDB"/>
    <w:rsid w:val="31A97850"/>
    <w:rsid w:val="31AA373C"/>
    <w:rsid w:val="31AD4C03"/>
    <w:rsid w:val="31AE5F62"/>
    <w:rsid w:val="31B12042"/>
    <w:rsid w:val="31B250E0"/>
    <w:rsid w:val="31B83178"/>
    <w:rsid w:val="31BA11D6"/>
    <w:rsid w:val="31BA1380"/>
    <w:rsid w:val="31BC3BEB"/>
    <w:rsid w:val="31C10368"/>
    <w:rsid w:val="31C5275A"/>
    <w:rsid w:val="31CB053B"/>
    <w:rsid w:val="31DA1AB6"/>
    <w:rsid w:val="31DB315D"/>
    <w:rsid w:val="31DE0FE6"/>
    <w:rsid w:val="31DE3B22"/>
    <w:rsid w:val="31E40EB3"/>
    <w:rsid w:val="31E52168"/>
    <w:rsid w:val="31F44517"/>
    <w:rsid w:val="31F46FF8"/>
    <w:rsid w:val="31FC5799"/>
    <w:rsid w:val="31FF5FF4"/>
    <w:rsid w:val="320A3D3B"/>
    <w:rsid w:val="320F1564"/>
    <w:rsid w:val="321B1AA4"/>
    <w:rsid w:val="321F2FCC"/>
    <w:rsid w:val="322540B8"/>
    <w:rsid w:val="32262DBE"/>
    <w:rsid w:val="322C3CB1"/>
    <w:rsid w:val="322E5C7B"/>
    <w:rsid w:val="32335040"/>
    <w:rsid w:val="323420ED"/>
    <w:rsid w:val="32361136"/>
    <w:rsid w:val="32397BC8"/>
    <w:rsid w:val="3241607A"/>
    <w:rsid w:val="32452CC5"/>
    <w:rsid w:val="32472787"/>
    <w:rsid w:val="32476D3D"/>
    <w:rsid w:val="3248523C"/>
    <w:rsid w:val="32494863"/>
    <w:rsid w:val="324B0148"/>
    <w:rsid w:val="324E4E66"/>
    <w:rsid w:val="325338BB"/>
    <w:rsid w:val="32546373"/>
    <w:rsid w:val="3257627A"/>
    <w:rsid w:val="32586854"/>
    <w:rsid w:val="325A3AF6"/>
    <w:rsid w:val="325F5934"/>
    <w:rsid w:val="326246BE"/>
    <w:rsid w:val="326371CC"/>
    <w:rsid w:val="3269507D"/>
    <w:rsid w:val="326A2A2B"/>
    <w:rsid w:val="326B2519"/>
    <w:rsid w:val="326D3EFA"/>
    <w:rsid w:val="32717DF3"/>
    <w:rsid w:val="32735C95"/>
    <w:rsid w:val="327377C9"/>
    <w:rsid w:val="32777D59"/>
    <w:rsid w:val="32780CA4"/>
    <w:rsid w:val="3282353D"/>
    <w:rsid w:val="32891103"/>
    <w:rsid w:val="3289557F"/>
    <w:rsid w:val="328A3FE5"/>
    <w:rsid w:val="328C4750"/>
    <w:rsid w:val="329248B7"/>
    <w:rsid w:val="329641D3"/>
    <w:rsid w:val="32981347"/>
    <w:rsid w:val="329D2C38"/>
    <w:rsid w:val="329F776B"/>
    <w:rsid w:val="32A03CD6"/>
    <w:rsid w:val="32A25251"/>
    <w:rsid w:val="32A61E4B"/>
    <w:rsid w:val="32A93554"/>
    <w:rsid w:val="32AC088E"/>
    <w:rsid w:val="32B37F2E"/>
    <w:rsid w:val="32B54A22"/>
    <w:rsid w:val="32B65A83"/>
    <w:rsid w:val="32B7241A"/>
    <w:rsid w:val="32B72DF8"/>
    <w:rsid w:val="32B97FF0"/>
    <w:rsid w:val="32BE5522"/>
    <w:rsid w:val="32C044C4"/>
    <w:rsid w:val="32C71C0D"/>
    <w:rsid w:val="32CB5278"/>
    <w:rsid w:val="32CE74C9"/>
    <w:rsid w:val="32D00BA5"/>
    <w:rsid w:val="32D81A36"/>
    <w:rsid w:val="32DF2AD1"/>
    <w:rsid w:val="32DF508C"/>
    <w:rsid w:val="32DF6F75"/>
    <w:rsid w:val="32E0684A"/>
    <w:rsid w:val="32E77BD8"/>
    <w:rsid w:val="32EC6B8F"/>
    <w:rsid w:val="32EC7AEE"/>
    <w:rsid w:val="32F32D69"/>
    <w:rsid w:val="32F6606D"/>
    <w:rsid w:val="32F95CA6"/>
    <w:rsid w:val="32FC7B27"/>
    <w:rsid w:val="32FE045B"/>
    <w:rsid w:val="32FF7114"/>
    <w:rsid w:val="33010C9A"/>
    <w:rsid w:val="33022C64"/>
    <w:rsid w:val="3303263C"/>
    <w:rsid w:val="33064502"/>
    <w:rsid w:val="330B3C91"/>
    <w:rsid w:val="331165AB"/>
    <w:rsid w:val="3312497A"/>
    <w:rsid w:val="3313496F"/>
    <w:rsid w:val="33163DF2"/>
    <w:rsid w:val="33180CD3"/>
    <w:rsid w:val="331857D6"/>
    <w:rsid w:val="331E66B0"/>
    <w:rsid w:val="331F5ACC"/>
    <w:rsid w:val="331F708D"/>
    <w:rsid w:val="33245CBD"/>
    <w:rsid w:val="33274478"/>
    <w:rsid w:val="332B21BB"/>
    <w:rsid w:val="332D0608"/>
    <w:rsid w:val="332D460B"/>
    <w:rsid w:val="33301DB6"/>
    <w:rsid w:val="33305A23"/>
    <w:rsid w:val="33322DA4"/>
    <w:rsid w:val="33385662"/>
    <w:rsid w:val="333E1EEE"/>
    <w:rsid w:val="3341378C"/>
    <w:rsid w:val="33451BC8"/>
    <w:rsid w:val="334C7E2A"/>
    <w:rsid w:val="33522800"/>
    <w:rsid w:val="33552D94"/>
    <w:rsid w:val="33557238"/>
    <w:rsid w:val="335A02C1"/>
    <w:rsid w:val="335B4AB3"/>
    <w:rsid w:val="335C2711"/>
    <w:rsid w:val="335C49A0"/>
    <w:rsid w:val="335E091A"/>
    <w:rsid w:val="33633A8C"/>
    <w:rsid w:val="33670340"/>
    <w:rsid w:val="336C1169"/>
    <w:rsid w:val="336E0FD6"/>
    <w:rsid w:val="3370411F"/>
    <w:rsid w:val="337376BE"/>
    <w:rsid w:val="337716FE"/>
    <w:rsid w:val="33842FD2"/>
    <w:rsid w:val="338509E0"/>
    <w:rsid w:val="338567E9"/>
    <w:rsid w:val="338F447E"/>
    <w:rsid w:val="3390201E"/>
    <w:rsid w:val="33932701"/>
    <w:rsid w:val="33947A59"/>
    <w:rsid w:val="33961DA5"/>
    <w:rsid w:val="33997CFE"/>
    <w:rsid w:val="339B3289"/>
    <w:rsid w:val="339C0600"/>
    <w:rsid w:val="33A06705"/>
    <w:rsid w:val="33A317FE"/>
    <w:rsid w:val="33A60F1B"/>
    <w:rsid w:val="33A60F55"/>
    <w:rsid w:val="33AC2EC2"/>
    <w:rsid w:val="33B426F9"/>
    <w:rsid w:val="33BE46A4"/>
    <w:rsid w:val="33C24A1E"/>
    <w:rsid w:val="33C53668"/>
    <w:rsid w:val="33CA462E"/>
    <w:rsid w:val="33CF1F9F"/>
    <w:rsid w:val="33D031CE"/>
    <w:rsid w:val="33D42CE3"/>
    <w:rsid w:val="33D463AE"/>
    <w:rsid w:val="33DC5263"/>
    <w:rsid w:val="33DD2863"/>
    <w:rsid w:val="33DE472A"/>
    <w:rsid w:val="33DE547F"/>
    <w:rsid w:val="33E10ACB"/>
    <w:rsid w:val="33E34843"/>
    <w:rsid w:val="33E37778"/>
    <w:rsid w:val="33EC7B9C"/>
    <w:rsid w:val="33F00D0E"/>
    <w:rsid w:val="33F22CD8"/>
    <w:rsid w:val="33F37300"/>
    <w:rsid w:val="33F656C4"/>
    <w:rsid w:val="33FC3D70"/>
    <w:rsid w:val="340359B4"/>
    <w:rsid w:val="340364D7"/>
    <w:rsid w:val="34065DE8"/>
    <w:rsid w:val="340C0251"/>
    <w:rsid w:val="340F2FB7"/>
    <w:rsid w:val="34162ADA"/>
    <w:rsid w:val="341F2A15"/>
    <w:rsid w:val="34207B82"/>
    <w:rsid w:val="34217B07"/>
    <w:rsid w:val="34230D21"/>
    <w:rsid w:val="34251695"/>
    <w:rsid w:val="34263F82"/>
    <w:rsid w:val="342C06C3"/>
    <w:rsid w:val="342C283D"/>
    <w:rsid w:val="342D7CA9"/>
    <w:rsid w:val="342F7FA6"/>
    <w:rsid w:val="34306259"/>
    <w:rsid w:val="34337CD5"/>
    <w:rsid w:val="343432F1"/>
    <w:rsid w:val="34367DA0"/>
    <w:rsid w:val="34396AD4"/>
    <w:rsid w:val="343C238F"/>
    <w:rsid w:val="34433534"/>
    <w:rsid w:val="344828D8"/>
    <w:rsid w:val="345469E9"/>
    <w:rsid w:val="345538D4"/>
    <w:rsid w:val="346239BA"/>
    <w:rsid w:val="34663CD0"/>
    <w:rsid w:val="34675474"/>
    <w:rsid w:val="346763D8"/>
    <w:rsid w:val="346E367C"/>
    <w:rsid w:val="347528E2"/>
    <w:rsid w:val="34871B33"/>
    <w:rsid w:val="34877904"/>
    <w:rsid w:val="348903E7"/>
    <w:rsid w:val="348C4EDB"/>
    <w:rsid w:val="34967B08"/>
    <w:rsid w:val="349B3999"/>
    <w:rsid w:val="349D4154"/>
    <w:rsid w:val="34A915E9"/>
    <w:rsid w:val="34AE3693"/>
    <w:rsid w:val="34B15526"/>
    <w:rsid w:val="34B34EAD"/>
    <w:rsid w:val="34B50343"/>
    <w:rsid w:val="34B53459"/>
    <w:rsid w:val="34B6287C"/>
    <w:rsid w:val="34BA0DF3"/>
    <w:rsid w:val="34BF705E"/>
    <w:rsid w:val="34C20046"/>
    <w:rsid w:val="34C21100"/>
    <w:rsid w:val="34C74165"/>
    <w:rsid w:val="34C81959"/>
    <w:rsid w:val="34C96D45"/>
    <w:rsid w:val="34CA502B"/>
    <w:rsid w:val="34CB5A03"/>
    <w:rsid w:val="34D13A99"/>
    <w:rsid w:val="34D14809"/>
    <w:rsid w:val="34D369AB"/>
    <w:rsid w:val="34D66025"/>
    <w:rsid w:val="34D670AE"/>
    <w:rsid w:val="34D67F04"/>
    <w:rsid w:val="34D7150C"/>
    <w:rsid w:val="34D82830"/>
    <w:rsid w:val="34D87E69"/>
    <w:rsid w:val="34DE7D3B"/>
    <w:rsid w:val="34DF54E7"/>
    <w:rsid w:val="34E15227"/>
    <w:rsid w:val="34E2428A"/>
    <w:rsid w:val="34E33532"/>
    <w:rsid w:val="34E8012D"/>
    <w:rsid w:val="34EB4778"/>
    <w:rsid w:val="34EF18D2"/>
    <w:rsid w:val="34F61545"/>
    <w:rsid w:val="34FA1E45"/>
    <w:rsid w:val="350158DF"/>
    <w:rsid w:val="3504237A"/>
    <w:rsid w:val="35054751"/>
    <w:rsid w:val="35054FC1"/>
    <w:rsid w:val="350804F5"/>
    <w:rsid w:val="350C796F"/>
    <w:rsid w:val="350D4BE1"/>
    <w:rsid w:val="3513435D"/>
    <w:rsid w:val="351741C1"/>
    <w:rsid w:val="351B6A93"/>
    <w:rsid w:val="351F2FBB"/>
    <w:rsid w:val="35212259"/>
    <w:rsid w:val="352411E1"/>
    <w:rsid w:val="35250261"/>
    <w:rsid w:val="35254474"/>
    <w:rsid w:val="35274E68"/>
    <w:rsid w:val="352C0243"/>
    <w:rsid w:val="352C6DA4"/>
    <w:rsid w:val="352E28D5"/>
    <w:rsid w:val="352F73A0"/>
    <w:rsid w:val="35365259"/>
    <w:rsid w:val="35370862"/>
    <w:rsid w:val="35380BBF"/>
    <w:rsid w:val="35386E11"/>
    <w:rsid w:val="353A5C49"/>
    <w:rsid w:val="35422A7F"/>
    <w:rsid w:val="35442320"/>
    <w:rsid w:val="35463542"/>
    <w:rsid w:val="35474883"/>
    <w:rsid w:val="3547620A"/>
    <w:rsid w:val="354B1DD2"/>
    <w:rsid w:val="354E6235"/>
    <w:rsid w:val="35516F6C"/>
    <w:rsid w:val="35551771"/>
    <w:rsid w:val="35573D37"/>
    <w:rsid w:val="355E0F25"/>
    <w:rsid w:val="35612418"/>
    <w:rsid w:val="356216B8"/>
    <w:rsid w:val="356255D3"/>
    <w:rsid w:val="35717291"/>
    <w:rsid w:val="35764901"/>
    <w:rsid w:val="357660D3"/>
    <w:rsid w:val="357D65D2"/>
    <w:rsid w:val="357E1C36"/>
    <w:rsid w:val="357F78F2"/>
    <w:rsid w:val="35812566"/>
    <w:rsid w:val="35843AA7"/>
    <w:rsid w:val="358844D7"/>
    <w:rsid w:val="358B0CEF"/>
    <w:rsid w:val="358E07DF"/>
    <w:rsid w:val="358F5BF0"/>
    <w:rsid w:val="359009FB"/>
    <w:rsid w:val="359510B7"/>
    <w:rsid w:val="35951B6D"/>
    <w:rsid w:val="35965761"/>
    <w:rsid w:val="3598340C"/>
    <w:rsid w:val="359B0272"/>
    <w:rsid w:val="359E4EC6"/>
    <w:rsid w:val="35A1251F"/>
    <w:rsid w:val="35A4212D"/>
    <w:rsid w:val="35A52C64"/>
    <w:rsid w:val="35A548B0"/>
    <w:rsid w:val="35AB17ED"/>
    <w:rsid w:val="35B65DBF"/>
    <w:rsid w:val="35B96760"/>
    <w:rsid w:val="35BF0D0B"/>
    <w:rsid w:val="35C02C5D"/>
    <w:rsid w:val="35C438FC"/>
    <w:rsid w:val="35C661CB"/>
    <w:rsid w:val="35C8202E"/>
    <w:rsid w:val="35CE0DDC"/>
    <w:rsid w:val="35D412B7"/>
    <w:rsid w:val="35D42696"/>
    <w:rsid w:val="35D603A2"/>
    <w:rsid w:val="35D62830"/>
    <w:rsid w:val="35DA3A24"/>
    <w:rsid w:val="35DC779C"/>
    <w:rsid w:val="35DE1766"/>
    <w:rsid w:val="35EC23BD"/>
    <w:rsid w:val="35F07A71"/>
    <w:rsid w:val="35F26E49"/>
    <w:rsid w:val="35F637BD"/>
    <w:rsid w:val="35F920FC"/>
    <w:rsid w:val="35FC6A17"/>
    <w:rsid w:val="36034D29"/>
    <w:rsid w:val="36045748"/>
    <w:rsid w:val="36077684"/>
    <w:rsid w:val="36080591"/>
    <w:rsid w:val="360845DB"/>
    <w:rsid w:val="360A735F"/>
    <w:rsid w:val="360E36AB"/>
    <w:rsid w:val="360F48B7"/>
    <w:rsid w:val="36127662"/>
    <w:rsid w:val="36141BBC"/>
    <w:rsid w:val="361D70A7"/>
    <w:rsid w:val="36203625"/>
    <w:rsid w:val="3623361D"/>
    <w:rsid w:val="36257FD9"/>
    <w:rsid w:val="362863C9"/>
    <w:rsid w:val="362B3DDA"/>
    <w:rsid w:val="362E3F9B"/>
    <w:rsid w:val="36317AE8"/>
    <w:rsid w:val="36323860"/>
    <w:rsid w:val="36346DFE"/>
    <w:rsid w:val="36364FB6"/>
    <w:rsid w:val="36392746"/>
    <w:rsid w:val="36424BCE"/>
    <w:rsid w:val="36435878"/>
    <w:rsid w:val="36442226"/>
    <w:rsid w:val="36454EF4"/>
    <w:rsid w:val="36463490"/>
    <w:rsid w:val="3648329F"/>
    <w:rsid w:val="36496826"/>
    <w:rsid w:val="364E35E2"/>
    <w:rsid w:val="36511F38"/>
    <w:rsid w:val="365321C4"/>
    <w:rsid w:val="36551664"/>
    <w:rsid w:val="365732C7"/>
    <w:rsid w:val="365B4010"/>
    <w:rsid w:val="36653C36"/>
    <w:rsid w:val="36663463"/>
    <w:rsid w:val="36710FB7"/>
    <w:rsid w:val="36724133"/>
    <w:rsid w:val="36745C27"/>
    <w:rsid w:val="3675490E"/>
    <w:rsid w:val="367C4ADB"/>
    <w:rsid w:val="367C51E8"/>
    <w:rsid w:val="367D0F7F"/>
    <w:rsid w:val="3684440F"/>
    <w:rsid w:val="36892D9A"/>
    <w:rsid w:val="36897390"/>
    <w:rsid w:val="368A62D0"/>
    <w:rsid w:val="368B2EFE"/>
    <w:rsid w:val="3696269D"/>
    <w:rsid w:val="369857B5"/>
    <w:rsid w:val="3699743B"/>
    <w:rsid w:val="369D134C"/>
    <w:rsid w:val="36A47AEF"/>
    <w:rsid w:val="36A6107B"/>
    <w:rsid w:val="36A66159"/>
    <w:rsid w:val="36A941D3"/>
    <w:rsid w:val="36AC3CB9"/>
    <w:rsid w:val="36AD31C9"/>
    <w:rsid w:val="36AE738B"/>
    <w:rsid w:val="36AE7E4D"/>
    <w:rsid w:val="36AF6C5F"/>
    <w:rsid w:val="36B37174"/>
    <w:rsid w:val="36B65E9E"/>
    <w:rsid w:val="36B81FB7"/>
    <w:rsid w:val="36B85B13"/>
    <w:rsid w:val="36BE3B62"/>
    <w:rsid w:val="36BE3C31"/>
    <w:rsid w:val="36C02C1A"/>
    <w:rsid w:val="36C3106A"/>
    <w:rsid w:val="36C40FA3"/>
    <w:rsid w:val="36C53202"/>
    <w:rsid w:val="36C67AC4"/>
    <w:rsid w:val="36C94C72"/>
    <w:rsid w:val="36CA43D1"/>
    <w:rsid w:val="36CF41CF"/>
    <w:rsid w:val="36D85772"/>
    <w:rsid w:val="36DB4894"/>
    <w:rsid w:val="36DB5CA6"/>
    <w:rsid w:val="36DC334F"/>
    <w:rsid w:val="36DE12F2"/>
    <w:rsid w:val="36E55A25"/>
    <w:rsid w:val="36E56B24"/>
    <w:rsid w:val="36E932B6"/>
    <w:rsid w:val="36EE3652"/>
    <w:rsid w:val="36F31241"/>
    <w:rsid w:val="36F347AA"/>
    <w:rsid w:val="36F51070"/>
    <w:rsid w:val="36FC3DB1"/>
    <w:rsid w:val="36FE04A5"/>
    <w:rsid w:val="3700060A"/>
    <w:rsid w:val="370056AD"/>
    <w:rsid w:val="370313A7"/>
    <w:rsid w:val="37033F75"/>
    <w:rsid w:val="37040D59"/>
    <w:rsid w:val="370935FC"/>
    <w:rsid w:val="370B0C0A"/>
    <w:rsid w:val="370D7641"/>
    <w:rsid w:val="37131129"/>
    <w:rsid w:val="37180A99"/>
    <w:rsid w:val="371A4D18"/>
    <w:rsid w:val="371C7472"/>
    <w:rsid w:val="3720190B"/>
    <w:rsid w:val="37243C1B"/>
    <w:rsid w:val="37287091"/>
    <w:rsid w:val="3729571E"/>
    <w:rsid w:val="372C701F"/>
    <w:rsid w:val="3730715C"/>
    <w:rsid w:val="3731311B"/>
    <w:rsid w:val="373408A5"/>
    <w:rsid w:val="37357164"/>
    <w:rsid w:val="373A0C1E"/>
    <w:rsid w:val="373B6744"/>
    <w:rsid w:val="373C0B79"/>
    <w:rsid w:val="373F4487"/>
    <w:rsid w:val="374070DE"/>
    <w:rsid w:val="3741494B"/>
    <w:rsid w:val="37442EB7"/>
    <w:rsid w:val="37443747"/>
    <w:rsid w:val="374870C0"/>
    <w:rsid w:val="374E77C8"/>
    <w:rsid w:val="374F69DC"/>
    <w:rsid w:val="37502D61"/>
    <w:rsid w:val="375318EC"/>
    <w:rsid w:val="3753277D"/>
    <w:rsid w:val="3754580C"/>
    <w:rsid w:val="375717D0"/>
    <w:rsid w:val="375F3051"/>
    <w:rsid w:val="376076CF"/>
    <w:rsid w:val="37616ED6"/>
    <w:rsid w:val="37640266"/>
    <w:rsid w:val="37667FD8"/>
    <w:rsid w:val="376D7534"/>
    <w:rsid w:val="37770BDD"/>
    <w:rsid w:val="37780297"/>
    <w:rsid w:val="377B4845"/>
    <w:rsid w:val="377E2B92"/>
    <w:rsid w:val="3781684D"/>
    <w:rsid w:val="378C0D4E"/>
    <w:rsid w:val="37904B20"/>
    <w:rsid w:val="379833E2"/>
    <w:rsid w:val="379B69EA"/>
    <w:rsid w:val="379E2A51"/>
    <w:rsid w:val="37A17C4F"/>
    <w:rsid w:val="37A32AE6"/>
    <w:rsid w:val="37A60062"/>
    <w:rsid w:val="37AC403D"/>
    <w:rsid w:val="37AF74CA"/>
    <w:rsid w:val="37B25A57"/>
    <w:rsid w:val="37B37C8C"/>
    <w:rsid w:val="37B5307D"/>
    <w:rsid w:val="37C11BAF"/>
    <w:rsid w:val="37C44757"/>
    <w:rsid w:val="37C44D03"/>
    <w:rsid w:val="37CA4EEE"/>
    <w:rsid w:val="37CC2DB8"/>
    <w:rsid w:val="37CD7F1E"/>
    <w:rsid w:val="37CE3BFD"/>
    <w:rsid w:val="37D3136D"/>
    <w:rsid w:val="37D35C79"/>
    <w:rsid w:val="37D62B7D"/>
    <w:rsid w:val="37D71CEA"/>
    <w:rsid w:val="37D7646D"/>
    <w:rsid w:val="37D86E73"/>
    <w:rsid w:val="37E15FE5"/>
    <w:rsid w:val="37E77885"/>
    <w:rsid w:val="37EF1A09"/>
    <w:rsid w:val="37EF1F86"/>
    <w:rsid w:val="37F06791"/>
    <w:rsid w:val="37F2281E"/>
    <w:rsid w:val="37F25055"/>
    <w:rsid w:val="37F2650F"/>
    <w:rsid w:val="37F410FF"/>
    <w:rsid w:val="37F565FF"/>
    <w:rsid w:val="37F7445A"/>
    <w:rsid w:val="3802077B"/>
    <w:rsid w:val="380240FD"/>
    <w:rsid w:val="380460F4"/>
    <w:rsid w:val="3805122C"/>
    <w:rsid w:val="380D12B4"/>
    <w:rsid w:val="380D6910"/>
    <w:rsid w:val="380E3748"/>
    <w:rsid w:val="381C6576"/>
    <w:rsid w:val="38217669"/>
    <w:rsid w:val="382C6671"/>
    <w:rsid w:val="38390ED6"/>
    <w:rsid w:val="383B4C4E"/>
    <w:rsid w:val="383C5FE0"/>
    <w:rsid w:val="383D413A"/>
    <w:rsid w:val="38475D2A"/>
    <w:rsid w:val="38477BCF"/>
    <w:rsid w:val="384E522B"/>
    <w:rsid w:val="384F24A7"/>
    <w:rsid w:val="384F3CB1"/>
    <w:rsid w:val="3852226E"/>
    <w:rsid w:val="3853376C"/>
    <w:rsid w:val="38561A88"/>
    <w:rsid w:val="3859075A"/>
    <w:rsid w:val="385A65E7"/>
    <w:rsid w:val="385D7976"/>
    <w:rsid w:val="385E429B"/>
    <w:rsid w:val="38624159"/>
    <w:rsid w:val="38646325"/>
    <w:rsid w:val="38695DE6"/>
    <w:rsid w:val="386B3A5B"/>
    <w:rsid w:val="386B4E07"/>
    <w:rsid w:val="386D0B7F"/>
    <w:rsid w:val="386F3073"/>
    <w:rsid w:val="387243E8"/>
    <w:rsid w:val="38735A0D"/>
    <w:rsid w:val="38743CBC"/>
    <w:rsid w:val="387653CA"/>
    <w:rsid w:val="3879662C"/>
    <w:rsid w:val="387A73C9"/>
    <w:rsid w:val="387E769F"/>
    <w:rsid w:val="3884662A"/>
    <w:rsid w:val="388B2005"/>
    <w:rsid w:val="388C2881"/>
    <w:rsid w:val="388E7474"/>
    <w:rsid w:val="388F477D"/>
    <w:rsid w:val="388F4F9A"/>
    <w:rsid w:val="388F6147"/>
    <w:rsid w:val="38925F64"/>
    <w:rsid w:val="38940F0B"/>
    <w:rsid w:val="38993CC6"/>
    <w:rsid w:val="389C791D"/>
    <w:rsid w:val="389E5424"/>
    <w:rsid w:val="38A07EE1"/>
    <w:rsid w:val="38A310FB"/>
    <w:rsid w:val="38A93BB2"/>
    <w:rsid w:val="38AA6EBD"/>
    <w:rsid w:val="38AC248F"/>
    <w:rsid w:val="38AE178D"/>
    <w:rsid w:val="38AE79FA"/>
    <w:rsid w:val="38B247E4"/>
    <w:rsid w:val="38B273A0"/>
    <w:rsid w:val="38B66756"/>
    <w:rsid w:val="38BB4203"/>
    <w:rsid w:val="38BD5663"/>
    <w:rsid w:val="38C308FB"/>
    <w:rsid w:val="38C53DAB"/>
    <w:rsid w:val="38C849C5"/>
    <w:rsid w:val="38C96FCD"/>
    <w:rsid w:val="38CC3AF8"/>
    <w:rsid w:val="38D367D9"/>
    <w:rsid w:val="38DB6A3C"/>
    <w:rsid w:val="38DC1DD8"/>
    <w:rsid w:val="38DC5427"/>
    <w:rsid w:val="38DE5F53"/>
    <w:rsid w:val="38E17B53"/>
    <w:rsid w:val="38F117B0"/>
    <w:rsid w:val="38F27B88"/>
    <w:rsid w:val="38FD03D1"/>
    <w:rsid w:val="38FE5C7B"/>
    <w:rsid w:val="39007C46"/>
    <w:rsid w:val="390453E0"/>
    <w:rsid w:val="39082896"/>
    <w:rsid w:val="39090018"/>
    <w:rsid w:val="39111E53"/>
    <w:rsid w:val="3911751B"/>
    <w:rsid w:val="391639A4"/>
    <w:rsid w:val="391A1404"/>
    <w:rsid w:val="391D07F7"/>
    <w:rsid w:val="39263173"/>
    <w:rsid w:val="39275184"/>
    <w:rsid w:val="392A2F44"/>
    <w:rsid w:val="392A30FB"/>
    <w:rsid w:val="392C6FE4"/>
    <w:rsid w:val="392D4038"/>
    <w:rsid w:val="39365415"/>
    <w:rsid w:val="3936770E"/>
    <w:rsid w:val="394C7FD3"/>
    <w:rsid w:val="394D229C"/>
    <w:rsid w:val="3957180B"/>
    <w:rsid w:val="395B4E7C"/>
    <w:rsid w:val="395D0BF4"/>
    <w:rsid w:val="39643D30"/>
    <w:rsid w:val="39653B7F"/>
    <w:rsid w:val="396561EC"/>
    <w:rsid w:val="396957EB"/>
    <w:rsid w:val="396B3311"/>
    <w:rsid w:val="396C1913"/>
    <w:rsid w:val="396C3C01"/>
    <w:rsid w:val="396E05E2"/>
    <w:rsid w:val="397C74EE"/>
    <w:rsid w:val="397F0B6A"/>
    <w:rsid w:val="39820717"/>
    <w:rsid w:val="398B1820"/>
    <w:rsid w:val="398B779E"/>
    <w:rsid w:val="398D4AE2"/>
    <w:rsid w:val="39900FC9"/>
    <w:rsid w:val="39934616"/>
    <w:rsid w:val="39936B4C"/>
    <w:rsid w:val="399654D7"/>
    <w:rsid w:val="39971B73"/>
    <w:rsid w:val="39982633"/>
    <w:rsid w:val="399D36E6"/>
    <w:rsid w:val="399F3E9D"/>
    <w:rsid w:val="39A630BD"/>
    <w:rsid w:val="39AE60C8"/>
    <w:rsid w:val="39AF02DA"/>
    <w:rsid w:val="39B5145B"/>
    <w:rsid w:val="39B5458C"/>
    <w:rsid w:val="39B734AF"/>
    <w:rsid w:val="39BC7231"/>
    <w:rsid w:val="39BE5B37"/>
    <w:rsid w:val="39BF58CD"/>
    <w:rsid w:val="39C07F2A"/>
    <w:rsid w:val="39C104DE"/>
    <w:rsid w:val="39C30DEE"/>
    <w:rsid w:val="39C649EB"/>
    <w:rsid w:val="39C830F9"/>
    <w:rsid w:val="39C8341B"/>
    <w:rsid w:val="39CC1364"/>
    <w:rsid w:val="39CC14F3"/>
    <w:rsid w:val="39D07993"/>
    <w:rsid w:val="39D901FA"/>
    <w:rsid w:val="39DB3C47"/>
    <w:rsid w:val="39DE630A"/>
    <w:rsid w:val="39DF785B"/>
    <w:rsid w:val="39E00291"/>
    <w:rsid w:val="39E135D3"/>
    <w:rsid w:val="39E60BE9"/>
    <w:rsid w:val="39ED47D1"/>
    <w:rsid w:val="39EE7BDC"/>
    <w:rsid w:val="39F01723"/>
    <w:rsid w:val="39F07CBA"/>
    <w:rsid w:val="39F45D69"/>
    <w:rsid w:val="39F630B2"/>
    <w:rsid w:val="39FD260D"/>
    <w:rsid w:val="39FD2F94"/>
    <w:rsid w:val="3A013C75"/>
    <w:rsid w:val="3A024CAE"/>
    <w:rsid w:val="3A07454B"/>
    <w:rsid w:val="3A0C69E4"/>
    <w:rsid w:val="3A103EB8"/>
    <w:rsid w:val="3A123C36"/>
    <w:rsid w:val="3A1406B6"/>
    <w:rsid w:val="3A176647"/>
    <w:rsid w:val="3A183E8B"/>
    <w:rsid w:val="3A1E053A"/>
    <w:rsid w:val="3A201D84"/>
    <w:rsid w:val="3A206B1E"/>
    <w:rsid w:val="3A2161EB"/>
    <w:rsid w:val="3A224433"/>
    <w:rsid w:val="3A2967CE"/>
    <w:rsid w:val="3A2A021E"/>
    <w:rsid w:val="3A2C7423"/>
    <w:rsid w:val="3A3214CC"/>
    <w:rsid w:val="3A3666BD"/>
    <w:rsid w:val="3A371445"/>
    <w:rsid w:val="3A3D7512"/>
    <w:rsid w:val="3A3E487D"/>
    <w:rsid w:val="3A4028E8"/>
    <w:rsid w:val="3A40414F"/>
    <w:rsid w:val="3A443578"/>
    <w:rsid w:val="3A445910"/>
    <w:rsid w:val="3A4A561C"/>
    <w:rsid w:val="3A4E0707"/>
    <w:rsid w:val="3A507EF8"/>
    <w:rsid w:val="3A526642"/>
    <w:rsid w:val="3A532654"/>
    <w:rsid w:val="3A5B451C"/>
    <w:rsid w:val="3A5E2E76"/>
    <w:rsid w:val="3A600652"/>
    <w:rsid w:val="3A6A7054"/>
    <w:rsid w:val="3A6F1D50"/>
    <w:rsid w:val="3A721156"/>
    <w:rsid w:val="3A723FEB"/>
    <w:rsid w:val="3A742699"/>
    <w:rsid w:val="3A7A7584"/>
    <w:rsid w:val="3A8013C4"/>
    <w:rsid w:val="3A84753C"/>
    <w:rsid w:val="3A850402"/>
    <w:rsid w:val="3A865F28"/>
    <w:rsid w:val="3A8C7C59"/>
    <w:rsid w:val="3A922B1F"/>
    <w:rsid w:val="3A9C399E"/>
    <w:rsid w:val="3A9F027C"/>
    <w:rsid w:val="3AA20330"/>
    <w:rsid w:val="3AA27753"/>
    <w:rsid w:val="3AA42209"/>
    <w:rsid w:val="3AA45BF2"/>
    <w:rsid w:val="3AA51D80"/>
    <w:rsid w:val="3AA765CB"/>
    <w:rsid w:val="3AAD5BAB"/>
    <w:rsid w:val="3AB121BB"/>
    <w:rsid w:val="3AC03A36"/>
    <w:rsid w:val="3AC142F1"/>
    <w:rsid w:val="3AC37A18"/>
    <w:rsid w:val="3ACA7679"/>
    <w:rsid w:val="3ACC2C17"/>
    <w:rsid w:val="3ACF169C"/>
    <w:rsid w:val="3AD46DA6"/>
    <w:rsid w:val="3AD655A2"/>
    <w:rsid w:val="3AD80004"/>
    <w:rsid w:val="3AD83785"/>
    <w:rsid w:val="3ADA6EB0"/>
    <w:rsid w:val="3ADB6274"/>
    <w:rsid w:val="3ADC6E4E"/>
    <w:rsid w:val="3AE151E5"/>
    <w:rsid w:val="3AE467DF"/>
    <w:rsid w:val="3AE62A08"/>
    <w:rsid w:val="3AEC48FA"/>
    <w:rsid w:val="3AEF2E86"/>
    <w:rsid w:val="3AF033F9"/>
    <w:rsid w:val="3AF048C9"/>
    <w:rsid w:val="3AF17928"/>
    <w:rsid w:val="3AF23ECA"/>
    <w:rsid w:val="3AF24C31"/>
    <w:rsid w:val="3AF64E5C"/>
    <w:rsid w:val="3AF6669A"/>
    <w:rsid w:val="3AF668AF"/>
    <w:rsid w:val="3AFA0689"/>
    <w:rsid w:val="3AFB06C4"/>
    <w:rsid w:val="3AFD4F44"/>
    <w:rsid w:val="3AFE4D0B"/>
    <w:rsid w:val="3B0311B9"/>
    <w:rsid w:val="3B044178"/>
    <w:rsid w:val="3B096234"/>
    <w:rsid w:val="3B0A0908"/>
    <w:rsid w:val="3B0A599B"/>
    <w:rsid w:val="3B0B4275"/>
    <w:rsid w:val="3B0C0B24"/>
    <w:rsid w:val="3B165CA0"/>
    <w:rsid w:val="3B173090"/>
    <w:rsid w:val="3B173BF2"/>
    <w:rsid w:val="3B185AF1"/>
    <w:rsid w:val="3B1A693F"/>
    <w:rsid w:val="3B1B0CE9"/>
    <w:rsid w:val="3B1D4CD4"/>
    <w:rsid w:val="3B1E03F3"/>
    <w:rsid w:val="3B2232D4"/>
    <w:rsid w:val="3B223EA3"/>
    <w:rsid w:val="3B264EE0"/>
    <w:rsid w:val="3B2A329F"/>
    <w:rsid w:val="3B2B4EB0"/>
    <w:rsid w:val="3B2C09E8"/>
    <w:rsid w:val="3B2E1447"/>
    <w:rsid w:val="3B2F7A47"/>
    <w:rsid w:val="3B331C0C"/>
    <w:rsid w:val="3B36178C"/>
    <w:rsid w:val="3B405151"/>
    <w:rsid w:val="3B464036"/>
    <w:rsid w:val="3B4C12AA"/>
    <w:rsid w:val="3B4F4CA9"/>
    <w:rsid w:val="3B526DCC"/>
    <w:rsid w:val="3B5B5607"/>
    <w:rsid w:val="3B5E6E75"/>
    <w:rsid w:val="3B60005A"/>
    <w:rsid w:val="3B60677A"/>
    <w:rsid w:val="3B6D24F5"/>
    <w:rsid w:val="3B6E0E96"/>
    <w:rsid w:val="3B6E2755"/>
    <w:rsid w:val="3B6E70E8"/>
    <w:rsid w:val="3B7010B2"/>
    <w:rsid w:val="3B736CDC"/>
    <w:rsid w:val="3B746452"/>
    <w:rsid w:val="3B774A76"/>
    <w:rsid w:val="3B7C46E8"/>
    <w:rsid w:val="3B7E23AF"/>
    <w:rsid w:val="3B7E69CB"/>
    <w:rsid w:val="3B7F34AA"/>
    <w:rsid w:val="3B8132BD"/>
    <w:rsid w:val="3B8948DC"/>
    <w:rsid w:val="3B8F148F"/>
    <w:rsid w:val="3B9052B1"/>
    <w:rsid w:val="3B98242C"/>
    <w:rsid w:val="3B9C0921"/>
    <w:rsid w:val="3B9D352A"/>
    <w:rsid w:val="3B9E6191"/>
    <w:rsid w:val="3BA1059E"/>
    <w:rsid w:val="3BA269CE"/>
    <w:rsid w:val="3BA42B0A"/>
    <w:rsid w:val="3BAD4B47"/>
    <w:rsid w:val="3BB002D7"/>
    <w:rsid w:val="3BB46028"/>
    <w:rsid w:val="3BB6621C"/>
    <w:rsid w:val="3BBB7E54"/>
    <w:rsid w:val="3BBC60A6"/>
    <w:rsid w:val="3BC1546A"/>
    <w:rsid w:val="3BC4467B"/>
    <w:rsid w:val="3BC83446"/>
    <w:rsid w:val="3BC9431F"/>
    <w:rsid w:val="3BCB5986"/>
    <w:rsid w:val="3BCC2061"/>
    <w:rsid w:val="3BCD233D"/>
    <w:rsid w:val="3BD412DA"/>
    <w:rsid w:val="3BD86C58"/>
    <w:rsid w:val="3BE949C1"/>
    <w:rsid w:val="3BED2703"/>
    <w:rsid w:val="3BF05D4F"/>
    <w:rsid w:val="3BF5780A"/>
    <w:rsid w:val="3BF72E59"/>
    <w:rsid w:val="3BFB1A37"/>
    <w:rsid w:val="3BFF41E4"/>
    <w:rsid w:val="3C006FAE"/>
    <w:rsid w:val="3C02216E"/>
    <w:rsid w:val="3C090BBF"/>
    <w:rsid w:val="3C095063"/>
    <w:rsid w:val="3C0B1C91"/>
    <w:rsid w:val="3C0D6901"/>
    <w:rsid w:val="3C0F1E1C"/>
    <w:rsid w:val="3C0F45C4"/>
    <w:rsid w:val="3C1001A0"/>
    <w:rsid w:val="3C157564"/>
    <w:rsid w:val="3C1B03FB"/>
    <w:rsid w:val="3C1C512B"/>
    <w:rsid w:val="3C1F6ED2"/>
    <w:rsid w:val="3C264B94"/>
    <w:rsid w:val="3C2664A5"/>
    <w:rsid w:val="3C2719FC"/>
    <w:rsid w:val="3C281788"/>
    <w:rsid w:val="3C2D302D"/>
    <w:rsid w:val="3C2D6FA3"/>
    <w:rsid w:val="3C2F5D6D"/>
    <w:rsid w:val="3C331B7E"/>
    <w:rsid w:val="3C334F54"/>
    <w:rsid w:val="3C335C3C"/>
    <w:rsid w:val="3C3814A4"/>
    <w:rsid w:val="3C387830"/>
    <w:rsid w:val="3C3C2D43"/>
    <w:rsid w:val="3C403A78"/>
    <w:rsid w:val="3C407959"/>
    <w:rsid w:val="3C4251B0"/>
    <w:rsid w:val="3C432795"/>
    <w:rsid w:val="3C48260D"/>
    <w:rsid w:val="3C4C63CA"/>
    <w:rsid w:val="3C4D337F"/>
    <w:rsid w:val="3C4F6E67"/>
    <w:rsid w:val="3C5013FF"/>
    <w:rsid w:val="3C5114D0"/>
    <w:rsid w:val="3C5502A8"/>
    <w:rsid w:val="3C555670"/>
    <w:rsid w:val="3C570FBE"/>
    <w:rsid w:val="3C5B71D2"/>
    <w:rsid w:val="3C5E53AF"/>
    <w:rsid w:val="3C664263"/>
    <w:rsid w:val="3C686A8A"/>
    <w:rsid w:val="3C6F7098"/>
    <w:rsid w:val="3C714095"/>
    <w:rsid w:val="3C737607"/>
    <w:rsid w:val="3C771367"/>
    <w:rsid w:val="3C7921E9"/>
    <w:rsid w:val="3C7A1ABD"/>
    <w:rsid w:val="3C7B55E4"/>
    <w:rsid w:val="3C7C3D25"/>
    <w:rsid w:val="3C830972"/>
    <w:rsid w:val="3C8D6729"/>
    <w:rsid w:val="3C8E4297"/>
    <w:rsid w:val="3C8F7316"/>
    <w:rsid w:val="3C925213"/>
    <w:rsid w:val="3C94492D"/>
    <w:rsid w:val="3C965623"/>
    <w:rsid w:val="3C9A45A8"/>
    <w:rsid w:val="3C9F32D2"/>
    <w:rsid w:val="3CAA4867"/>
    <w:rsid w:val="3CAC79B9"/>
    <w:rsid w:val="3CB13AB8"/>
    <w:rsid w:val="3CB46D7D"/>
    <w:rsid w:val="3CB85E9D"/>
    <w:rsid w:val="3CBC6341"/>
    <w:rsid w:val="3CBD50BF"/>
    <w:rsid w:val="3CC16D3F"/>
    <w:rsid w:val="3CC34AE5"/>
    <w:rsid w:val="3CC7056B"/>
    <w:rsid w:val="3CC91AA5"/>
    <w:rsid w:val="3CCB5157"/>
    <w:rsid w:val="3CCC2B0D"/>
    <w:rsid w:val="3CCD0BC4"/>
    <w:rsid w:val="3CD122C5"/>
    <w:rsid w:val="3CD22C45"/>
    <w:rsid w:val="3CD60BE5"/>
    <w:rsid w:val="3CD82F64"/>
    <w:rsid w:val="3CD845C6"/>
    <w:rsid w:val="3CD97D33"/>
    <w:rsid w:val="3CDB07AE"/>
    <w:rsid w:val="3CDC0658"/>
    <w:rsid w:val="3CE116D3"/>
    <w:rsid w:val="3CE162E7"/>
    <w:rsid w:val="3CE23FFF"/>
    <w:rsid w:val="3CE41E03"/>
    <w:rsid w:val="3CE51764"/>
    <w:rsid w:val="3CEB253C"/>
    <w:rsid w:val="3CF11D7F"/>
    <w:rsid w:val="3CF4361D"/>
    <w:rsid w:val="3CF568EC"/>
    <w:rsid w:val="3CF814CF"/>
    <w:rsid w:val="3CFE1A11"/>
    <w:rsid w:val="3D0156BE"/>
    <w:rsid w:val="3D053A7C"/>
    <w:rsid w:val="3D0714CA"/>
    <w:rsid w:val="3D08158A"/>
    <w:rsid w:val="3D0A54AC"/>
    <w:rsid w:val="3D0C2743"/>
    <w:rsid w:val="3D0C6BB9"/>
    <w:rsid w:val="3D0D33AB"/>
    <w:rsid w:val="3D112421"/>
    <w:rsid w:val="3D1E09A4"/>
    <w:rsid w:val="3D2044EF"/>
    <w:rsid w:val="3D271C45"/>
    <w:rsid w:val="3D2D6B2F"/>
    <w:rsid w:val="3D2E3078"/>
    <w:rsid w:val="3D3C393E"/>
    <w:rsid w:val="3D404AB5"/>
    <w:rsid w:val="3D471934"/>
    <w:rsid w:val="3D473EB5"/>
    <w:rsid w:val="3D497FBC"/>
    <w:rsid w:val="3D4A148F"/>
    <w:rsid w:val="3D4D63D3"/>
    <w:rsid w:val="3D503CB6"/>
    <w:rsid w:val="3D5634B1"/>
    <w:rsid w:val="3D5C6433"/>
    <w:rsid w:val="3D5F7A13"/>
    <w:rsid w:val="3D626DBB"/>
    <w:rsid w:val="3D6962D3"/>
    <w:rsid w:val="3D6B36DE"/>
    <w:rsid w:val="3D850574"/>
    <w:rsid w:val="3D871FDB"/>
    <w:rsid w:val="3D874491"/>
    <w:rsid w:val="3D87623F"/>
    <w:rsid w:val="3D8B20CC"/>
    <w:rsid w:val="3D8B49A9"/>
    <w:rsid w:val="3D8C7CFA"/>
    <w:rsid w:val="3D8F50C4"/>
    <w:rsid w:val="3D9F50BB"/>
    <w:rsid w:val="3DA07E5F"/>
    <w:rsid w:val="3DA43295"/>
    <w:rsid w:val="3DA70F36"/>
    <w:rsid w:val="3DA908A0"/>
    <w:rsid w:val="3DAB715D"/>
    <w:rsid w:val="3DAE5EC2"/>
    <w:rsid w:val="3DAE7DCE"/>
    <w:rsid w:val="3DB159B2"/>
    <w:rsid w:val="3DB26A4B"/>
    <w:rsid w:val="3DBA5C3A"/>
    <w:rsid w:val="3DBB2DFD"/>
    <w:rsid w:val="3DBC344D"/>
    <w:rsid w:val="3DBF00CF"/>
    <w:rsid w:val="3DC2196D"/>
    <w:rsid w:val="3DC762C2"/>
    <w:rsid w:val="3DC9257A"/>
    <w:rsid w:val="3DC95A8B"/>
    <w:rsid w:val="3DCB6A74"/>
    <w:rsid w:val="3DD54684"/>
    <w:rsid w:val="3DD564C3"/>
    <w:rsid w:val="3DD57856"/>
    <w:rsid w:val="3DDA0A65"/>
    <w:rsid w:val="3DDE0B48"/>
    <w:rsid w:val="3DE048E8"/>
    <w:rsid w:val="3DE25B6C"/>
    <w:rsid w:val="3DE6565C"/>
    <w:rsid w:val="3DE701FE"/>
    <w:rsid w:val="3DE74F30"/>
    <w:rsid w:val="3DEB2C72"/>
    <w:rsid w:val="3DEB7990"/>
    <w:rsid w:val="3DF0506E"/>
    <w:rsid w:val="3DF149B1"/>
    <w:rsid w:val="3DF34DCE"/>
    <w:rsid w:val="3DF65025"/>
    <w:rsid w:val="3DFC17A7"/>
    <w:rsid w:val="3DFD6502"/>
    <w:rsid w:val="3E0047CB"/>
    <w:rsid w:val="3E03620E"/>
    <w:rsid w:val="3E0408A9"/>
    <w:rsid w:val="3E0C379E"/>
    <w:rsid w:val="3E173A67"/>
    <w:rsid w:val="3E181F8B"/>
    <w:rsid w:val="3E1D4DF6"/>
    <w:rsid w:val="3E235316"/>
    <w:rsid w:val="3E235947"/>
    <w:rsid w:val="3E24093C"/>
    <w:rsid w:val="3E27259A"/>
    <w:rsid w:val="3E281F2B"/>
    <w:rsid w:val="3E2A006A"/>
    <w:rsid w:val="3E2D50C6"/>
    <w:rsid w:val="3E2F6AD5"/>
    <w:rsid w:val="3E334F1E"/>
    <w:rsid w:val="3E344619"/>
    <w:rsid w:val="3E35213F"/>
    <w:rsid w:val="3E391C30"/>
    <w:rsid w:val="3E3A663A"/>
    <w:rsid w:val="3E3A73E3"/>
    <w:rsid w:val="3E3C20E0"/>
    <w:rsid w:val="3E3D2DA2"/>
    <w:rsid w:val="3E3F4C76"/>
    <w:rsid w:val="3E3F73A7"/>
    <w:rsid w:val="3E432AAE"/>
    <w:rsid w:val="3E467B86"/>
    <w:rsid w:val="3E5527E2"/>
    <w:rsid w:val="3E562A67"/>
    <w:rsid w:val="3E5A17AD"/>
    <w:rsid w:val="3E5B7702"/>
    <w:rsid w:val="3E5C147A"/>
    <w:rsid w:val="3E5D1219"/>
    <w:rsid w:val="3E5D1630"/>
    <w:rsid w:val="3E605D79"/>
    <w:rsid w:val="3E630A5B"/>
    <w:rsid w:val="3E634FAF"/>
    <w:rsid w:val="3E664265"/>
    <w:rsid w:val="3E6B7FCA"/>
    <w:rsid w:val="3E6F01F8"/>
    <w:rsid w:val="3E6F7963"/>
    <w:rsid w:val="3E7162AE"/>
    <w:rsid w:val="3E740EBA"/>
    <w:rsid w:val="3E7C15F5"/>
    <w:rsid w:val="3E8160DA"/>
    <w:rsid w:val="3E841EE5"/>
    <w:rsid w:val="3E85413A"/>
    <w:rsid w:val="3E861193"/>
    <w:rsid w:val="3E88193B"/>
    <w:rsid w:val="3E897D84"/>
    <w:rsid w:val="3E8E07A6"/>
    <w:rsid w:val="3E912E79"/>
    <w:rsid w:val="3E98379F"/>
    <w:rsid w:val="3EA13331"/>
    <w:rsid w:val="3EA64889"/>
    <w:rsid w:val="3EA847F2"/>
    <w:rsid w:val="3EA92717"/>
    <w:rsid w:val="3EB017C6"/>
    <w:rsid w:val="3EB23EB7"/>
    <w:rsid w:val="3EB74BA6"/>
    <w:rsid w:val="3EBA244F"/>
    <w:rsid w:val="3EC7178D"/>
    <w:rsid w:val="3EC82FB3"/>
    <w:rsid w:val="3ED50DF5"/>
    <w:rsid w:val="3ED52C17"/>
    <w:rsid w:val="3EDA4180"/>
    <w:rsid w:val="3EDD777D"/>
    <w:rsid w:val="3EDE27D7"/>
    <w:rsid w:val="3EDE4585"/>
    <w:rsid w:val="3EE14075"/>
    <w:rsid w:val="3EE15410"/>
    <w:rsid w:val="3EE41DD1"/>
    <w:rsid w:val="3EE52344"/>
    <w:rsid w:val="3EE65614"/>
    <w:rsid w:val="3EEC7B84"/>
    <w:rsid w:val="3EEE07F8"/>
    <w:rsid w:val="3EEE558E"/>
    <w:rsid w:val="3EEF6CC1"/>
    <w:rsid w:val="3EF26F72"/>
    <w:rsid w:val="3EF27DD2"/>
    <w:rsid w:val="3EFE0783"/>
    <w:rsid w:val="3F010273"/>
    <w:rsid w:val="3F056592"/>
    <w:rsid w:val="3F09723D"/>
    <w:rsid w:val="3F11495A"/>
    <w:rsid w:val="3F14143C"/>
    <w:rsid w:val="3F172BE7"/>
    <w:rsid w:val="3F177A97"/>
    <w:rsid w:val="3F1B53D0"/>
    <w:rsid w:val="3F1B6A16"/>
    <w:rsid w:val="3F1B7587"/>
    <w:rsid w:val="3F1F3C47"/>
    <w:rsid w:val="3F2112DE"/>
    <w:rsid w:val="3F226DC3"/>
    <w:rsid w:val="3F261A88"/>
    <w:rsid w:val="3F2720AF"/>
    <w:rsid w:val="3F27785D"/>
    <w:rsid w:val="3F281CA4"/>
    <w:rsid w:val="3F2B0DAF"/>
    <w:rsid w:val="3F2B709E"/>
    <w:rsid w:val="3F39625E"/>
    <w:rsid w:val="3F440272"/>
    <w:rsid w:val="3F4574DA"/>
    <w:rsid w:val="3F4A5C66"/>
    <w:rsid w:val="3F4B5B5E"/>
    <w:rsid w:val="3F4B6C90"/>
    <w:rsid w:val="3F4C14EF"/>
    <w:rsid w:val="3F4C7741"/>
    <w:rsid w:val="3F5071F8"/>
    <w:rsid w:val="3F522077"/>
    <w:rsid w:val="3F522A2A"/>
    <w:rsid w:val="3F592ADF"/>
    <w:rsid w:val="3F5A650B"/>
    <w:rsid w:val="3F5B3E28"/>
    <w:rsid w:val="3F5E0891"/>
    <w:rsid w:val="3F6031EC"/>
    <w:rsid w:val="3F620D12"/>
    <w:rsid w:val="3F645126"/>
    <w:rsid w:val="3F650802"/>
    <w:rsid w:val="3F6827AF"/>
    <w:rsid w:val="3F6A51F3"/>
    <w:rsid w:val="3F7104F7"/>
    <w:rsid w:val="3F7160CC"/>
    <w:rsid w:val="3F716AD8"/>
    <w:rsid w:val="3F74107C"/>
    <w:rsid w:val="3F7938EA"/>
    <w:rsid w:val="3F794BDA"/>
    <w:rsid w:val="3F7C14D6"/>
    <w:rsid w:val="3F874C1D"/>
    <w:rsid w:val="3F890593"/>
    <w:rsid w:val="3F8C2233"/>
    <w:rsid w:val="3F9058A8"/>
    <w:rsid w:val="3F95689F"/>
    <w:rsid w:val="3F965D4C"/>
    <w:rsid w:val="3F9904AC"/>
    <w:rsid w:val="3F9C6353"/>
    <w:rsid w:val="3FA0183A"/>
    <w:rsid w:val="3FA4757D"/>
    <w:rsid w:val="3FA638B5"/>
    <w:rsid w:val="3FAA40F9"/>
    <w:rsid w:val="3FAB42DE"/>
    <w:rsid w:val="3FAC4683"/>
    <w:rsid w:val="3FAE03FB"/>
    <w:rsid w:val="3FAF687E"/>
    <w:rsid w:val="3FB019F3"/>
    <w:rsid w:val="3FB329A2"/>
    <w:rsid w:val="3FB52F51"/>
    <w:rsid w:val="3FB62E0C"/>
    <w:rsid w:val="3FB66FCC"/>
    <w:rsid w:val="3FB71B3C"/>
    <w:rsid w:val="3FC21BA0"/>
    <w:rsid w:val="3FC45529"/>
    <w:rsid w:val="3FC5223F"/>
    <w:rsid w:val="3FC72484"/>
    <w:rsid w:val="3FC82845"/>
    <w:rsid w:val="3FC94057"/>
    <w:rsid w:val="3FCA3682"/>
    <w:rsid w:val="3FCC0881"/>
    <w:rsid w:val="3FCE63A8"/>
    <w:rsid w:val="3FD65C03"/>
    <w:rsid w:val="3FD662F8"/>
    <w:rsid w:val="3FD74587"/>
    <w:rsid w:val="3FDA4E1B"/>
    <w:rsid w:val="3FDB43DA"/>
    <w:rsid w:val="3FDE4346"/>
    <w:rsid w:val="3FE22B5E"/>
    <w:rsid w:val="3FE62A30"/>
    <w:rsid w:val="3FE7624D"/>
    <w:rsid w:val="3FE94BD7"/>
    <w:rsid w:val="3FEB0490"/>
    <w:rsid w:val="3FED1EB2"/>
    <w:rsid w:val="3FF20172"/>
    <w:rsid w:val="3FF714A8"/>
    <w:rsid w:val="3FF81229"/>
    <w:rsid w:val="3FF96422"/>
    <w:rsid w:val="3FFD02C3"/>
    <w:rsid w:val="3FFD1E63"/>
    <w:rsid w:val="40014EE0"/>
    <w:rsid w:val="4003513D"/>
    <w:rsid w:val="40042B5D"/>
    <w:rsid w:val="40087718"/>
    <w:rsid w:val="400D7D3D"/>
    <w:rsid w:val="40114D22"/>
    <w:rsid w:val="401251F4"/>
    <w:rsid w:val="401266D9"/>
    <w:rsid w:val="4014461A"/>
    <w:rsid w:val="40172880"/>
    <w:rsid w:val="40180C28"/>
    <w:rsid w:val="402022DE"/>
    <w:rsid w:val="40217CE4"/>
    <w:rsid w:val="402B6A5D"/>
    <w:rsid w:val="402C30CE"/>
    <w:rsid w:val="402E6E46"/>
    <w:rsid w:val="40330D6F"/>
    <w:rsid w:val="403468FB"/>
    <w:rsid w:val="40397424"/>
    <w:rsid w:val="404008A9"/>
    <w:rsid w:val="40405564"/>
    <w:rsid w:val="40432BB8"/>
    <w:rsid w:val="40550877"/>
    <w:rsid w:val="40564282"/>
    <w:rsid w:val="40596414"/>
    <w:rsid w:val="405E087F"/>
    <w:rsid w:val="405F207C"/>
    <w:rsid w:val="40671C80"/>
    <w:rsid w:val="406B009A"/>
    <w:rsid w:val="406E4984"/>
    <w:rsid w:val="406F60E2"/>
    <w:rsid w:val="40706B5C"/>
    <w:rsid w:val="407266AE"/>
    <w:rsid w:val="40751F09"/>
    <w:rsid w:val="40763DA4"/>
    <w:rsid w:val="40784565"/>
    <w:rsid w:val="407B0CCF"/>
    <w:rsid w:val="407F76A2"/>
    <w:rsid w:val="40873D5C"/>
    <w:rsid w:val="408B43F2"/>
    <w:rsid w:val="409B5806"/>
    <w:rsid w:val="409D5514"/>
    <w:rsid w:val="409F5B4F"/>
    <w:rsid w:val="40A02416"/>
    <w:rsid w:val="40A11F9C"/>
    <w:rsid w:val="40A825CD"/>
    <w:rsid w:val="40AD06B3"/>
    <w:rsid w:val="40AF442B"/>
    <w:rsid w:val="40B02A5C"/>
    <w:rsid w:val="40B57698"/>
    <w:rsid w:val="40B7182B"/>
    <w:rsid w:val="40B76D6A"/>
    <w:rsid w:val="40B9613B"/>
    <w:rsid w:val="40BD72A3"/>
    <w:rsid w:val="40BD7F53"/>
    <w:rsid w:val="40C02C53"/>
    <w:rsid w:val="40C04C42"/>
    <w:rsid w:val="40C33A32"/>
    <w:rsid w:val="40C70288"/>
    <w:rsid w:val="40C720FB"/>
    <w:rsid w:val="40C770F8"/>
    <w:rsid w:val="40C81C9F"/>
    <w:rsid w:val="40CB061C"/>
    <w:rsid w:val="40CD027A"/>
    <w:rsid w:val="40D07EFD"/>
    <w:rsid w:val="40D23C76"/>
    <w:rsid w:val="40D27627"/>
    <w:rsid w:val="40D53A62"/>
    <w:rsid w:val="40DB2728"/>
    <w:rsid w:val="40DE6ABE"/>
    <w:rsid w:val="40E165AE"/>
    <w:rsid w:val="40ED0AAF"/>
    <w:rsid w:val="40ED4F53"/>
    <w:rsid w:val="40F843A5"/>
    <w:rsid w:val="40FF7B85"/>
    <w:rsid w:val="4102085A"/>
    <w:rsid w:val="41032081"/>
    <w:rsid w:val="41035FA5"/>
    <w:rsid w:val="410743DE"/>
    <w:rsid w:val="410D4CAE"/>
    <w:rsid w:val="4115056A"/>
    <w:rsid w:val="41160006"/>
    <w:rsid w:val="41170448"/>
    <w:rsid w:val="411A74C4"/>
    <w:rsid w:val="411B0E77"/>
    <w:rsid w:val="41223B95"/>
    <w:rsid w:val="41287D39"/>
    <w:rsid w:val="412F6501"/>
    <w:rsid w:val="413126CA"/>
    <w:rsid w:val="4131666C"/>
    <w:rsid w:val="41364227"/>
    <w:rsid w:val="41395AA3"/>
    <w:rsid w:val="41400D97"/>
    <w:rsid w:val="41427F1C"/>
    <w:rsid w:val="4144738B"/>
    <w:rsid w:val="41474664"/>
    <w:rsid w:val="41483ADF"/>
    <w:rsid w:val="414E7258"/>
    <w:rsid w:val="41562C5B"/>
    <w:rsid w:val="41601281"/>
    <w:rsid w:val="41657749"/>
    <w:rsid w:val="41662976"/>
    <w:rsid w:val="416C4D63"/>
    <w:rsid w:val="416C59A5"/>
    <w:rsid w:val="416D614F"/>
    <w:rsid w:val="416F3312"/>
    <w:rsid w:val="4170137B"/>
    <w:rsid w:val="41761360"/>
    <w:rsid w:val="417E204F"/>
    <w:rsid w:val="41872CF1"/>
    <w:rsid w:val="4189248C"/>
    <w:rsid w:val="418A27A2"/>
    <w:rsid w:val="418A5390"/>
    <w:rsid w:val="41910459"/>
    <w:rsid w:val="41910BD3"/>
    <w:rsid w:val="41915B31"/>
    <w:rsid w:val="41965875"/>
    <w:rsid w:val="419942DE"/>
    <w:rsid w:val="419D6876"/>
    <w:rsid w:val="41A01FC6"/>
    <w:rsid w:val="41A27001"/>
    <w:rsid w:val="41A70716"/>
    <w:rsid w:val="41A73354"/>
    <w:rsid w:val="41B220EF"/>
    <w:rsid w:val="41B806E8"/>
    <w:rsid w:val="41B94E35"/>
    <w:rsid w:val="41BC428A"/>
    <w:rsid w:val="41BF7940"/>
    <w:rsid w:val="41CB13D2"/>
    <w:rsid w:val="41CF2738"/>
    <w:rsid w:val="41D13F2D"/>
    <w:rsid w:val="41D20A0F"/>
    <w:rsid w:val="41D42390"/>
    <w:rsid w:val="41D80A96"/>
    <w:rsid w:val="41D82FF7"/>
    <w:rsid w:val="41DA15EE"/>
    <w:rsid w:val="41DB2FFE"/>
    <w:rsid w:val="41E14641"/>
    <w:rsid w:val="41E85CFB"/>
    <w:rsid w:val="41EA759B"/>
    <w:rsid w:val="41EE16B8"/>
    <w:rsid w:val="41F12821"/>
    <w:rsid w:val="41F458D5"/>
    <w:rsid w:val="41F61BE6"/>
    <w:rsid w:val="41F73FBD"/>
    <w:rsid w:val="41F933B8"/>
    <w:rsid w:val="41FA1194"/>
    <w:rsid w:val="41FD11C6"/>
    <w:rsid w:val="41FF010B"/>
    <w:rsid w:val="42004812"/>
    <w:rsid w:val="4201488A"/>
    <w:rsid w:val="4202058A"/>
    <w:rsid w:val="42074B61"/>
    <w:rsid w:val="42091919"/>
    <w:rsid w:val="420A6FAA"/>
    <w:rsid w:val="420E0199"/>
    <w:rsid w:val="420E33D3"/>
    <w:rsid w:val="420F4A55"/>
    <w:rsid w:val="420F6EBB"/>
    <w:rsid w:val="42186000"/>
    <w:rsid w:val="421A58D4"/>
    <w:rsid w:val="421F4058"/>
    <w:rsid w:val="42233FB3"/>
    <w:rsid w:val="4225313E"/>
    <w:rsid w:val="422B7713"/>
    <w:rsid w:val="42300571"/>
    <w:rsid w:val="423A0574"/>
    <w:rsid w:val="423C3269"/>
    <w:rsid w:val="423D0F96"/>
    <w:rsid w:val="42486569"/>
    <w:rsid w:val="424B0183"/>
    <w:rsid w:val="424B72CB"/>
    <w:rsid w:val="424C5CAA"/>
    <w:rsid w:val="42574009"/>
    <w:rsid w:val="42576B28"/>
    <w:rsid w:val="425C5EED"/>
    <w:rsid w:val="42674502"/>
    <w:rsid w:val="426938F4"/>
    <w:rsid w:val="426941B4"/>
    <w:rsid w:val="426C0E4F"/>
    <w:rsid w:val="427051ED"/>
    <w:rsid w:val="42725710"/>
    <w:rsid w:val="42731488"/>
    <w:rsid w:val="42746839"/>
    <w:rsid w:val="427A20D1"/>
    <w:rsid w:val="427C3704"/>
    <w:rsid w:val="42813BA5"/>
    <w:rsid w:val="42832791"/>
    <w:rsid w:val="428418E8"/>
    <w:rsid w:val="42917A7F"/>
    <w:rsid w:val="429B0FC3"/>
    <w:rsid w:val="429E0961"/>
    <w:rsid w:val="42A45AE6"/>
    <w:rsid w:val="42A548A2"/>
    <w:rsid w:val="42AB259C"/>
    <w:rsid w:val="42AB5884"/>
    <w:rsid w:val="42AF358B"/>
    <w:rsid w:val="42B172B7"/>
    <w:rsid w:val="42B91F04"/>
    <w:rsid w:val="42BF210F"/>
    <w:rsid w:val="42C10446"/>
    <w:rsid w:val="42C358C8"/>
    <w:rsid w:val="42C46125"/>
    <w:rsid w:val="42C52FE1"/>
    <w:rsid w:val="42C568BF"/>
    <w:rsid w:val="42C84B4E"/>
    <w:rsid w:val="42CB3072"/>
    <w:rsid w:val="42D15A7C"/>
    <w:rsid w:val="42D877E3"/>
    <w:rsid w:val="42DC527F"/>
    <w:rsid w:val="42DE0FF8"/>
    <w:rsid w:val="42E17DA2"/>
    <w:rsid w:val="42E813C0"/>
    <w:rsid w:val="42E91084"/>
    <w:rsid w:val="42E95DC2"/>
    <w:rsid w:val="42EE71D6"/>
    <w:rsid w:val="42F00936"/>
    <w:rsid w:val="42FE1A53"/>
    <w:rsid w:val="42FE6FA4"/>
    <w:rsid w:val="42FF2D1C"/>
    <w:rsid w:val="430A7002"/>
    <w:rsid w:val="430E1887"/>
    <w:rsid w:val="430E6037"/>
    <w:rsid w:val="43104F29"/>
    <w:rsid w:val="43152DA6"/>
    <w:rsid w:val="4329195E"/>
    <w:rsid w:val="432B1D63"/>
    <w:rsid w:val="43321D6F"/>
    <w:rsid w:val="433B01F8"/>
    <w:rsid w:val="43422533"/>
    <w:rsid w:val="43432C09"/>
    <w:rsid w:val="43452DD1"/>
    <w:rsid w:val="4349650B"/>
    <w:rsid w:val="435209F6"/>
    <w:rsid w:val="43533887"/>
    <w:rsid w:val="435530CD"/>
    <w:rsid w:val="43560B8E"/>
    <w:rsid w:val="435E1C0C"/>
    <w:rsid w:val="435E5C94"/>
    <w:rsid w:val="43620BE0"/>
    <w:rsid w:val="43657D9A"/>
    <w:rsid w:val="436623CA"/>
    <w:rsid w:val="43686B13"/>
    <w:rsid w:val="43723592"/>
    <w:rsid w:val="437348AA"/>
    <w:rsid w:val="43744246"/>
    <w:rsid w:val="43745558"/>
    <w:rsid w:val="437B05F4"/>
    <w:rsid w:val="437C5721"/>
    <w:rsid w:val="437C6D3A"/>
    <w:rsid w:val="43816108"/>
    <w:rsid w:val="438219D4"/>
    <w:rsid w:val="43844C37"/>
    <w:rsid w:val="43880F63"/>
    <w:rsid w:val="438A637F"/>
    <w:rsid w:val="438A7C97"/>
    <w:rsid w:val="438B74D5"/>
    <w:rsid w:val="43A22025"/>
    <w:rsid w:val="43A55E31"/>
    <w:rsid w:val="43AB222C"/>
    <w:rsid w:val="43AC4C52"/>
    <w:rsid w:val="43AD109A"/>
    <w:rsid w:val="43AE76F6"/>
    <w:rsid w:val="43B22BA6"/>
    <w:rsid w:val="43B43B06"/>
    <w:rsid w:val="43B4503F"/>
    <w:rsid w:val="43BB1FCC"/>
    <w:rsid w:val="43BF2BD7"/>
    <w:rsid w:val="43C659F5"/>
    <w:rsid w:val="43C9229E"/>
    <w:rsid w:val="43CB4F91"/>
    <w:rsid w:val="43D020E1"/>
    <w:rsid w:val="43D30AF4"/>
    <w:rsid w:val="43D70A3E"/>
    <w:rsid w:val="43D877F5"/>
    <w:rsid w:val="43D946E9"/>
    <w:rsid w:val="43DB3001"/>
    <w:rsid w:val="43DC273C"/>
    <w:rsid w:val="43DF5113"/>
    <w:rsid w:val="43DF6A64"/>
    <w:rsid w:val="43DF7967"/>
    <w:rsid w:val="43E0340E"/>
    <w:rsid w:val="43E07BB8"/>
    <w:rsid w:val="43E414F5"/>
    <w:rsid w:val="43E50164"/>
    <w:rsid w:val="43E57388"/>
    <w:rsid w:val="43EA5BEF"/>
    <w:rsid w:val="43EC14F2"/>
    <w:rsid w:val="43EF0FE2"/>
    <w:rsid w:val="43F36B39"/>
    <w:rsid w:val="43FD0F94"/>
    <w:rsid w:val="43FE2FD4"/>
    <w:rsid w:val="44000FD4"/>
    <w:rsid w:val="44015BAF"/>
    <w:rsid w:val="4403141B"/>
    <w:rsid w:val="4404683C"/>
    <w:rsid w:val="44072485"/>
    <w:rsid w:val="440920A4"/>
    <w:rsid w:val="44093E45"/>
    <w:rsid w:val="440B219C"/>
    <w:rsid w:val="440B70DD"/>
    <w:rsid w:val="44110F59"/>
    <w:rsid w:val="441507D1"/>
    <w:rsid w:val="44177745"/>
    <w:rsid w:val="441978BD"/>
    <w:rsid w:val="441B5E9C"/>
    <w:rsid w:val="441E71D2"/>
    <w:rsid w:val="44221393"/>
    <w:rsid w:val="44240665"/>
    <w:rsid w:val="442567B2"/>
    <w:rsid w:val="442A70F4"/>
    <w:rsid w:val="442B52D2"/>
    <w:rsid w:val="442C79F9"/>
    <w:rsid w:val="442F112C"/>
    <w:rsid w:val="442F777D"/>
    <w:rsid w:val="44337121"/>
    <w:rsid w:val="443864E5"/>
    <w:rsid w:val="44427222"/>
    <w:rsid w:val="44523886"/>
    <w:rsid w:val="44563E2D"/>
    <w:rsid w:val="445741DF"/>
    <w:rsid w:val="445A6A7C"/>
    <w:rsid w:val="445B51E7"/>
    <w:rsid w:val="445D0C54"/>
    <w:rsid w:val="44632262"/>
    <w:rsid w:val="446A44AB"/>
    <w:rsid w:val="446C71A7"/>
    <w:rsid w:val="446E622D"/>
    <w:rsid w:val="4473751E"/>
    <w:rsid w:val="4477025B"/>
    <w:rsid w:val="447716BF"/>
    <w:rsid w:val="447F2A73"/>
    <w:rsid w:val="447F555B"/>
    <w:rsid w:val="44896004"/>
    <w:rsid w:val="448E6105"/>
    <w:rsid w:val="449004A8"/>
    <w:rsid w:val="4496744E"/>
    <w:rsid w:val="44992F67"/>
    <w:rsid w:val="449979A8"/>
    <w:rsid w:val="449C6A74"/>
    <w:rsid w:val="449E27C4"/>
    <w:rsid w:val="449F47B6"/>
    <w:rsid w:val="44A678F3"/>
    <w:rsid w:val="44A702C0"/>
    <w:rsid w:val="44AA3933"/>
    <w:rsid w:val="44AA701E"/>
    <w:rsid w:val="44AB7881"/>
    <w:rsid w:val="44B4618C"/>
    <w:rsid w:val="44B67473"/>
    <w:rsid w:val="44B85878"/>
    <w:rsid w:val="44B971D4"/>
    <w:rsid w:val="44BB2022"/>
    <w:rsid w:val="44BE0EA8"/>
    <w:rsid w:val="44C01965"/>
    <w:rsid w:val="44C16AAC"/>
    <w:rsid w:val="44C9538F"/>
    <w:rsid w:val="44CA6FED"/>
    <w:rsid w:val="44D1580F"/>
    <w:rsid w:val="44D24AA9"/>
    <w:rsid w:val="44D37FBC"/>
    <w:rsid w:val="44D426B2"/>
    <w:rsid w:val="44DE7E7C"/>
    <w:rsid w:val="44E757FE"/>
    <w:rsid w:val="44E91DA0"/>
    <w:rsid w:val="44EA4BDC"/>
    <w:rsid w:val="44F048EE"/>
    <w:rsid w:val="44F71434"/>
    <w:rsid w:val="44F92271"/>
    <w:rsid w:val="44FA0924"/>
    <w:rsid w:val="44FA7C3F"/>
    <w:rsid w:val="450103C2"/>
    <w:rsid w:val="450971DC"/>
    <w:rsid w:val="450C740F"/>
    <w:rsid w:val="450E47A6"/>
    <w:rsid w:val="45126D36"/>
    <w:rsid w:val="4512725F"/>
    <w:rsid w:val="451924DA"/>
    <w:rsid w:val="45232CF2"/>
    <w:rsid w:val="45256F21"/>
    <w:rsid w:val="452A22D2"/>
    <w:rsid w:val="452A7B79"/>
    <w:rsid w:val="45327D49"/>
    <w:rsid w:val="453431DB"/>
    <w:rsid w:val="45345371"/>
    <w:rsid w:val="453B57BD"/>
    <w:rsid w:val="453D7631"/>
    <w:rsid w:val="454413B2"/>
    <w:rsid w:val="454C4C9E"/>
    <w:rsid w:val="454D737F"/>
    <w:rsid w:val="4551515C"/>
    <w:rsid w:val="455446A1"/>
    <w:rsid w:val="455530C7"/>
    <w:rsid w:val="45627D2E"/>
    <w:rsid w:val="456744C7"/>
    <w:rsid w:val="456904E4"/>
    <w:rsid w:val="456A18B9"/>
    <w:rsid w:val="456A7058"/>
    <w:rsid w:val="456C328C"/>
    <w:rsid w:val="45727F0B"/>
    <w:rsid w:val="45747072"/>
    <w:rsid w:val="45763769"/>
    <w:rsid w:val="45795020"/>
    <w:rsid w:val="457F003D"/>
    <w:rsid w:val="45800144"/>
    <w:rsid w:val="45821F09"/>
    <w:rsid w:val="4582326B"/>
    <w:rsid w:val="458C732D"/>
    <w:rsid w:val="458D1AC1"/>
    <w:rsid w:val="458D460F"/>
    <w:rsid w:val="458D711B"/>
    <w:rsid w:val="45904BD8"/>
    <w:rsid w:val="45940BB5"/>
    <w:rsid w:val="459A4A00"/>
    <w:rsid w:val="459C6F7F"/>
    <w:rsid w:val="459D29E8"/>
    <w:rsid w:val="459E681C"/>
    <w:rsid w:val="459F1732"/>
    <w:rsid w:val="45A13F65"/>
    <w:rsid w:val="45A35BE1"/>
    <w:rsid w:val="45A52571"/>
    <w:rsid w:val="45A641ED"/>
    <w:rsid w:val="45A93D1A"/>
    <w:rsid w:val="45B1323B"/>
    <w:rsid w:val="45B557B6"/>
    <w:rsid w:val="45BC1AF1"/>
    <w:rsid w:val="45BC6267"/>
    <w:rsid w:val="45BE6EBE"/>
    <w:rsid w:val="45BF72AF"/>
    <w:rsid w:val="45BF7E22"/>
    <w:rsid w:val="45C36122"/>
    <w:rsid w:val="45C45140"/>
    <w:rsid w:val="45CB57BB"/>
    <w:rsid w:val="45CD3597"/>
    <w:rsid w:val="45CE4889"/>
    <w:rsid w:val="45CE7839"/>
    <w:rsid w:val="45D73ADC"/>
    <w:rsid w:val="45D778A3"/>
    <w:rsid w:val="45D93CF8"/>
    <w:rsid w:val="45DD7344"/>
    <w:rsid w:val="45E3190C"/>
    <w:rsid w:val="45E76415"/>
    <w:rsid w:val="45E845E5"/>
    <w:rsid w:val="45EA0D31"/>
    <w:rsid w:val="45EA150D"/>
    <w:rsid w:val="45F33CB6"/>
    <w:rsid w:val="45F96148"/>
    <w:rsid w:val="45FA3231"/>
    <w:rsid w:val="45FC52AC"/>
    <w:rsid w:val="45FD1795"/>
    <w:rsid w:val="45FE72BB"/>
    <w:rsid w:val="45FF06B2"/>
    <w:rsid w:val="4606410C"/>
    <w:rsid w:val="46091496"/>
    <w:rsid w:val="460B69CC"/>
    <w:rsid w:val="460D74FE"/>
    <w:rsid w:val="460F3276"/>
    <w:rsid w:val="461234F4"/>
    <w:rsid w:val="461B7355"/>
    <w:rsid w:val="461C388C"/>
    <w:rsid w:val="461F15C7"/>
    <w:rsid w:val="462D52F5"/>
    <w:rsid w:val="462E5DF2"/>
    <w:rsid w:val="46304ADA"/>
    <w:rsid w:val="46333408"/>
    <w:rsid w:val="463A31D1"/>
    <w:rsid w:val="463A5483"/>
    <w:rsid w:val="463B1C33"/>
    <w:rsid w:val="463F7FFF"/>
    <w:rsid w:val="464078D3"/>
    <w:rsid w:val="46434527"/>
    <w:rsid w:val="464473C4"/>
    <w:rsid w:val="46462C76"/>
    <w:rsid w:val="464652F0"/>
    <w:rsid w:val="464B1239"/>
    <w:rsid w:val="464C4E2C"/>
    <w:rsid w:val="464F5C99"/>
    <w:rsid w:val="46530D8D"/>
    <w:rsid w:val="46564E43"/>
    <w:rsid w:val="46584C1D"/>
    <w:rsid w:val="465931D8"/>
    <w:rsid w:val="465A0995"/>
    <w:rsid w:val="465B470D"/>
    <w:rsid w:val="465F28D5"/>
    <w:rsid w:val="466277F0"/>
    <w:rsid w:val="46674E60"/>
    <w:rsid w:val="466B1918"/>
    <w:rsid w:val="466B770E"/>
    <w:rsid w:val="466F62BD"/>
    <w:rsid w:val="467B79F8"/>
    <w:rsid w:val="467D255F"/>
    <w:rsid w:val="467F7C9F"/>
    <w:rsid w:val="46805F22"/>
    <w:rsid w:val="4687556D"/>
    <w:rsid w:val="468772B0"/>
    <w:rsid w:val="468C77F7"/>
    <w:rsid w:val="469176A3"/>
    <w:rsid w:val="469406A0"/>
    <w:rsid w:val="46954A56"/>
    <w:rsid w:val="46966AFE"/>
    <w:rsid w:val="4698158B"/>
    <w:rsid w:val="46983ADC"/>
    <w:rsid w:val="46A04A0C"/>
    <w:rsid w:val="46A1247D"/>
    <w:rsid w:val="46A70FDF"/>
    <w:rsid w:val="46A71013"/>
    <w:rsid w:val="46A8124D"/>
    <w:rsid w:val="46AE2714"/>
    <w:rsid w:val="46AE7DD8"/>
    <w:rsid w:val="46B1257F"/>
    <w:rsid w:val="46B13331"/>
    <w:rsid w:val="46B324FE"/>
    <w:rsid w:val="46B56E76"/>
    <w:rsid w:val="46B85FC3"/>
    <w:rsid w:val="46BA1F74"/>
    <w:rsid w:val="46BD0F24"/>
    <w:rsid w:val="46BF0F8D"/>
    <w:rsid w:val="46C2724B"/>
    <w:rsid w:val="46C44060"/>
    <w:rsid w:val="46C75D99"/>
    <w:rsid w:val="46C87590"/>
    <w:rsid w:val="46CB3641"/>
    <w:rsid w:val="46CD41E6"/>
    <w:rsid w:val="46D2354C"/>
    <w:rsid w:val="46D26719"/>
    <w:rsid w:val="46D35896"/>
    <w:rsid w:val="46D52711"/>
    <w:rsid w:val="46D81106"/>
    <w:rsid w:val="46D91229"/>
    <w:rsid w:val="46DD15C6"/>
    <w:rsid w:val="46DD3374"/>
    <w:rsid w:val="46DF767E"/>
    <w:rsid w:val="46E06AC3"/>
    <w:rsid w:val="46E21401"/>
    <w:rsid w:val="46E870D3"/>
    <w:rsid w:val="46EA544F"/>
    <w:rsid w:val="46EA5C7B"/>
    <w:rsid w:val="46ED6573"/>
    <w:rsid w:val="46EE50A4"/>
    <w:rsid w:val="46EE6E8E"/>
    <w:rsid w:val="46EF63DC"/>
    <w:rsid w:val="46F012F9"/>
    <w:rsid w:val="46F0301E"/>
    <w:rsid w:val="46F1770B"/>
    <w:rsid w:val="46F36C54"/>
    <w:rsid w:val="47055C07"/>
    <w:rsid w:val="470E53D5"/>
    <w:rsid w:val="47116300"/>
    <w:rsid w:val="47134FE8"/>
    <w:rsid w:val="471B5214"/>
    <w:rsid w:val="471C1EF2"/>
    <w:rsid w:val="471D6AD1"/>
    <w:rsid w:val="471D7878"/>
    <w:rsid w:val="47232C3A"/>
    <w:rsid w:val="472703A0"/>
    <w:rsid w:val="47295681"/>
    <w:rsid w:val="472A26AC"/>
    <w:rsid w:val="472B0583"/>
    <w:rsid w:val="47345776"/>
    <w:rsid w:val="47363DBC"/>
    <w:rsid w:val="473737A7"/>
    <w:rsid w:val="473867FC"/>
    <w:rsid w:val="4739083A"/>
    <w:rsid w:val="473E02B7"/>
    <w:rsid w:val="473F58CB"/>
    <w:rsid w:val="47407079"/>
    <w:rsid w:val="47423355"/>
    <w:rsid w:val="47423AD4"/>
    <w:rsid w:val="47424D52"/>
    <w:rsid w:val="47434B02"/>
    <w:rsid w:val="47486A40"/>
    <w:rsid w:val="47492400"/>
    <w:rsid w:val="47495A3D"/>
    <w:rsid w:val="4757493E"/>
    <w:rsid w:val="47585A9A"/>
    <w:rsid w:val="475A49C5"/>
    <w:rsid w:val="47616007"/>
    <w:rsid w:val="47637138"/>
    <w:rsid w:val="476B76CA"/>
    <w:rsid w:val="476D24E0"/>
    <w:rsid w:val="4770545C"/>
    <w:rsid w:val="477171F4"/>
    <w:rsid w:val="47757377"/>
    <w:rsid w:val="477702CB"/>
    <w:rsid w:val="47775577"/>
    <w:rsid w:val="477A04D7"/>
    <w:rsid w:val="477D7D36"/>
    <w:rsid w:val="47817A8E"/>
    <w:rsid w:val="47833F1C"/>
    <w:rsid w:val="478A452B"/>
    <w:rsid w:val="478C2A98"/>
    <w:rsid w:val="478E02A1"/>
    <w:rsid w:val="4791488A"/>
    <w:rsid w:val="47924127"/>
    <w:rsid w:val="479413A3"/>
    <w:rsid w:val="479954ED"/>
    <w:rsid w:val="4799729B"/>
    <w:rsid w:val="479B6D32"/>
    <w:rsid w:val="479E3B5A"/>
    <w:rsid w:val="47A345C4"/>
    <w:rsid w:val="47A81BD4"/>
    <w:rsid w:val="47A93E40"/>
    <w:rsid w:val="47AC3472"/>
    <w:rsid w:val="47B16438"/>
    <w:rsid w:val="47B21776"/>
    <w:rsid w:val="47B265AF"/>
    <w:rsid w:val="47B33247"/>
    <w:rsid w:val="47B71E17"/>
    <w:rsid w:val="47B7571E"/>
    <w:rsid w:val="47B8344E"/>
    <w:rsid w:val="47BC49A0"/>
    <w:rsid w:val="47BD56E5"/>
    <w:rsid w:val="47BF2915"/>
    <w:rsid w:val="47C238FE"/>
    <w:rsid w:val="47C37C78"/>
    <w:rsid w:val="47C55475"/>
    <w:rsid w:val="47C56BFB"/>
    <w:rsid w:val="47C86CFC"/>
    <w:rsid w:val="47CF39BE"/>
    <w:rsid w:val="47D041C6"/>
    <w:rsid w:val="47D26C51"/>
    <w:rsid w:val="47D567FA"/>
    <w:rsid w:val="47D61B34"/>
    <w:rsid w:val="47DC5993"/>
    <w:rsid w:val="47DE63B3"/>
    <w:rsid w:val="47E0450C"/>
    <w:rsid w:val="47E25E1B"/>
    <w:rsid w:val="47E51CFE"/>
    <w:rsid w:val="47E805D3"/>
    <w:rsid w:val="47EC1AC1"/>
    <w:rsid w:val="47EC7D13"/>
    <w:rsid w:val="47F045E0"/>
    <w:rsid w:val="480037BE"/>
    <w:rsid w:val="48015AC8"/>
    <w:rsid w:val="48033AA3"/>
    <w:rsid w:val="480660D7"/>
    <w:rsid w:val="48075876"/>
    <w:rsid w:val="480C0F07"/>
    <w:rsid w:val="48110B7A"/>
    <w:rsid w:val="48121518"/>
    <w:rsid w:val="48147F28"/>
    <w:rsid w:val="481806DB"/>
    <w:rsid w:val="481C1C7A"/>
    <w:rsid w:val="481D7AAE"/>
    <w:rsid w:val="48214B0A"/>
    <w:rsid w:val="482B417E"/>
    <w:rsid w:val="482D6D54"/>
    <w:rsid w:val="482F3821"/>
    <w:rsid w:val="48324BD3"/>
    <w:rsid w:val="48345295"/>
    <w:rsid w:val="483A14AB"/>
    <w:rsid w:val="48430B65"/>
    <w:rsid w:val="48461E94"/>
    <w:rsid w:val="484860C4"/>
    <w:rsid w:val="485052AE"/>
    <w:rsid w:val="485062C1"/>
    <w:rsid w:val="48513D0B"/>
    <w:rsid w:val="48515DC8"/>
    <w:rsid w:val="48545FB0"/>
    <w:rsid w:val="485E04E5"/>
    <w:rsid w:val="48653621"/>
    <w:rsid w:val="48693111"/>
    <w:rsid w:val="486A1135"/>
    <w:rsid w:val="486C0E54"/>
    <w:rsid w:val="486E2853"/>
    <w:rsid w:val="4879763E"/>
    <w:rsid w:val="487A3570"/>
    <w:rsid w:val="487F59B9"/>
    <w:rsid w:val="48804A9C"/>
    <w:rsid w:val="48832D0E"/>
    <w:rsid w:val="48850DC0"/>
    <w:rsid w:val="488C5AAE"/>
    <w:rsid w:val="488D761F"/>
    <w:rsid w:val="48902522"/>
    <w:rsid w:val="489716FB"/>
    <w:rsid w:val="489A7E9C"/>
    <w:rsid w:val="489D3BB8"/>
    <w:rsid w:val="48A24875"/>
    <w:rsid w:val="48A44912"/>
    <w:rsid w:val="48AA0166"/>
    <w:rsid w:val="48AA2D18"/>
    <w:rsid w:val="48AA7124"/>
    <w:rsid w:val="48AE62EA"/>
    <w:rsid w:val="48BA63E5"/>
    <w:rsid w:val="48BC4A06"/>
    <w:rsid w:val="48BC64AB"/>
    <w:rsid w:val="48BD6740"/>
    <w:rsid w:val="48BF7D2B"/>
    <w:rsid w:val="48C1457D"/>
    <w:rsid w:val="48C22822"/>
    <w:rsid w:val="48C325D3"/>
    <w:rsid w:val="48C742DC"/>
    <w:rsid w:val="48C93BB0"/>
    <w:rsid w:val="48CD4B44"/>
    <w:rsid w:val="48D13041"/>
    <w:rsid w:val="48D82045"/>
    <w:rsid w:val="48D83DF3"/>
    <w:rsid w:val="48D95437"/>
    <w:rsid w:val="48DB1B35"/>
    <w:rsid w:val="48E1539E"/>
    <w:rsid w:val="48E56107"/>
    <w:rsid w:val="48E61440"/>
    <w:rsid w:val="48E7200F"/>
    <w:rsid w:val="48EA7806"/>
    <w:rsid w:val="48F350D1"/>
    <w:rsid w:val="48F37B94"/>
    <w:rsid w:val="48F75A1D"/>
    <w:rsid w:val="48FB5D34"/>
    <w:rsid w:val="48FD1D08"/>
    <w:rsid w:val="48FE649B"/>
    <w:rsid w:val="48FF1B67"/>
    <w:rsid w:val="490258E8"/>
    <w:rsid w:val="490546CD"/>
    <w:rsid w:val="4906799A"/>
    <w:rsid w:val="49086163"/>
    <w:rsid w:val="4910358D"/>
    <w:rsid w:val="49115557"/>
    <w:rsid w:val="49165DA6"/>
    <w:rsid w:val="491958B9"/>
    <w:rsid w:val="491D1353"/>
    <w:rsid w:val="491F7C74"/>
    <w:rsid w:val="49221512"/>
    <w:rsid w:val="492321E5"/>
    <w:rsid w:val="492360B3"/>
    <w:rsid w:val="49262DB0"/>
    <w:rsid w:val="4926444D"/>
    <w:rsid w:val="49266EAB"/>
    <w:rsid w:val="49274D05"/>
    <w:rsid w:val="492928A1"/>
    <w:rsid w:val="492B486B"/>
    <w:rsid w:val="492B6005"/>
    <w:rsid w:val="49313094"/>
    <w:rsid w:val="49315BB1"/>
    <w:rsid w:val="493308BF"/>
    <w:rsid w:val="49357497"/>
    <w:rsid w:val="49357CB0"/>
    <w:rsid w:val="493A24B5"/>
    <w:rsid w:val="493F24FC"/>
    <w:rsid w:val="49402B6C"/>
    <w:rsid w:val="49453A90"/>
    <w:rsid w:val="494616A5"/>
    <w:rsid w:val="49475EBD"/>
    <w:rsid w:val="49492647"/>
    <w:rsid w:val="49496A9F"/>
    <w:rsid w:val="494D5008"/>
    <w:rsid w:val="494D5F89"/>
    <w:rsid w:val="494F7DDD"/>
    <w:rsid w:val="495023FB"/>
    <w:rsid w:val="4950445A"/>
    <w:rsid w:val="49520049"/>
    <w:rsid w:val="4956580F"/>
    <w:rsid w:val="495B6FDA"/>
    <w:rsid w:val="495D254A"/>
    <w:rsid w:val="495D3DF8"/>
    <w:rsid w:val="495E6EA1"/>
    <w:rsid w:val="495F6F59"/>
    <w:rsid w:val="49622292"/>
    <w:rsid w:val="4965289B"/>
    <w:rsid w:val="49676CD4"/>
    <w:rsid w:val="496C146C"/>
    <w:rsid w:val="4970355D"/>
    <w:rsid w:val="497242AF"/>
    <w:rsid w:val="49746212"/>
    <w:rsid w:val="4976415E"/>
    <w:rsid w:val="497C19B5"/>
    <w:rsid w:val="498902F7"/>
    <w:rsid w:val="498A08F0"/>
    <w:rsid w:val="498C4937"/>
    <w:rsid w:val="4992019B"/>
    <w:rsid w:val="4994419B"/>
    <w:rsid w:val="499A379E"/>
    <w:rsid w:val="499B6895"/>
    <w:rsid w:val="499C7517"/>
    <w:rsid w:val="499D52EC"/>
    <w:rsid w:val="49A00C98"/>
    <w:rsid w:val="49A53D6E"/>
    <w:rsid w:val="49A567C9"/>
    <w:rsid w:val="49A861D1"/>
    <w:rsid w:val="49B02067"/>
    <w:rsid w:val="49B120BE"/>
    <w:rsid w:val="49B22896"/>
    <w:rsid w:val="49B43537"/>
    <w:rsid w:val="49BB0A0C"/>
    <w:rsid w:val="49BB1589"/>
    <w:rsid w:val="49C40F8B"/>
    <w:rsid w:val="49C455C3"/>
    <w:rsid w:val="49C46777"/>
    <w:rsid w:val="49C9126E"/>
    <w:rsid w:val="49CC1AA2"/>
    <w:rsid w:val="49CD2AE9"/>
    <w:rsid w:val="49D76CD8"/>
    <w:rsid w:val="49D85622"/>
    <w:rsid w:val="49D92D54"/>
    <w:rsid w:val="49DA4F57"/>
    <w:rsid w:val="49DE18DD"/>
    <w:rsid w:val="49E669E4"/>
    <w:rsid w:val="49F033BE"/>
    <w:rsid w:val="49F06870"/>
    <w:rsid w:val="49F17862"/>
    <w:rsid w:val="4A08433A"/>
    <w:rsid w:val="4A1809EE"/>
    <w:rsid w:val="4A1968C6"/>
    <w:rsid w:val="4A223A4C"/>
    <w:rsid w:val="4A290593"/>
    <w:rsid w:val="4A2C4097"/>
    <w:rsid w:val="4A2C7FBF"/>
    <w:rsid w:val="4A302AA5"/>
    <w:rsid w:val="4A34774F"/>
    <w:rsid w:val="4A3540DC"/>
    <w:rsid w:val="4A367DC9"/>
    <w:rsid w:val="4A385DC6"/>
    <w:rsid w:val="4A436F6A"/>
    <w:rsid w:val="4A44252C"/>
    <w:rsid w:val="4A4554B8"/>
    <w:rsid w:val="4A4C6847"/>
    <w:rsid w:val="4A4D183F"/>
    <w:rsid w:val="4A4F6337"/>
    <w:rsid w:val="4A511BB0"/>
    <w:rsid w:val="4A5408CE"/>
    <w:rsid w:val="4A557521"/>
    <w:rsid w:val="4A5C5634"/>
    <w:rsid w:val="4A5F68A6"/>
    <w:rsid w:val="4A613C17"/>
    <w:rsid w:val="4A631DE2"/>
    <w:rsid w:val="4A653DAC"/>
    <w:rsid w:val="4A674035"/>
    <w:rsid w:val="4A683E2D"/>
    <w:rsid w:val="4A690FAF"/>
    <w:rsid w:val="4A6F69D9"/>
    <w:rsid w:val="4A7364C9"/>
    <w:rsid w:val="4A757926"/>
    <w:rsid w:val="4A7A1CD7"/>
    <w:rsid w:val="4A7B5E55"/>
    <w:rsid w:val="4A7D1643"/>
    <w:rsid w:val="4A824BA6"/>
    <w:rsid w:val="4A834233"/>
    <w:rsid w:val="4A844EF3"/>
    <w:rsid w:val="4A8A5A40"/>
    <w:rsid w:val="4A8B09F3"/>
    <w:rsid w:val="4A8B32D8"/>
    <w:rsid w:val="4A8B43C9"/>
    <w:rsid w:val="4A8E1217"/>
    <w:rsid w:val="4A900C68"/>
    <w:rsid w:val="4A9A0F36"/>
    <w:rsid w:val="4A9E2E1A"/>
    <w:rsid w:val="4AA26464"/>
    <w:rsid w:val="4AA30431"/>
    <w:rsid w:val="4AA33382"/>
    <w:rsid w:val="4AA466DB"/>
    <w:rsid w:val="4AA523FB"/>
    <w:rsid w:val="4AA64F47"/>
    <w:rsid w:val="4AA863C1"/>
    <w:rsid w:val="4AA96C38"/>
    <w:rsid w:val="4AAB6C21"/>
    <w:rsid w:val="4AAC3789"/>
    <w:rsid w:val="4AAE5753"/>
    <w:rsid w:val="4AB30AAE"/>
    <w:rsid w:val="4ABC2D4A"/>
    <w:rsid w:val="4ABF34BD"/>
    <w:rsid w:val="4ABF7097"/>
    <w:rsid w:val="4AC03B87"/>
    <w:rsid w:val="4AC06393"/>
    <w:rsid w:val="4AC42881"/>
    <w:rsid w:val="4AC72371"/>
    <w:rsid w:val="4ACB764B"/>
    <w:rsid w:val="4AD04D95"/>
    <w:rsid w:val="4AD16E75"/>
    <w:rsid w:val="4AD350A4"/>
    <w:rsid w:val="4AD764A4"/>
    <w:rsid w:val="4ADA1681"/>
    <w:rsid w:val="4ADF5E03"/>
    <w:rsid w:val="4AE73D70"/>
    <w:rsid w:val="4AEB2504"/>
    <w:rsid w:val="4AED1DBA"/>
    <w:rsid w:val="4AF51A4F"/>
    <w:rsid w:val="4AF82570"/>
    <w:rsid w:val="4AFD5D93"/>
    <w:rsid w:val="4B014227"/>
    <w:rsid w:val="4B06798C"/>
    <w:rsid w:val="4B0E6A3E"/>
    <w:rsid w:val="4B1355B6"/>
    <w:rsid w:val="4B18465C"/>
    <w:rsid w:val="4B2257F9"/>
    <w:rsid w:val="4B245008"/>
    <w:rsid w:val="4B271062"/>
    <w:rsid w:val="4B2B1A79"/>
    <w:rsid w:val="4B2C6678"/>
    <w:rsid w:val="4B2D58AE"/>
    <w:rsid w:val="4B2D6C05"/>
    <w:rsid w:val="4B310E2D"/>
    <w:rsid w:val="4B320132"/>
    <w:rsid w:val="4B371829"/>
    <w:rsid w:val="4B3A5748"/>
    <w:rsid w:val="4B3A6FE7"/>
    <w:rsid w:val="4B3C5727"/>
    <w:rsid w:val="4B4C55F8"/>
    <w:rsid w:val="4B5366E5"/>
    <w:rsid w:val="4B571947"/>
    <w:rsid w:val="4B5E6C72"/>
    <w:rsid w:val="4B6A3785"/>
    <w:rsid w:val="4B6A6AB1"/>
    <w:rsid w:val="4B6C49E5"/>
    <w:rsid w:val="4B6D2F19"/>
    <w:rsid w:val="4B700C5B"/>
    <w:rsid w:val="4B7557F7"/>
    <w:rsid w:val="4B7D6E26"/>
    <w:rsid w:val="4B83273C"/>
    <w:rsid w:val="4B854878"/>
    <w:rsid w:val="4B8778CD"/>
    <w:rsid w:val="4B9227C3"/>
    <w:rsid w:val="4B95246F"/>
    <w:rsid w:val="4B9B7FB0"/>
    <w:rsid w:val="4BA523E9"/>
    <w:rsid w:val="4BAA5463"/>
    <w:rsid w:val="4BAD1869"/>
    <w:rsid w:val="4BAF1783"/>
    <w:rsid w:val="4BAF33E3"/>
    <w:rsid w:val="4BB26B7D"/>
    <w:rsid w:val="4BBE4157"/>
    <w:rsid w:val="4BBF74EC"/>
    <w:rsid w:val="4BC0073D"/>
    <w:rsid w:val="4BC9159F"/>
    <w:rsid w:val="4BD026F4"/>
    <w:rsid w:val="4BD27220"/>
    <w:rsid w:val="4BD30473"/>
    <w:rsid w:val="4BD86D57"/>
    <w:rsid w:val="4BDC009E"/>
    <w:rsid w:val="4BDC56F8"/>
    <w:rsid w:val="4BDD24D2"/>
    <w:rsid w:val="4BDE0226"/>
    <w:rsid w:val="4BE312D6"/>
    <w:rsid w:val="4BEB3013"/>
    <w:rsid w:val="4BF50DC0"/>
    <w:rsid w:val="4BFC24EE"/>
    <w:rsid w:val="4BFC3701"/>
    <w:rsid w:val="4C001FDF"/>
    <w:rsid w:val="4C0845B9"/>
    <w:rsid w:val="4C0A69B9"/>
    <w:rsid w:val="4C0C31F6"/>
    <w:rsid w:val="4C107007"/>
    <w:rsid w:val="4C12586E"/>
    <w:rsid w:val="4C13619C"/>
    <w:rsid w:val="4C143CE2"/>
    <w:rsid w:val="4C167C35"/>
    <w:rsid w:val="4C175E75"/>
    <w:rsid w:val="4C1930A0"/>
    <w:rsid w:val="4C1A4723"/>
    <w:rsid w:val="4C1B0BC7"/>
    <w:rsid w:val="4C204A92"/>
    <w:rsid w:val="4C2577FF"/>
    <w:rsid w:val="4C2832E3"/>
    <w:rsid w:val="4C2B0D22"/>
    <w:rsid w:val="4C2E1CC1"/>
    <w:rsid w:val="4C312198"/>
    <w:rsid w:val="4C32269B"/>
    <w:rsid w:val="4C3457E4"/>
    <w:rsid w:val="4C384C3D"/>
    <w:rsid w:val="4C3C0B3D"/>
    <w:rsid w:val="4C3C28EB"/>
    <w:rsid w:val="4C3E2B07"/>
    <w:rsid w:val="4C3E48B5"/>
    <w:rsid w:val="4C4109A5"/>
    <w:rsid w:val="4C45100A"/>
    <w:rsid w:val="4C455C43"/>
    <w:rsid w:val="4C4A14AC"/>
    <w:rsid w:val="4C4B1E4A"/>
    <w:rsid w:val="4C4E4FDD"/>
    <w:rsid w:val="4C4E5A55"/>
    <w:rsid w:val="4C510646"/>
    <w:rsid w:val="4C5C4D3B"/>
    <w:rsid w:val="4C5F30D6"/>
    <w:rsid w:val="4C6A599C"/>
    <w:rsid w:val="4C6B550C"/>
    <w:rsid w:val="4C6D4932"/>
    <w:rsid w:val="4C735937"/>
    <w:rsid w:val="4C86651A"/>
    <w:rsid w:val="4C8979CC"/>
    <w:rsid w:val="4C8F4137"/>
    <w:rsid w:val="4C8F5834"/>
    <w:rsid w:val="4C912C37"/>
    <w:rsid w:val="4C922AEB"/>
    <w:rsid w:val="4C9240F7"/>
    <w:rsid w:val="4C9E7102"/>
    <w:rsid w:val="4CA138D5"/>
    <w:rsid w:val="4CA7245A"/>
    <w:rsid w:val="4CA75A30"/>
    <w:rsid w:val="4CA95D3E"/>
    <w:rsid w:val="4CB07C88"/>
    <w:rsid w:val="4CB4212F"/>
    <w:rsid w:val="4CB541CC"/>
    <w:rsid w:val="4CB9218D"/>
    <w:rsid w:val="4CBB1996"/>
    <w:rsid w:val="4CBD1C7E"/>
    <w:rsid w:val="4CBD3A2C"/>
    <w:rsid w:val="4CBF2147"/>
    <w:rsid w:val="4CBF54BB"/>
    <w:rsid w:val="4CC45A35"/>
    <w:rsid w:val="4CC94FBD"/>
    <w:rsid w:val="4CCB4B47"/>
    <w:rsid w:val="4CCC3A0C"/>
    <w:rsid w:val="4CCE2C6A"/>
    <w:rsid w:val="4CCF375F"/>
    <w:rsid w:val="4CE05222"/>
    <w:rsid w:val="4CE247DE"/>
    <w:rsid w:val="4CEC2985"/>
    <w:rsid w:val="4CED6F5E"/>
    <w:rsid w:val="4CF100A3"/>
    <w:rsid w:val="4CF27F10"/>
    <w:rsid w:val="4CF4062E"/>
    <w:rsid w:val="4CF431C6"/>
    <w:rsid w:val="4CF44F18"/>
    <w:rsid w:val="4CF80B4D"/>
    <w:rsid w:val="4CFA4C80"/>
    <w:rsid w:val="4CFE0CCC"/>
    <w:rsid w:val="4D027691"/>
    <w:rsid w:val="4D044633"/>
    <w:rsid w:val="4D051315"/>
    <w:rsid w:val="4D056551"/>
    <w:rsid w:val="4D063625"/>
    <w:rsid w:val="4D090A1F"/>
    <w:rsid w:val="4D0E7075"/>
    <w:rsid w:val="4D0F1DAD"/>
    <w:rsid w:val="4D0F1DE0"/>
    <w:rsid w:val="4D10183F"/>
    <w:rsid w:val="4D102397"/>
    <w:rsid w:val="4D102794"/>
    <w:rsid w:val="4D145BD5"/>
    <w:rsid w:val="4D152015"/>
    <w:rsid w:val="4D1900AA"/>
    <w:rsid w:val="4D1C23CB"/>
    <w:rsid w:val="4D1C2599"/>
    <w:rsid w:val="4D272B73"/>
    <w:rsid w:val="4D280A86"/>
    <w:rsid w:val="4D3A1670"/>
    <w:rsid w:val="4D3A5965"/>
    <w:rsid w:val="4D3B2BA3"/>
    <w:rsid w:val="4D405DB8"/>
    <w:rsid w:val="4D410246"/>
    <w:rsid w:val="4D447ACC"/>
    <w:rsid w:val="4D492C42"/>
    <w:rsid w:val="4D4C4DB0"/>
    <w:rsid w:val="4D504306"/>
    <w:rsid w:val="4D530F05"/>
    <w:rsid w:val="4D531869"/>
    <w:rsid w:val="4D564939"/>
    <w:rsid w:val="4D571ED5"/>
    <w:rsid w:val="4D5A1DF1"/>
    <w:rsid w:val="4D5C122A"/>
    <w:rsid w:val="4D5E574B"/>
    <w:rsid w:val="4D663F2B"/>
    <w:rsid w:val="4D673568"/>
    <w:rsid w:val="4D6B6E96"/>
    <w:rsid w:val="4D6C1F47"/>
    <w:rsid w:val="4D707E78"/>
    <w:rsid w:val="4D796160"/>
    <w:rsid w:val="4D7A36CB"/>
    <w:rsid w:val="4D7B011C"/>
    <w:rsid w:val="4D7B2AC0"/>
    <w:rsid w:val="4D820DE4"/>
    <w:rsid w:val="4D824589"/>
    <w:rsid w:val="4D83238D"/>
    <w:rsid w:val="4D864FA1"/>
    <w:rsid w:val="4D8F1F25"/>
    <w:rsid w:val="4D907ADE"/>
    <w:rsid w:val="4D93263F"/>
    <w:rsid w:val="4D93589B"/>
    <w:rsid w:val="4D9F2768"/>
    <w:rsid w:val="4D9F3131"/>
    <w:rsid w:val="4DA36860"/>
    <w:rsid w:val="4DA644C0"/>
    <w:rsid w:val="4DA77A39"/>
    <w:rsid w:val="4DA92202"/>
    <w:rsid w:val="4DAA2DF3"/>
    <w:rsid w:val="4DAF2A8E"/>
    <w:rsid w:val="4DB203CE"/>
    <w:rsid w:val="4DB32F5A"/>
    <w:rsid w:val="4DBA514A"/>
    <w:rsid w:val="4DBE6EA4"/>
    <w:rsid w:val="4DC16DD5"/>
    <w:rsid w:val="4DC24DEA"/>
    <w:rsid w:val="4DC42B98"/>
    <w:rsid w:val="4DC564B9"/>
    <w:rsid w:val="4DCC40A8"/>
    <w:rsid w:val="4DCE1C69"/>
    <w:rsid w:val="4DD03C33"/>
    <w:rsid w:val="4DD42115"/>
    <w:rsid w:val="4DD80599"/>
    <w:rsid w:val="4DDF549A"/>
    <w:rsid w:val="4DDF5C24"/>
    <w:rsid w:val="4DE03A45"/>
    <w:rsid w:val="4DE1708D"/>
    <w:rsid w:val="4DE430CC"/>
    <w:rsid w:val="4DE43B63"/>
    <w:rsid w:val="4DE4512B"/>
    <w:rsid w:val="4DEB2AE6"/>
    <w:rsid w:val="4DF53699"/>
    <w:rsid w:val="4DF60B23"/>
    <w:rsid w:val="4DF63134"/>
    <w:rsid w:val="4DF72106"/>
    <w:rsid w:val="4DF96CE5"/>
    <w:rsid w:val="4DFD1DF6"/>
    <w:rsid w:val="4E00332C"/>
    <w:rsid w:val="4E011D6D"/>
    <w:rsid w:val="4E035DB6"/>
    <w:rsid w:val="4E0373C2"/>
    <w:rsid w:val="4E04568A"/>
    <w:rsid w:val="4E080364"/>
    <w:rsid w:val="4E16389C"/>
    <w:rsid w:val="4E191136"/>
    <w:rsid w:val="4E1A089B"/>
    <w:rsid w:val="4E1B282B"/>
    <w:rsid w:val="4E1C74B5"/>
    <w:rsid w:val="4E1F448C"/>
    <w:rsid w:val="4E2728E6"/>
    <w:rsid w:val="4E2F6BAB"/>
    <w:rsid w:val="4E351C41"/>
    <w:rsid w:val="4E373ED8"/>
    <w:rsid w:val="4E387150"/>
    <w:rsid w:val="4E3A1984"/>
    <w:rsid w:val="4E3F346B"/>
    <w:rsid w:val="4E434961"/>
    <w:rsid w:val="4E4E3DD0"/>
    <w:rsid w:val="4E4F3CFF"/>
    <w:rsid w:val="4E552CA5"/>
    <w:rsid w:val="4E564138"/>
    <w:rsid w:val="4E575F07"/>
    <w:rsid w:val="4E592BD4"/>
    <w:rsid w:val="4E67600B"/>
    <w:rsid w:val="4E714D85"/>
    <w:rsid w:val="4E761827"/>
    <w:rsid w:val="4E7B2B8D"/>
    <w:rsid w:val="4E7E71EB"/>
    <w:rsid w:val="4E7F64F1"/>
    <w:rsid w:val="4E810A89"/>
    <w:rsid w:val="4E851C91"/>
    <w:rsid w:val="4E922FFC"/>
    <w:rsid w:val="4E984750"/>
    <w:rsid w:val="4E992277"/>
    <w:rsid w:val="4E9B245D"/>
    <w:rsid w:val="4E9B7D9D"/>
    <w:rsid w:val="4E9F1430"/>
    <w:rsid w:val="4EA62512"/>
    <w:rsid w:val="4EA918F7"/>
    <w:rsid w:val="4EA94205"/>
    <w:rsid w:val="4EAD5D22"/>
    <w:rsid w:val="4EB24A1E"/>
    <w:rsid w:val="4EB470B0"/>
    <w:rsid w:val="4EB52EAD"/>
    <w:rsid w:val="4EB66985"/>
    <w:rsid w:val="4EB85C2B"/>
    <w:rsid w:val="4EB94BC3"/>
    <w:rsid w:val="4EBD5DF9"/>
    <w:rsid w:val="4EC56BC8"/>
    <w:rsid w:val="4EC56D86"/>
    <w:rsid w:val="4EC966C5"/>
    <w:rsid w:val="4ECB2CC2"/>
    <w:rsid w:val="4ED13458"/>
    <w:rsid w:val="4ED16532"/>
    <w:rsid w:val="4ED67027"/>
    <w:rsid w:val="4EDB57AF"/>
    <w:rsid w:val="4EDC198E"/>
    <w:rsid w:val="4EDE17B5"/>
    <w:rsid w:val="4EDE600D"/>
    <w:rsid w:val="4EDF3DE5"/>
    <w:rsid w:val="4EE03C2E"/>
    <w:rsid w:val="4EE348C8"/>
    <w:rsid w:val="4EE61D62"/>
    <w:rsid w:val="4EE94FAC"/>
    <w:rsid w:val="4EED611E"/>
    <w:rsid w:val="4EF433CA"/>
    <w:rsid w:val="4EF529CD"/>
    <w:rsid w:val="4EF62B6C"/>
    <w:rsid w:val="4EF65EE6"/>
    <w:rsid w:val="4EFA2AB9"/>
    <w:rsid w:val="4EFE7134"/>
    <w:rsid w:val="4F044A22"/>
    <w:rsid w:val="4F0973FC"/>
    <w:rsid w:val="4F10078B"/>
    <w:rsid w:val="4F102AAD"/>
    <w:rsid w:val="4F105C92"/>
    <w:rsid w:val="4F1418FD"/>
    <w:rsid w:val="4F1B0EDE"/>
    <w:rsid w:val="4F1B34DF"/>
    <w:rsid w:val="4F2268D9"/>
    <w:rsid w:val="4F2E0C11"/>
    <w:rsid w:val="4F3105A4"/>
    <w:rsid w:val="4F3B1580"/>
    <w:rsid w:val="4F42646A"/>
    <w:rsid w:val="4F443F90"/>
    <w:rsid w:val="4F4531D3"/>
    <w:rsid w:val="4F477E65"/>
    <w:rsid w:val="4F4C1CDC"/>
    <w:rsid w:val="4F4C3DBC"/>
    <w:rsid w:val="4F520A65"/>
    <w:rsid w:val="4F5B1EA1"/>
    <w:rsid w:val="4F602385"/>
    <w:rsid w:val="4F625AD8"/>
    <w:rsid w:val="4F672F12"/>
    <w:rsid w:val="4F6C0472"/>
    <w:rsid w:val="4F6E6F23"/>
    <w:rsid w:val="4F6F2AB0"/>
    <w:rsid w:val="4F6F4A0F"/>
    <w:rsid w:val="4F702C6B"/>
    <w:rsid w:val="4F711DB9"/>
    <w:rsid w:val="4F7156CC"/>
    <w:rsid w:val="4F727E5D"/>
    <w:rsid w:val="4F79232C"/>
    <w:rsid w:val="4F7B372A"/>
    <w:rsid w:val="4F7B769C"/>
    <w:rsid w:val="4F7F023F"/>
    <w:rsid w:val="4F822D0B"/>
    <w:rsid w:val="4F8E6E2A"/>
    <w:rsid w:val="4F8E7901"/>
    <w:rsid w:val="4F8F3A50"/>
    <w:rsid w:val="4F967BDF"/>
    <w:rsid w:val="4F97346B"/>
    <w:rsid w:val="4F9A0054"/>
    <w:rsid w:val="4F9B3EA6"/>
    <w:rsid w:val="4F9D3290"/>
    <w:rsid w:val="4FA06318"/>
    <w:rsid w:val="4FA41888"/>
    <w:rsid w:val="4FA56B4D"/>
    <w:rsid w:val="4FA91628"/>
    <w:rsid w:val="4FA91AB7"/>
    <w:rsid w:val="4FA93450"/>
    <w:rsid w:val="4FB11DBF"/>
    <w:rsid w:val="4FB1539E"/>
    <w:rsid w:val="4FB732C0"/>
    <w:rsid w:val="4FB80990"/>
    <w:rsid w:val="4FBB4ACE"/>
    <w:rsid w:val="4FC136E7"/>
    <w:rsid w:val="4FCA73EA"/>
    <w:rsid w:val="4FCC2F58"/>
    <w:rsid w:val="4FD24A8F"/>
    <w:rsid w:val="4FD844A6"/>
    <w:rsid w:val="4FDB395E"/>
    <w:rsid w:val="4FE46F56"/>
    <w:rsid w:val="4FE70854"/>
    <w:rsid w:val="4FE71AF7"/>
    <w:rsid w:val="4FE90FDC"/>
    <w:rsid w:val="4FE92D8A"/>
    <w:rsid w:val="4FF0236A"/>
    <w:rsid w:val="4FF56780"/>
    <w:rsid w:val="4FF82FCD"/>
    <w:rsid w:val="4FFA1DA8"/>
    <w:rsid w:val="5003084A"/>
    <w:rsid w:val="50067498"/>
    <w:rsid w:val="50071620"/>
    <w:rsid w:val="500B32A2"/>
    <w:rsid w:val="500B500F"/>
    <w:rsid w:val="500C19CB"/>
    <w:rsid w:val="500D6A78"/>
    <w:rsid w:val="50100316"/>
    <w:rsid w:val="5019494D"/>
    <w:rsid w:val="501C3A50"/>
    <w:rsid w:val="501F17AD"/>
    <w:rsid w:val="50224B06"/>
    <w:rsid w:val="50243DC2"/>
    <w:rsid w:val="50267B3A"/>
    <w:rsid w:val="502E382D"/>
    <w:rsid w:val="502F2E92"/>
    <w:rsid w:val="50362EF9"/>
    <w:rsid w:val="503B1837"/>
    <w:rsid w:val="503B7078"/>
    <w:rsid w:val="503F41BE"/>
    <w:rsid w:val="503F6741"/>
    <w:rsid w:val="50406E4E"/>
    <w:rsid w:val="50407A59"/>
    <w:rsid w:val="50440BC2"/>
    <w:rsid w:val="504547E3"/>
    <w:rsid w:val="50497336"/>
    <w:rsid w:val="504B0035"/>
    <w:rsid w:val="504D3319"/>
    <w:rsid w:val="50507683"/>
    <w:rsid w:val="5051105B"/>
    <w:rsid w:val="50562232"/>
    <w:rsid w:val="505948E3"/>
    <w:rsid w:val="505C355C"/>
    <w:rsid w:val="505D014C"/>
    <w:rsid w:val="50612832"/>
    <w:rsid w:val="5064435A"/>
    <w:rsid w:val="506C1659"/>
    <w:rsid w:val="506D39BB"/>
    <w:rsid w:val="506E36EA"/>
    <w:rsid w:val="506F14E1"/>
    <w:rsid w:val="50720FD1"/>
    <w:rsid w:val="50730073"/>
    <w:rsid w:val="50741864"/>
    <w:rsid w:val="507977C0"/>
    <w:rsid w:val="507B046A"/>
    <w:rsid w:val="507B60CF"/>
    <w:rsid w:val="507C01AF"/>
    <w:rsid w:val="507D4F4A"/>
    <w:rsid w:val="5080549C"/>
    <w:rsid w:val="50814E31"/>
    <w:rsid w:val="50835324"/>
    <w:rsid w:val="50841BB7"/>
    <w:rsid w:val="50875729"/>
    <w:rsid w:val="50896FA6"/>
    <w:rsid w:val="508D32EF"/>
    <w:rsid w:val="50966A6E"/>
    <w:rsid w:val="509B374F"/>
    <w:rsid w:val="50A32F39"/>
    <w:rsid w:val="50A55C69"/>
    <w:rsid w:val="50A70C7B"/>
    <w:rsid w:val="50A81B62"/>
    <w:rsid w:val="50AA42C7"/>
    <w:rsid w:val="50AA6401"/>
    <w:rsid w:val="50AC430F"/>
    <w:rsid w:val="50AF1094"/>
    <w:rsid w:val="50B0470B"/>
    <w:rsid w:val="50B851CE"/>
    <w:rsid w:val="50BA0BE5"/>
    <w:rsid w:val="50BC224C"/>
    <w:rsid w:val="50C35389"/>
    <w:rsid w:val="50C53825"/>
    <w:rsid w:val="50CA6229"/>
    <w:rsid w:val="50D70E34"/>
    <w:rsid w:val="50D94DC5"/>
    <w:rsid w:val="50E70841"/>
    <w:rsid w:val="50E76465"/>
    <w:rsid w:val="50E960C0"/>
    <w:rsid w:val="50F5310A"/>
    <w:rsid w:val="50F83999"/>
    <w:rsid w:val="51065C9E"/>
    <w:rsid w:val="511427D3"/>
    <w:rsid w:val="51165286"/>
    <w:rsid w:val="511A58F1"/>
    <w:rsid w:val="51211149"/>
    <w:rsid w:val="51216039"/>
    <w:rsid w:val="512B0369"/>
    <w:rsid w:val="512C5624"/>
    <w:rsid w:val="512F6EC2"/>
    <w:rsid w:val="513663DB"/>
    <w:rsid w:val="513833F9"/>
    <w:rsid w:val="51396CBD"/>
    <w:rsid w:val="513C54D2"/>
    <w:rsid w:val="51400CBB"/>
    <w:rsid w:val="51452242"/>
    <w:rsid w:val="514C537E"/>
    <w:rsid w:val="515376B9"/>
    <w:rsid w:val="51556479"/>
    <w:rsid w:val="51575083"/>
    <w:rsid w:val="515E4151"/>
    <w:rsid w:val="51621046"/>
    <w:rsid w:val="51622043"/>
    <w:rsid w:val="5163251D"/>
    <w:rsid w:val="5169052A"/>
    <w:rsid w:val="516C5A20"/>
    <w:rsid w:val="51703763"/>
    <w:rsid w:val="517224F3"/>
    <w:rsid w:val="51800EE8"/>
    <w:rsid w:val="5181771E"/>
    <w:rsid w:val="51883C9A"/>
    <w:rsid w:val="518C0F90"/>
    <w:rsid w:val="518D5141"/>
    <w:rsid w:val="518F170F"/>
    <w:rsid w:val="51952BC5"/>
    <w:rsid w:val="51954F77"/>
    <w:rsid w:val="519B6306"/>
    <w:rsid w:val="519E5909"/>
    <w:rsid w:val="519E78D2"/>
    <w:rsid w:val="519F2D2C"/>
    <w:rsid w:val="51A215D3"/>
    <w:rsid w:val="51A26F77"/>
    <w:rsid w:val="51A451BA"/>
    <w:rsid w:val="51B007CA"/>
    <w:rsid w:val="51B2723B"/>
    <w:rsid w:val="51B33EFA"/>
    <w:rsid w:val="51B573C7"/>
    <w:rsid w:val="51B71C82"/>
    <w:rsid w:val="51BD6D20"/>
    <w:rsid w:val="51C204C5"/>
    <w:rsid w:val="51C21086"/>
    <w:rsid w:val="51C71491"/>
    <w:rsid w:val="51C838E3"/>
    <w:rsid w:val="51CA025F"/>
    <w:rsid w:val="51CE3DE8"/>
    <w:rsid w:val="51D34090"/>
    <w:rsid w:val="51DE2EDE"/>
    <w:rsid w:val="51DE6B69"/>
    <w:rsid w:val="51DF28D6"/>
    <w:rsid w:val="51DF4444"/>
    <w:rsid w:val="51E27A91"/>
    <w:rsid w:val="51E5039F"/>
    <w:rsid w:val="51E50D09"/>
    <w:rsid w:val="51E732F9"/>
    <w:rsid w:val="51E83CDC"/>
    <w:rsid w:val="51E91768"/>
    <w:rsid w:val="51EC318F"/>
    <w:rsid w:val="51EC394B"/>
    <w:rsid w:val="51ED625C"/>
    <w:rsid w:val="51F11CA6"/>
    <w:rsid w:val="51F712B8"/>
    <w:rsid w:val="51FC1B6B"/>
    <w:rsid w:val="51FD3F5E"/>
    <w:rsid w:val="51FF2114"/>
    <w:rsid w:val="52010037"/>
    <w:rsid w:val="520806F5"/>
    <w:rsid w:val="520B0763"/>
    <w:rsid w:val="520B6D6E"/>
    <w:rsid w:val="520B73AA"/>
    <w:rsid w:val="52102850"/>
    <w:rsid w:val="52157172"/>
    <w:rsid w:val="5217598C"/>
    <w:rsid w:val="521E4261"/>
    <w:rsid w:val="5222097A"/>
    <w:rsid w:val="52263EE2"/>
    <w:rsid w:val="52265797"/>
    <w:rsid w:val="52280467"/>
    <w:rsid w:val="522B2D96"/>
    <w:rsid w:val="52316B3E"/>
    <w:rsid w:val="52352B08"/>
    <w:rsid w:val="52374280"/>
    <w:rsid w:val="523A6B31"/>
    <w:rsid w:val="523C3645"/>
    <w:rsid w:val="523F1387"/>
    <w:rsid w:val="523F3135"/>
    <w:rsid w:val="523F4825"/>
    <w:rsid w:val="52410C5B"/>
    <w:rsid w:val="5244074B"/>
    <w:rsid w:val="52442D54"/>
    <w:rsid w:val="52471B6A"/>
    <w:rsid w:val="52481D3D"/>
    <w:rsid w:val="524B1ADA"/>
    <w:rsid w:val="524B7D2C"/>
    <w:rsid w:val="524E491B"/>
    <w:rsid w:val="52516D08"/>
    <w:rsid w:val="525314BC"/>
    <w:rsid w:val="526079A7"/>
    <w:rsid w:val="52612386"/>
    <w:rsid w:val="52635075"/>
    <w:rsid w:val="526D3444"/>
    <w:rsid w:val="526D776F"/>
    <w:rsid w:val="526F3629"/>
    <w:rsid w:val="52714676"/>
    <w:rsid w:val="5276383A"/>
    <w:rsid w:val="527706FC"/>
    <w:rsid w:val="52783E71"/>
    <w:rsid w:val="527D14CC"/>
    <w:rsid w:val="52862B12"/>
    <w:rsid w:val="52881CAE"/>
    <w:rsid w:val="52882A51"/>
    <w:rsid w:val="528C16EB"/>
    <w:rsid w:val="528C614E"/>
    <w:rsid w:val="528F2803"/>
    <w:rsid w:val="5294522F"/>
    <w:rsid w:val="5295500F"/>
    <w:rsid w:val="52957497"/>
    <w:rsid w:val="529704A2"/>
    <w:rsid w:val="529855FD"/>
    <w:rsid w:val="529A4104"/>
    <w:rsid w:val="52A47C0E"/>
    <w:rsid w:val="52A6710E"/>
    <w:rsid w:val="52B24C19"/>
    <w:rsid w:val="52BA5554"/>
    <w:rsid w:val="52BB083C"/>
    <w:rsid w:val="52BE04FE"/>
    <w:rsid w:val="52BE22AC"/>
    <w:rsid w:val="52C01350"/>
    <w:rsid w:val="52C14A1A"/>
    <w:rsid w:val="52C7304C"/>
    <w:rsid w:val="52C90449"/>
    <w:rsid w:val="52CC5E32"/>
    <w:rsid w:val="52CC76D1"/>
    <w:rsid w:val="52CF270B"/>
    <w:rsid w:val="52CF6267"/>
    <w:rsid w:val="52D6499F"/>
    <w:rsid w:val="52D65847"/>
    <w:rsid w:val="52D7511B"/>
    <w:rsid w:val="52D83D75"/>
    <w:rsid w:val="52D93A12"/>
    <w:rsid w:val="52DD0406"/>
    <w:rsid w:val="52E24E57"/>
    <w:rsid w:val="52E75B7C"/>
    <w:rsid w:val="52EA4FDB"/>
    <w:rsid w:val="52EC2116"/>
    <w:rsid w:val="52F21A03"/>
    <w:rsid w:val="52F537F4"/>
    <w:rsid w:val="52F757BE"/>
    <w:rsid w:val="52FF004D"/>
    <w:rsid w:val="53053B16"/>
    <w:rsid w:val="53053D0D"/>
    <w:rsid w:val="531050EF"/>
    <w:rsid w:val="53105DAE"/>
    <w:rsid w:val="53154F7C"/>
    <w:rsid w:val="53182FAD"/>
    <w:rsid w:val="53193BE6"/>
    <w:rsid w:val="53195C14"/>
    <w:rsid w:val="531B2E61"/>
    <w:rsid w:val="531D7790"/>
    <w:rsid w:val="531E532B"/>
    <w:rsid w:val="53225DE2"/>
    <w:rsid w:val="53233749"/>
    <w:rsid w:val="532A7941"/>
    <w:rsid w:val="532F74D8"/>
    <w:rsid w:val="53300549"/>
    <w:rsid w:val="53310CD0"/>
    <w:rsid w:val="53394028"/>
    <w:rsid w:val="533B38FC"/>
    <w:rsid w:val="533E6F18"/>
    <w:rsid w:val="53426BBF"/>
    <w:rsid w:val="5346218D"/>
    <w:rsid w:val="534D53DE"/>
    <w:rsid w:val="534E0309"/>
    <w:rsid w:val="534E311E"/>
    <w:rsid w:val="534F70CE"/>
    <w:rsid w:val="535126EC"/>
    <w:rsid w:val="5356226F"/>
    <w:rsid w:val="53564AF5"/>
    <w:rsid w:val="536912CC"/>
    <w:rsid w:val="53691933"/>
    <w:rsid w:val="53760DD8"/>
    <w:rsid w:val="537B1F4B"/>
    <w:rsid w:val="537C15C1"/>
    <w:rsid w:val="537E7FD9"/>
    <w:rsid w:val="53861684"/>
    <w:rsid w:val="53874193"/>
    <w:rsid w:val="5392563E"/>
    <w:rsid w:val="53952289"/>
    <w:rsid w:val="53966D85"/>
    <w:rsid w:val="53987DB3"/>
    <w:rsid w:val="539B6029"/>
    <w:rsid w:val="539C4087"/>
    <w:rsid w:val="53A32676"/>
    <w:rsid w:val="53A53847"/>
    <w:rsid w:val="53AE2320"/>
    <w:rsid w:val="53B25E52"/>
    <w:rsid w:val="53B4516A"/>
    <w:rsid w:val="53BA6F17"/>
    <w:rsid w:val="53C54664"/>
    <w:rsid w:val="53C61C25"/>
    <w:rsid w:val="53C658BC"/>
    <w:rsid w:val="53CC50EF"/>
    <w:rsid w:val="53D729C9"/>
    <w:rsid w:val="53DB6F34"/>
    <w:rsid w:val="53E150D9"/>
    <w:rsid w:val="53E421E6"/>
    <w:rsid w:val="53E45D42"/>
    <w:rsid w:val="53E64F60"/>
    <w:rsid w:val="53EC109A"/>
    <w:rsid w:val="53EC1857"/>
    <w:rsid w:val="53F70FE3"/>
    <w:rsid w:val="53FA5969"/>
    <w:rsid w:val="5400361E"/>
    <w:rsid w:val="540168F4"/>
    <w:rsid w:val="54065CEC"/>
    <w:rsid w:val="540939FA"/>
    <w:rsid w:val="540B1521"/>
    <w:rsid w:val="540B7773"/>
    <w:rsid w:val="540F762E"/>
    <w:rsid w:val="54125F78"/>
    <w:rsid w:val="54175EDF"/>
    <w:rsid w:val="54183C3E"/>
    <w:rsid w:val="541F4FCC"/>
    <w:rsid w:val="542021A5"/>
    <w:rsid w:val="54330F82"/>
    <w:rsid w:val="54333F3D"/>
    <w:rsid w:val="543511B8"/>
    <w:rsid w:val="54352C91"/>
    <w:rsid w:val="543672DA"/>
    <w:rsid w:val="543E3FE6"/>
    <w:rsid w:val="54414F42"/>
    <w:rsid w:val="54462559"/>
    <w:rsid w:val="54487F8F"/>
    <w:rsid w:val="544C4D8B"/>
    <w:rsid w:val="544C7E09"/>
    <w:rsid w:val="545033D7"/>
    <w:rsid w:val="54534C76"/>
    <w:rsid w:val="545A462C"/>
    <w:rsid w:val="545A7086"/>
    <w:rsid w:val="546106DE"/>
    <w:rsid w:val="546926EB"/>
    <w:rsid w:val="546935EB"/>
    <w:rsid w:val="54694499"/>
    <w:rsid w:val="546C5D7F"/>
    <w:rsid w:val="546D1ABE"/>
    <w:rsid w:val="546D21DB"/>
    <w:rsid w:val="546E47F5"/>
    <w:rsid w:val="546F5CF7"/>
    <w:rsid w:val="54704386"/>
    <w:rsid w:val="54745318"/>
    <w:rsid w:val="54754BEC"/>
    <w:rsid w:val="547831AD"/>
    <w:rsid w:val="547A52F1"/>
    <w:rsid w:val="547E1797"/>
    <w:rsid w:val="547F1F0F"/>
    <w:rsid w:val="548337C0"/>
    <w:rsid w:val="54834A12"/>
    <w:rsid w:val="54853CAF"/>
    <w:rsid w:val="54877DC4"/>
    <w:rsid w:val="548A79DA"/>
    <w:rsid w:val="548D1E9D"/>
    <w:rsid w:val="548E2032"/>
    <w:rsid w:val="54914D2D"/>
    <w:rsid w:val="54920EE8"/>
    <w:rsid w:val="5493440E"/>
    <w:rsid w:val="54956660"/>
    <w:rsid w:val="54963DA0"/>
    <w:rsid w:val="54A31759"/>
    <w:rsid w:val="54A71D29"/>
    <w:rsid w:val="54A743C9"/>
    <w:rsid w:val="54AD1579"/>
    <w:rsid w:val="54AD78EA"/>
    <w:rsid w:val="54AE6D43"/>
    <w:rsid w:val="54AF757F"/>
    <w:rsid w:val="54B042CB"/>
    <w:rsid w:val="54B4022F"/>
    <w:rsid w:val="54B43966"/>
    <w:rsid w:val="54B47C57"/>
    <w:rsid w:val="54BA11FF"/>
    <w:rsid w:val="54BA6E1F"/>
    <w:rsid w:val="54C17112"/>
    <w:rsid w:val="54C227E0"/>
    <w:rsid w:val="54C64427"/>
    <w:rsid w:val="54C94F38"/>
    <w:rsid w:val="54D315C4"/>
    <w:rsid w:val="54D43BFA"/>
    <w:rsid w:val="54D6053B"/>
    <w:rsid w:val="54DC4C6B"/>
    <w:rsid w:val="54DC6E47"/>
    <w:rsid w:val="54DE52B3"/>
    <w:rsid w:val="54DF320D"/>
    <w:rsid w:val="54E2227B"/>
    <w:rsid w:val="54E30ACD"/>
    <w:rsid w:val="54E51D72"/>
    <w:rsid w:val="54E80C2F"/>
    <w:rsid w:val="54EF259B"/>
    <w:rsid w:val="54EF5661"/>
    <w:rsid w:val="54F10143"/>
    <w:rsid w:val="54F1212A"/>
    <w:rsid w:val="54F2041B"/>
    <w:rsid w:val="54F41FB5"/>
    <w:rsid w:val="54F77CF7"/>
    <w:rsid w:val="54F921FB"/>
    <w:rsid w:val="54F975CB"/>
    <w:rsid w:val="550265A3"/>
    <w:rsid w:val="55097E56"/>
    <w:rsid w:val="550A5C7C"/>
    <w:rsid w:val="550E48DE"/>
    <w:rsid w:val="550F63D1"/>
    <w:rsid w:val="5511469E"/>
    <w:rsid w:val="55114C5C"/>
    <w:rsid w:val="55124B31"/>
    <w:rsid w:val="55130130"/>
    <w:rsid w:val="55154190"/>
    <w:rsid w:val="55182ABF"/>
    <w:rsid w:val="551B65FD"/>
    <w:rsid w:val="55260B40"/>
    <w:rsid w:val="552A59D6"/>
    <w:rsid w:val="552F06BE"/>
    <w:rsid w:val="552F0B5C"/>
    <w:rsid w:val="55325A37"/>
    <w:rsid w:val="55371493"/>
    <w:rsid w:val="55371A2E"/>
    <w:rsid w:val="553D1E59"/>
    <w:rsid w:val="553F3C63"/>
    <w:rsid w:val="553F4D49"/>
    <w:rsid w:val="55410F0D"/>
    <w:rsid w:val="554476D3"/>
    <w:rsid w:val="55452F19"/>
    <w:rsid w:val="55455BF6"/>
    <w:rsid w:val="55480552"/>
    <w:rsid w:val="55540CA5"/>
    <w:rsid w:val="55545183"/>
    <w:rsid w:val="555604F2"/>
    <w:rsid w:val="555D3FFE"/>
    <w:rsid w:val="555E06D4"/>
    <w:rsid w:val="556163B5"/>
    <w:rsid w:val="556D1D67"/>
    <w:rsid w:val="556D4C19"/>
    <w:rsid w:val="556F7686"/>
    <w:rsid w:val="557355CF"/>
    <w:rsid w:val="557747EE"/>
    <w:rsid w:val="557943A5"/>
    <w:rsid w:val="557E54D7"/>
    <w:rsid w:val="55827588"/>
    <w:rsid w:val="55833339"/>
    <w:rsid w:val="55835045"/>
    <w:rsid w:val="55855303"/>
    <w:rsid w:val="558C490B"/>
    <w:rsid w:val="558F09D2"/>
    <w:rsid w:val="55937A20"/>
    <w:rsid w:val="55945546"/>
    <w:rsid w:val="55957201"/>
    <w:rsid w:val="559612BE"/>
    <w:rsid w:val="55970198"/>
    <w:rsid w:val="55971D20"/>
    <w:rsid w:val="559A5CA9"/>
    <w:rsid w:val="559C6EE0"/>
    <w:rsid w:val="559D301D"/>
    <w:rsid w:val="559F1B3B"/>
    <w:rsid w:val="55A57E73"/>
    <w:rsid w:val="55A6040A"/>
    <w:rsid w:val="55AC0F0B"/>
    <w:rsid w:val="55AF565C"/>
    <w:rsid w:val="55B14516"/>
    <w:rsid w:val="55C44CFF"/>
    <w:rsid w:val="55C46700"/>
    <w:rsid w:val="55CA0F67"/>
    <w:rsid w:val="55CC3F76"/>
    <w:rsid w:val="55CF47D0"/>
    <w:rsid w:val="55D27455"/>
    <w:rsid w:val="55D3496E"/>
    <w:rsid w:val="55DA0456"/>
    <w:rsid w:val="55DB1802"/>
    <w:rsid w:val="55DB3175"/>
    <w:rsid w:val="55E50A19"/>
    <w:rsid w:val="55E93AE3"/>
    <w:rsid w:val="55F07611"/>
    <w:rsid w:val="55F348E9"/>
    <w:rsid w:val="55F34C1E"/>
    <w:rsid w:val="55FA081A"/>
    <w:rsid w:val="55FC242E"/>
    <w:rsid w:val="55FD30EB"/>
    <w:rsid w:val="55FE163A"/>
    <w:rsid w:val="56035998"/>
    <w:rsid w:val="560439A2"/>
    <w:rsid w:val="56076315"/>
    <w:rsid w:val="560A2BB2"/>
    <w:rsid w:val="56121EB3"/>
    <w:rsid w:val="5613290E"/>
    <w:rsid w:val="561870C5"/>
    <w:rsid w:val="561A1EEF"/>
    <w:rsid w:val="56237980"/>
    <w:rsid w:val="562B092C"/>
    <w:rsid w:val="562E14F6"/>
    <w:rsid w:val="562E7748"/>
    <w:rsid w:val="56300F2A"/>
    <w:rsid w:val="56344E50"/>
    <w:rsid w:val="56352885"/>
    <w:rsid w:val="56384D84"/>
    <w:rsid w:val="563B55EC"/>
    <w:rsid w:val="563E58EF"/>
    <w:rsid w:val="56446F6C"/>
    <w:rsid w:val="56491403"/>
    <w:rsid w:val="564B32F4"/>
    <w:rsid w:val="564D4072"/>
    <w:rsid w:val="565D3B8A"/>
    <w:rsid w:val="56617B1E"/>
    <w:rsid w:val="56632316"/>
    <w:rsid w:val="566363D6"/>
    <w:rsid w:val="5669176D"/>
    <w:rsid w:val="566B56EB"/>
    <w:rsid w:val="567009A0"/>
    <w:rsid w:val="56753C8D"/>
    <w:rsid w:val="567A5D59"/>
    <w:rsid w:val="567A6FD2"/>
    <w:rsid w:val="568104EF"/>
    <w:rsid w:val="56851B83"/>
    <w:rsid w:val="568B06F7"/>
    <w:rsid w:val="568D7467"/>
    <w:rsid w:val="568F066A"/>
    <w:rsid w:val="56920DDE"/>
    <w:rsid w:val="569277E8"/>
    <w:rsid w:val="56951575"/>
    <w:rsid w:val="56966AFF"/>
    <w:rsid w:val="56970914"/>
    <w:rsid w:val="5697353F"/>
    <w:rsid w:val="56991B10"/>
    <w:rsid w:val="569C3F31"/>
    <w:rsid w:val="56AE2780"/>
    <w:rsid w:val="56AE653C"/>
    <w:rsid w:val="56B40C1F"/>
    <w:rsid w:val="56C1680E"/>
    <w:rsid w:val="56C347E8"/>
    <w:rsid w:val="56C360E3"/>
    <w:rsid w:val="56C634EA"/>
    <w:rsid w:val="56CD0D0F"/>
    <w:rsid w:val="56CE4A87"/>
    <w:rsid w:val="56D76331"/>
    <w:rsid w:val="56D860A3"/>
    <w:rsid w:val="56DC4043"/>
    <w:rsid w:val="56E47444"/>
    <w:rsid w:val="56E71EC2"/>
    <w:rsid w:val="56E878F7"/>
    <w:rsid w:val="56EA5611"/>
    <w:rsid w:val="56F0190A"/>
    <w:rsid w:val="56F26B86"/>
    <w:rsid w:val="56F706AE"/>
    <w:rsid w:val="56F919E5"/>
    <w:rsid w:val="56FC7846"/>
    <w:rsid w:val="57037347"/>
    <w:rsid w:val="57037C29"/>
    <w:rsid w:val="57045951"/>
    <w:rsid w:val="57052050"/>
    <w:rsid w:val="57081581"/>
    <w:rsid w:val="570B199B"/>
    <w:rsid w:val="570D3802"/>
    <w:rsid w:val="57105851"/>
    <w:rsid w:val="571100C3"/>
    <w:rsid w:val="571132F2"/>
    <w:rsid w:val="5714693E"/>
    <w:rsid w:val="57152D23"/>
    <w:rsid w:val="57154464"/>
    <w:rsid w:val="57160908"/>
    <w:rsid w:val="57201787"/>
    <w:rsid w:val="57204FA9"/>
    <w:rsid w:val="57206913"/>
    <w:rsid w:val="5728063B"/>
    <w:rsid w:val="57322D7F"/>
    <w:rsid w:val="57327464"/>
    <w:rsid w:val="573B2778"/>
    <w:rsid w:val="57407733"/>
    <w:rsid w:val="574148B8"/>
    <w:rsid w:val="574952D1"/>
    <w:rsid w:val="57497DF5"/>
    <w:rsid w:val="574A6593"/>
    <w:rsid w:val="574C05C4"/>
    <w:rsid w:val="574D1084"/>
    <w:rsid w:val="57516EF7"/>
    <w:rsid w:val="575265BF"/>
    <w:rsid w:val="57566F57"/>
    <w:rsid w:val="576074E4"/>
    <w:rsid w:val="57634084"/>
    <w:rsid w:val="57660CB1"/>
    <w:rsid w:val="57682C5C"/>
    <w:rsid w:val="576F1DC6"/>
    <w:rsid w:val="577473DD"/>
    <w:rsid w:val="57765C4C"/>
    <w:rsid w:val="577671FB"/>
    <w:rsid w:val="57794FE0"/>
    <w:rsid w:val="577C2E20"/>
    <w:rsid w:val="577C5427"/>
    <w:rsid w:val="57812AC9"/>
    <w:rsid w:val="57815251"/>
    <w:rsid w:val="57836066"/>
    <w:rsid w:val="57846D8C"/>
    <w:rsid w:val="5785783C"/>
    <w:rsid w:val="57877110"/>
    <w:rsid w:val="57884788"/>
    <w:rsid w:val="578C0BCA"/>
    <w:rsid w:val="57976C6F"/>
    <w:rsid w:val="5798745C"/>
    <w:rsid w:val="579E7AF2"/>
    <w:rsid w:val="57A06E5D"/>
    <w:rsid w:val="57A82ED1"/>
    <w:rsid w:val="57A852D8"/>
    <w:rsid w:val="57AA6F52"/>
    <w:rsid w:val="57AC661C"/>
    <w:rsid w:val="57AF48B9"/>
    <w:rsid w:val="57B020D0"/>
    <w:rsid w:val="57B24E60"/>
    <w:rsid w:val="57B71519"/>
    <w:rsid w:val="57B86CDB"/>
    <w:rsid w:val="57BA2602"/>
    <w:rsid w:val="57BC6716"/>
    <w:rsid w:val="57BE3D95"/>
    <w:rsid w:val="57C06AC6"/>
    <w:rsid w:val="57C245EC"/>
    <w:rsid w:val="57C2639A"/>
    <w:rsid w:val="57C35F98"/>
    <w:rsid w:val="57CA34A1"/>
    <w:rsid w:val="57CC0FC7"/>
    <w:rsid w:val="57CC546B"/>
    <w:rsid w:val="57D24779"/>
    <w:rsid w:val="57D305A7"/>
    <w:rsid w:val="57D80E3F"/>
    <w:rsid w:val="57D8796C"/>
    <w:rsid w:val="57DA1E7E"/>
    <w:rsid w:val="57DB745C"/>
    <w:rsid w:val="57E837D2"/>
    <w:rsid w:val="57EA769F"/>
    <w:rsid w:val="57EB172B"/>
    <w:rsid w:val="57EF2D2E"/>
    <w:rsid w:val="57EF5E2B"/>
    <w:rsid w:val="57F0691A"/>
    <w:rsid w:val="57F40292"/>
    <w:rsid w:val="57F81DBC"/>
    <w:rsid w:val="57F9479F"/>
    <w:rsid w:val="57FA3D86"/>
    <w:rsid w:val="58024877"/>
    <w:rsid w:val="580276A5"/>
    <w:rsid w:val="58062A08"/>
    <w:rsid w:val="58075BF2"/>
    <w:rsid w:val="5809221B"/>
    <w:rsid w:val="580A7D41"/>
    <w:rsid w:val="580B5F93"/>
    <w:rsid w:val="580C1D0B"/>
    <w:rsid w:val="580F1057"/>
    <w:rsid w:val="58102B5B"/>
    <w:rsid w:val="581667FF"/>
    <w:rsid w:val="5818245E"/>
    <w:rsid w:val="581B7ADB"/>
    <w:rsid w:val="581F12B3"/>
    <w:rsid w:val="581F3C8C"/>
    <w:rsid w:val="58253466"/>
    <w:rsid w:val="58270DB6"/>
    <w:rsid w:val="58272449"/>
    <w:rsid w:val="58357E05"/>
    <w:rsid w:val="58366D88"/>
    <w:rsid w:val="583A23D4"/>
    <w:rsid w:val="583A5806"/>
    <w:rsid w:val="583B614D"/>
    <w:rsid w:val="583C666D"/>
    <w:rsid w:val="583D120E"/>
    <w:rsid w:val="583D7329"/>
    <w:rsid w:val="58404799"/>
    <w:rsid w:val="584A0F2F"/>
    <w:rsid w:val="584A30B0"/>
    <w:rsid w:val="584C1B15"/>
    <w:rsid w:val="584F2DA0"/>
    <w:rsid w:val="585131E6"/>
    <w:rsid w:val="58533AED"/>
    <w:rsid w:val="585B234B"/>
    <w:rsid w:val="585D0C27"/>
    <w:rsid w:val="585E1DAA"/>
    <w:rsid w:val="58637017"/>
    <w:rsid w:val="58637C97"/>
    <w:rsid w:val="5866766D"/>
    <w:rsid w:val="58730A74"/>
    <w:rsid w:val="58752858"/>
    <w:rsid w:val="58811218"/>
    <w:rsid w:val="58845D45"/>
    <w:rsid w:val="588505A7"/>
    <w:rsid w:val="5890016E"/>
    <w:rsid w:val="58937D37"/>
    <w:rsid w:val="5895218A"/>
    <w:rsid w:val="58975A79"/>
    <w:rsid w:val="58977827"/>
    <w:rsid w:val="589939CD"/>
    <w:rsid w:val="58A17DC9"/>
    <w:rsid w:val="58A27F7A"/>
    <w:rsid w:val="58A36703"/>
    <w:rsid w:val="58A837E2"/>
    <w:rsid w:val="58AA5207"/>
    <w:rsid w:val="58AC7A82"/>
    <w:rsid w:val="58AE74DA"/>
    <w:rsid w:val="58B001F9"/>
    <w:rsid w:val="58B54151"/>
    <w:rsid w:val="58B73C18"/>
    <w:rsid w:val="58B978CB"/>
    <w:rsid w:val="58BC3A8F"/>
    <w:rsid w:val="58BF15E9"/>
    <w:rsid w:val="58C54FCD"/>
    <w:rsid w:val="58C825A0"/>
    <w:rsid w:val="58C94A90"/>
    <w:rsid w:val="58C94DE9"/>
    <w:rsid w:val="58CB5722"/>
    <w:rsid w:val="58CF2EBE"/>
    <w:rsid w:val="58D34E52"/>
    <w:rsid w:val="58D9787E"/>
    <w:rsid w:val="58E56FAC"/>
    <w:rsid w:val="58E73667"/>
    <w:rsid w:val="58ED0B01"/>
    <w:rsid w:val="58EE31BF"/>
    <w:rsid w:val="58EF37CF"/>
    <w:rsid w:val="58EF535C"/>
    <w:rsid w:val="58F346A1"/>
    <w:rsid w:val="58F46A27"/>
    <w:rsid w:val="58F509F1"/>
    <w:rsid w:val="58F702C5"/>
    <w:rsid w:val="58F928DB"/>
    <w:rsid w:val="58FA1F94"/>
    <w:rsid w:val="58FA2064"/>
    <w:rsid w:val="58FA7946"/>
    <w:rsid w:val="58FB12F4"/>
    <w:rsid w:val="58FC1D80"/>
    <w:rsid w:val="590040F1"/>
    <w:rsid w:val="59036C6A"/>
    <w:rsid w:val="59060509"/>
    <w:rsid w:val="5907412F"/>
    <w:rsid w:val="590D5EE8"/>
    <w:rsid w:val="591075D9"/>
    <w:rsid w:val="591A24CC"/>
    <w:rsid w:val="591E4D6B"/>
    <w:rsid w:val="591E61AC"/>
    <w:rsid w:val="591F233E"/>
    <w:rsid w:val="5922006D"/>
    <w:rsid w:val="59263334"/>
    <w:rsid w:val="59284923"/>
    <w:rsid w:val="592C090B"/>
    <w:rsid w:val="592F36B6"/>
    <w:rsid w:val="59333E87"/>
    <w:rsid w:val="593357EB"/>
    <w:rsid w:val="59352755"/>
    <w:rsid w:val="593947E3"/>
    <w:rsid w:val="593A4598"/>
    <w:rsid w:val="593D143C"/>
    <w:rsid w:val="593F3A1A"/>
    <w:rsid w:val="59444EC0"/>
    <w:rsid w:val="5947415A"/>
    <w:rsid w:val="595003F6"/>
    <w:rsid w:val="59561FE9"/>
    <w:rsid w:val="59566F74"/>
    <w:rsid w:val="595A7CD7"/>
    <w:rsid w:val="595C45CC"/>
    <w:rsid w:val="595F7F75"/>
    <w:rsid w:val="59641949"/>
    <w:rsid w:val="596A140C"/>
    <w:rsid w:val="596F2552"/>
    <w:rsid w:val="596F60AE"/>
    <w:rsid w:val="59715CD0"/>
    <w:rsid w:val="597B0D1F"/>
    <w:rsid w:val="597C07CB"/>
    <w:rsid w:val="5981515B"/>
    <w:rsid w:val="5983147C"/>
    <w:rsid w:val="5983761E"/>
    <w:rsid w:val="598558D1"/>
    <w:rsid w:val="59861649"/>
    <w:rsid w:val="59870F98"/>
    <w:rsid w:val="598A5412"/>
    <w:rsid w:val="598B4E36"/>
    <w:rsid w:val="598E4111"/>
    <w:rsid w:val="59946511"/>
    <w:rsid w:val="5995090B"/>
    <w:rsid w:val="59971C6D"/>
    <w:rsid w:val="59997F3C"/>
    <w:rsid w:val="599B0D47"/>
    <w:rsid w:val="599B46D7"/>
    <w:rsid w:val="59A07329"/>
    <w:rsid w:val="59A65B29"/>
    <w:rsid w:val="59B874F0"/>
    <w:rsid w:val="59B9557B"/>
    <w:rsid w:val="59BB5797"/>
    <w:rsid w:val="59BC4AE8"/>
    <w:rsid w:val="59BD150F"/>
    <w:rsid w:val="59C416EA"/>
    <w:rsid w:val="59C7413C"/>
    <w:rsid w:val="59C77C52"/>
    <w:rsid w:val="59C87211"/>
    <w:rsid w:val="59CA59DA"/>
    <w:rsid w:val="59CC2FFD"/>
    <w:rsid w:val="59D830CD"/>
    <w:rsid w:val="59DC2A13"/>
    <w:rsid w:val="59E01C2D"/>
    <w:rsid w:val="59E52B65"/>
    <w:rsid w:val="59EB3691"/>
    <w:rsid w:val="59F91B3E"/>
    <w:rsid w:val="59FC6029"/>
    <w:rsid w:val="59FE5684"/>
    <w:rsid w:val="59FF57B4"/>
    <w:rsid w:val="5A012CB6"/>
    <w:rsid w:val="5A0A008F"/>
    <w:rsid w:val="5A0C1B4F"/>
    <w:rsid w:val="5A0F7891"/>
    <w:rsid w:val="5A101C60"/>
    <w:rsid w:val="5A132EDD"/>
    <w:rsid w:val="5A1A164E"/>
    <w:rsid w:val="5A1D7FB0"/>
    <w:rsid w:val="5A221372"/>
    <w:rsid w:val="5A2314FB"/>
    <w:rsid w:val="5A250154"/>
    <w:rsid w:val="5A275559"/>
    <w:rsid w:val="5A2E0476"/>
    <w:rsid w:val="5A2E0E59"/>
    <w:rsid w:val="5A300A8A"/>
    <w:rsid w:val="5A3522CD"/>
    <w:rsid w:val="5A3530DC"/>
    <w:rsid w:val="5A354E0B"/>
    <w:rsid w:val="5A3822B8"/>
    <w:rsid w:val="5A395C01"/>
    <w:rsid w:val="5A3C4CE4"/>
    <w:rsid w:val="5A3E2A82"/>
    <w:rsid w:val="5A3E53BB"/>
    <w:rsid w:val="5A3F2E62"/>
    <w:rsid w:val="5A4240B6"/>
    <w:rsid w:val="5A425850"/>
    <w:rsid w:val="5A456470"/>
    <w:rsid w:val="5A47702B"/>
    <w:rsid w:val="5A4861B3"/>
    <w:rsid w:val="5A4968FF"/>
    <w:rsid w:val="5A4E2167"/>
    <w:rsid w:val="5A4E4978"/>
    <w:rsid w:val="5A503136"/>
    <w:rsid w:val="5A543C1B"/>
    <w:rsid w:val="5A5D05FC"/>
    <w:rsid w:val="5A5F4374"/>
    <w:rsid w:val="5A603A55"/>
    <w:rsid w:val="5A6159BD"/>
    <w:rsid w:val="5A623E64"/>
    <w:rsid w:val="5A690D4F"/>
    <w:rsid w:val="5A6B3A0D"/>
    <w:rsid w:val="5A6E3292"/>
    <w:rsid w:val="5A6E34A8"/>
    <w:rsid w:val="5A705F4B"/>
    <w:rsid w:val="5A746DF2"/>
    <w:rsid w:val="5A7D2245"/>
    <w:rsid w:val="5A7D47FA"/>
    <w:rsid w:val="5A7E3FA7"/>
    <w:rsid w:val="5A7E4A56"/>
    <w:rsid w:val="5A81078E"/>
    <w:rsid w:val="5A843DDB"/>
    <w:rsid w:val="5A8B1A08"/>
    <w:rsid w:val="5A917E3A"/>
    <w:rsid w:val="5A9378D7"/>
    <w:rsid w:val="5A950619"/>
    <w:rsid w:val="5A951B44"/>
    <w:rsid w:val="5A963550"/>
    <w:rsid w:val="5A971D60"/>
    <w:rsid w:val="5A981634"/>
    <w:rsid w:val="5AA1213B"/>
    <w:rsid w:val="5AA64A5C"/>
    <w:rsid w:val="5AA81E47"/>
    <w:rsid w:val="5AB25AFB"/>
    <w:rsid w:val="5AB3646E"/>
    <w:rsid w:val="5AB47ADA"/>
    <w:rsid w:val="5ABA77FD"/>
    <w:rsid w:val="5AC33A75"/>
    <w:rsid w:val="5ACD538E"/>
    <w:rsid w:val="5AD05272"/>
    <w:rsid w:val="5AD42DE5"/>
    <w:rsid w:val="5AD45B96"/>
    <w:rsid w:val="5AD55BA9"/>
    <w:rsid w:val="5AD60C24"/>
    <w:rsid w:val="5ADC6993"/>
    <w:rsid w:val="5ADF1011"/>
    <w:rsid w:val="5AE05E0B"/>
    <w:rsid w:val="5AE36348"/>
    <w:rsid w:val="5AE42ACB"/>
    <w:rsid w:val="5AEA3DC4"/>
    <w:rsid w:val="5AF56A87"/>
    <w:rsid w:val="5AF727FF"/>
    <w:rsid w:val="5B002175"/>
    <w:rsid w:val="5B1218C7"/>
    <w:rsid w:val="5B124A58"/>
    <w:rsid w:val="5B12588A"/>
    <w:rsid w:val="5B1262B0"/>
    <w:rsid w:val="5B1423AF"/>
    <w:rsid w:val="5B1433B1"/>
    <w:rsid w:val="5B163AB0"/>
    <w:rsid w:val="5B176115"/>
    <w:rsid w:val="5B1D34AD"/>
    <w:rsid w:val="5B2264B1"/>
    <w:rsid w:val="5B2335F4"/>
    <w:rsid w:val="5B236D4A"/>
    <w:rsid w:val="5B2D4100"/>
    <w:rsid w:val="5B312BC1"/>
    <w:rsid w:val="5B327682"/>
    <w:rsid w:val="5B351579"/>
    <w:rsid w:val="5B352FD5"/>
    <w:rsid w:val="5B3556D2"/>
    <w:rsid w:val="5B3752F1"/>
    <w:rsid w:val="5B3B3C7D"/>
    <w:rsid w:val="5B3C46B5"/>
    <w:rsid w:val="5B3F7CFE"/>
    <w:rsid w:val="5B41671D"/>
    <w:rsid w:val="5B43595A"/>
    <w:rsid w:val="5B440603"/>
    <w:rsid w:val="5B4B66A7"/>
    <w:rsid w:val="5B4C2BEE"/>
    <w:rsid w:val="5B513FEB"/>
    <w:rsid w:val="5B516E2C"/>
    <w:rsid w:val="5B526759"/>
    <w:rsid w:val="5B594632"/>
    <w:rsid w:val="5B5B35B3"/>
    <w:rsid w:val="5B6101E1"/>
    <w:rsid w:val="5B612CF4"/>
    <w:rsid w:val="5B6210A0"/>
    <w:rsid w:val="5B677DCA"/>
    <w:rsid w:val="5B7163BD"/>
    <w:rsid w:val="5B71764E"/>
    <w:rsid w:val="5B771124"/>
    <w:rsid w:val="5B7857D5"/>
    <w:rsid w:val="5B793214"/>
    <w:rsid w:val="5B7C2D39"/>
    <w:rsid w:val="5B87686F"/>
    <w:rsid w:val="5B8B1199"/>
    <w:rsid w:val="5B8B34BD"/>
    <w:rsid w:val="5B8D0623"/>
    <w:rsid w:val="5B962018"/>
    <w:rsid w:val="5B967EE3"/>
    <w:rsid w:val="5B991E70"/>
    <w:rsid w:val="5B9C6F02"/>
    <w:rsid w:val="5B9D4172"/>
    <w:rsid w:val="5BAA5588"/>
    <w:rsid w:val="5BAB18A8"/>
    <w:rsid w:val="5BAD1A85"/>
    <w:rsid w:val="5BB24978"/>
    <w:rsid w:val="5BB40455"/>
    <w:rsid w:val="5BB4249E"/>
    <w:rsid w:val="5BB814B8"/>
    <w:rsid w:val="5BC16969"/>
    <w:rsid w:val="5BC80E6E"/>
    <w:rsid w:val="5BCA0056"/>
    <w:rsid w:val="5BCC4C8F"/>
    <w:rsid w:val="5BD35106"/>
    <w:rsid w:val="5BD609E6"/>
    <w:rsid w:val="5BD82630"/>
    <w:rsid w:val="5BDC19F5"/>
    <w:rsid w:val="5BDE39BF"/>
    <w:rsid w:val="5BE014E5"/>
    <w:rsid w:val="5BE90010"/>
    <w:rsid w:val="5BEC0C09"/>
    <w:rsid w:val="5BEC7E8A"/>
    <w:rsid w:val="5BED4FF5"/>
    <w:rsid w:val="5BF27F86"/>
    <w:rsid w:val="5BF3746A"/>
    <w:rsid w:val="5BFB5910"/>
    <w:rsid w:val="5BFD2097"/>
    <w:rsid w:val="5BFD6FCE"/>
    <w:rsid w:val="5C013209"/>
    <w:rsid w:val="5C034B3A"/>
    <w:rsid w:val="5C0E2186"/>
    <w:rsid w:val="5C124FFE"/>
    <w:rsid w:val="5C1271C4"/>
    <w:rsid w:val="5C136DDF"/>
    <w:rsid w:val="5C1372DE"/>
    <w:rsid w:val="5C155957"/>
    <w:rsid w:val="5C25339C"/>
    <w:rsid w:val="5C273792"/>
    <w:rsid w:val="5C277114"/>
    <w:rsid w:val="5C286DA1"/>
    <w:rsid w:val="5C2B592A"/>
    <w:rsid w:val="5C2C0286"/>
    <w:rsid w:val="5C2C472A"/>
    <w:rsid w:val="5C2E2250"/>
    <w:rsid w:val="5C2F39B3"/>
    <w:rsid w:val="5C381321"/>
    <w:rsid w:val="5C3D1FBD"/>
    <w:rsid w:val="5C435566"/>
    <w:rsid w:val="5C471D06"/>
    <w:rsid w:val="5C4D7325"/>
    <w:rsid w:val="5C52616A"/>
    <w:rsid w:val="5C5920A1"/>
    <w:rsid w:val="5C593045"/>
    <w:rsid w:val="5C5E7002"/>
    <w:rsid w:val="5C5F3CDE"/>
    <w:rsid w:val="5C6904EE"/>
    <w:rsid w:val="5C6A7000"/>
    <w:rsid w:val="5C703E0D"/>
    <w:rsid w:val="5C841E70"/>
    <w:rsid w:val="5C8C5183"/>
    <w:rsid w:val="5C91181F"/>
    <w:rsid w:val="5C924690"/>
    <w:rsid w:val="5C952E62"/>
    <w:rsid w:val="5C9C215C"/>
    <w:rsid w:val="5CA21203"/>
    <w:rsid w:val="5CA4528C"/>
    <w:rsid w:val="5CA455F4"/>
    <w:rsid w:val="5CA93FCD"/>
    <w:rsid w:val="5CAA4F27"/>
    <w:rsid w:val="5CAA714B"/>
    <w:rsid w:val="5CB11BE9"/>
    <w:rsid w:val="5CB5471F"/>
    <w:rsid w:val="5CB91037"/>
    <w:rsid w:val="5CBC6124"/>
    <w:rsid w:val="5CBD35D4"/>
    <w:rsid w:val="5CC13302"/>
    <w:rsid w:val="5CC21CCA"/>
    <w:rsid w:val="5CC2508E"/>
    <w:rsid w:val="5CC35CA8"/>
    <w:rsid w:val="5CC45DBD"/>
    <w:rsid w:val="5CC81BD5"/>
    <w:rsid w:val="5CCA2697"/>
    <w:rsid w:val="5CCC49F6"/>
    <w:rsid w:val="5CCE725A"/>
    <w:rsid w:val="5CCE758F"/>
    <w:rsid w:val="5CCF5C7E"/>
    <w:rsid w:val="5CD03B6F"/>
    <w:rsid w:val="5CD1112B"/>
    <w:rsid w:val="5CD56B70"/>
    <w:rsid w:val="5CDC4F0C"/>
    <w:rsid w:val="5CDC7EFE"/>
    <w:rsid w:val="5CDF3A03"/>
    <w:rsid w:val="5CE241EB"/>
    <w:rsid w:val="5CE32E02"/>
    <w:rsid w:val="5CE5561F"/>
    <w:rsid w:val="5CE9261B"/>
    <w:rsid w:val="5CF201EA"/>
    <w:rsid w:val="5CF2558C"/>
    <w:rsid w:val="5CF50FC0"/>
    <w:rsid w:val="5CFD21A5"/>
    <w:rsid w:val="5CFF0D6B"/>
    <w:rsid w:val="5D004ADA"/>
    <w:rsid w:val="5D08473E"/>
    <w:rsid w:val="5D120878"/>
    <w:rsid w:val="5D137C8F"/>
    <w:rsid w:val="5D157EB0"/>
    <w:rsid w:val="5D177188"/>
    <w:rsid w:val="5D180999"/>
    <w:rsid w:val="5D1E5270"/>
    <w:rsid w:val="5D211DB5"/>
    <w:rsid w:val="5D2418A5"/>
    <w:rsid w:val="5D260644"/>
    <w:rsid w:val="5D283143"/>
    <w:rsid w:val="5D291694"/>
    <w:rsid w:val="5D321D86"/>
    <w:rsid w:val="5D3250A1"/>
    <w:rsid w:val="5D3513BC"/>
    <w:rsid w:val="5D35760E"/>
    <w:rsid w:val="5D382C1A"/>
    <w:rsid w:val="5D3970FE"/>
    <w:rsid w:val="5D3F223B"/>
    <w:rsid w:val="5D423AD9"/>
    <w:rsid w:val="5D4538A3"/>
    <w:rsid w:val="5D465E28"/>
    <w:rsid w:val="5D4B0BE0"/>
    <w:rsid w:val="5D5007AD"/>
    <w:rsid w:val="5D551A5E"/>
    <w:rsid w:val="5D577585"/>
    <w:rsid w:val="5D587747"/>
    <w:rsid w:val="5D5C103F"/>
    <w:rsid w:val="5D5E1CF1"/>
    <w:rsid w:val="5D616655"/>
    <w:rsid w:val="5D6213D4"/>
    <w:rsid w:val="5D6865BA"/>
    <w:rsid w:val="5D691E07"/>
    <w:rsid w:val="5D6D0B56"/>
    <w:rsid w:val="5D6E7128"/>
    <w:rsid w:val="5D6F2D39"/>
    <w:rsid w:val="5D705C14"/>
    <w:rsid w:val="5D714BFC"/>
    <w:rsid w:val="5D774C0D"/>
    <w:rsid w:val="5D791EC8"/>
    <w:rsid w:val="5D796D82"/>
    <w:rsid w:val="5D7D3FE1"/>
    <w:rsid w:val="5D7E7207"/>
    <w:rsid w:val="5D851169"/>
    <w:rsid w:val="5D8562D2"/>
    <w:rsid w:val="5D8714F7"/>
    <w:rsid w:val="5D881E34"/>
    <w:rsid w:val="5D883BE2"/>
    <w:rsid w:val="5D884FD3"/>
    <w:rsid w:val="5D8A1834"/>
    <w:rsid w:val="5D8F6448"/>
    <w:rsid w:val="5D923908"/>
    <w:rsid w:val="5D924BBA"/>
    <w:rsid w:val="5D9407D9"/>
    <w:rsid w:val="5D9A5200"/>
    <w:rsid w:val="5D9E282E"/>
    <w:rsid w:val="5DA100D5"/>
    <w:rsid w:val="5DA11B55"/>
    <w:rsid w:val="5DA1671E"/>
    <w:rsid w:val="5DA92DAA"/>
    <w:rsid w:val="5DAB167E"/>
    <w:rsid w:val="5DB1138B"/>
    <w:rsid w:val="5DB1142D"/>
    <w:rsid w:val="5DB66FAB"/>
    <w:rsid w:val="5DB90168"/>
    <w:rsid w:val="5DBF512A"/>
    <w:rsid w:val="5DBF56D2"/>
    <w:rsid w:val="5DC10EA2"/>
    <w:rsid w:val="5DC94EAA"/>
    <w:rsid w:val="5DC9667E"/>
    <w:rsid w:val="5DD020DB"/>
    <w:rsid w:val="5DD03F39"/>
    <w:rsid w:val="5DD11426"/>
    <w:rsid w:val="5DDC3F2E"/>
    <w:rsid w:val="5DDE1827"/>
    <w:rsid w:val="5DE0344F"/>
    <w:rsid w:val="5DE11544"/>
    <w:rsid w:val="5DE137E5"/>
    <w:rsid w:val="5DE13B4B"/>
    <w:rsid w:val="5DE16DE1"/>
    <w:rsid w:val="5DE17815"/>
    <w:rsid w:val="5DE508DD"/>
    <w:rsid w:val="5DEC7001"/>
    <w:rsid w:val="5DEF3A36"/>
    <w:rsid w:val="5DF911E9"/>
    <w:rsid w:val="5DFC55B7"/>
    <w:rsid w:val="5DFE3466"/>
    <w:rsid w:val="5E0019CA"/>
    <w:rsid w:val="5E021BE6"/>
    <w:rsid w:val="5E03770C"/>
    <w:rsid w:val="5E047B42"/>
    <w:rsid w:val="5E0F1B75"/>
    <w:rsid w:val="5E0F573E"/>
    <w:rsid w:val="5E164717"/>
    <w:rsid w:val="5E181FF2"/>
    <w:rsid w:val="5E1B66B2"/>
    <w:rsid w:val="5E2234E9"/>
    <w:rsid w:val="5E2C648C"/>
    <w:rsid w:val="5E300107"/>
    <w:rsid w:val="5E333B7F"/>
    <w:rsid w:val="5E365ACE"/>
    <w:rsid w:val="5E3A5DC1"/>
    <w:rsid w:val="5E3D6048"/>
    <w:rsid w:val="5E442121"/>
    <w:rsid w:val="5E473A9D"/>
    <w:rsid w:val="5E4C5828"/>
    <w:rsid w:val="5E4C6F4A"/>
    <w:rsid w:val="5E4F550B"/>
    <w:rsid w:val="5E503354"/>
    <w:rsid w:val="5E5249D9"/>
    <w:rsid w:val="5E5256BF"/>
    <w:rsid w:val="5E56783C"/>
    <w:rsid w:val="5E5E4943"/>
    <w:rsid w:val="5E5F681E"/>
    <w:rsid w:val="5E616929"/>
    <w:rsid w:val="5E650F0F"/>
    <w:rsid w:val="5E694493"/>
    <w:rsid w:val="5E6A0AC6"/>
    <w:rsid w:val="5E6C7DC0"/>
    <w:rsid w:val="5E6D08DD"/>
    <w:rsid w:val="5E6F6EE3"/>
    <w:rsid w:val="5E742553"/>
    <w:rsid w:val="5E766130"/>
    <w:rsid w:val="5E79483C"/>
    <w:rsid w:val="5E79740E"/>
    <w:rsid w:val="5E7A0A4B"/>
    <w:rsid w:val="5E7B0BDE"/>
    <w:rsid w:val="5E7D43BC"/>
    <w:rsid w:val="5E7E5674"/>
    <w:rsid w:val="5E802B0B"/>
    <w:rsid w:val="5E843B4A"/>
    <w:rsid w:val="5E856373"/>
    <w:rsid w:val="5E897C12"/>
    <w:rsid w:val="5E8A398A"/>
    <w:rsid w:val="5E8F1FF0"/>
    <w:rsid w:val="5E903AFB"/>
    <w:rsid w:val="5E944335"/>
    <w:rsid w:val="5E954808"/>
    <w:rsid w:val="5E9655D3"/>
    <w:rsid w:val="5E9807B9"/>
    <w:rsid w:val="5E9F42CF"/>
    <w:rsid w:val="5E9F531B"/>
    <w:rsid w:val="5EA225BC"/>
    <w:rsid w:val="5EA51946"/>
    <w:rsid w:val="5EAA68A5"/>
    <w:rsid w:val="5EAC1A00"/>
    <w:rsid w:val="5EB06FC4"/>
    <w:rsid w:val="5EBB1D95"/>
    <w:rsid w:val="5EBE3544"/>
    <w:rsid w:val="5EC1349B"/>
    <w:rsid w:val="5EC249B9"/>
    <w:rsid w:val="5EC947A2"/>
    <w:rsid w:val="5ECC1F57"/>
    <w:rsid w:val="5ED30E8D"/>
    <w:rsid w:val="5ED341CD"/>
    <w:rsid w:val="5ED4696B"/>
    <w:rsid w:val="5ED644D8"/>
    <w:rsid w:val="5EE17A4E"/>
    <w:rsid w:val="5EEC5A1A"/>
    <w:rsid w:val="5EEC6B72"/>
    <w:rsid w:val="5EEE5694"/>
    <w:rsid w:val="5EEE700D"/>
    <w:rsid w:val="5EF431E8"/>
    <w:rsid w:val="5EF51958"/>
    <w:rsid w:val="5EF945FE"/>
    <w:rsid w:val="5EFA466C"/>
    <w:rsid w:val="5EFD0650"/>
    <w:rsid w:val="5F014138"/>
    <w:rsid w:val="5F020816"/>
    <w:rsid w:val="5F027BDF"/>
    <w:rsid w:val="5F090D52"/>
    <w:rsid w:val="5F0E4F3A"/>
    <w:rsid w:val="5F11097E"/>
    <w:rsid w:val="5F135AD9"/>
    <w:rsid w:val="5F181329"/>
    <w:rsid w:val="5F197E63"/>
    <w:rsid w:val="5F1C2834"/>
    <w:rsid w:val="5F1F0576"/>
    <w:rsid w:val="5F250216"/>
    <w:rsid w:val="5F2931A3"/>
    <w:rsid w:val="5F2E7186"/>
    <w:rsid w:val="5F3202A9"/>
    <w:rsid w:val="5F362A86"/>
    <w:rsid w:val="5F383A14"/>
    <w:rsid w:val="5F3A5E30"/>
    <w:rsid w:val="5F3B167C"/>
    <w:rsid w:val="5F3E6C4E"/>
    <w:rsid w:val="5F3F29C6"/>
    <w:rsid w:val="5F454B86"/>
    <w:rsid w:val="5F46283F"/>
    <w:rsid w:val="5F4726FA"/>
    <w:rsid w:val="5F480F41"/>
    <w:rsid w:val="5F49114F"/>
    <w:rsid w:val="5F4973A1"/>
    <w:rsid w:val="5F4D23F1"/>
    <w:rsid w:val="5F5036CC"/>
    <w:rsid w:val="5F5070CC"/>
    <w:rsid w:val="5F557AF4"/>
    <w:rsid w:val="5F610B8F"/>
    <w:rsid w:val="5F65288D"/>
    <w:rsid w:val="5F66156B"/>
    <w:rsid w:val="5F661CA7"/>
    <w:rsid w:val="5F661D01"/>
    <w:rsid w:val="5F666AAC"/>
    <w:rsid w:val="5F677827"/>
    <w:rsid w:val="5F681234"/>
    <w:rsid w:val="5F6E5059"/>
    <w:rsid w:val="5F6F5E8B"/>
    <w:rsid w:val="5F721709"/>
    <w:rsid w:val="5F742670"/>
    <w:rsid w:val="5F744410"/>
    <w:rsid w:val="5F7675D0"/>
    <w:rsid w:val="5F7A0AF1"/>
    <w:rsid w:val="5F7A0D18"/>
    <w:rsid w:val="5F7F73C0"/>
    <w:rsid w:val="5F8139F4"/>
    <w:rsid w:val="5F8A1E93"/>
    <w:rsid w:val="5F8C3B27"/>
    <w:rsid w:val="5F8E6ACA"/>
    <w:rsid w:val="5F9216A3"/>
    <w:rsid w:val="5F965B22"/>
    <w:rsid w:val="5F9A0168"/>
    <w:rsid w:val="5F9B0B4A"/>
    <w:rsid w:val="5FA25E8E"/>
    <w:rsid w:val="5FA34062"/>
    <w:rsid w:val="5FAB3BB8"/>
    <w:rsid w:val="5FAE12AA"/>
    <w:rsid w:val="5FB071C9"/>
    <w:rsid w:val="5FB16619"/>
    <w:rsid w:val="5FC7753F"/>
    <w:rsid w:val="5FCD770E"/>
    <w:rsid w:val="5FCE26B8"/>
    <w:rsid w:val="5FCE6740"/>
    <w:rsid w:val="5FD14004"/>
    <w:rsid w:val="5FDA21E8"/>
    <w:rsid w:val="5FE13D36"/>
    <w:rsid w:val="5FE175D9"/>
    <w:rsid w:val="5FE557EC"/>
    <w:rsid w:val="5FEA46E0"/>
    <w:rsid w:val="5FEB0A47"/>
    <w:rsid w:val="5FEB68CA"/>
    <w:rsid w:val="5FEC07C1"/>
    <w:rsid w:val="5FED2422"/>
    <w:rsid w:val="5FEF6F25"/>
    <w:rsid w:val="5FF52D97"/>
    <w:rsid w:val="5FF55F4C"/>
    <w:rsid w:val="5FF600B7"/>
    <w:rsid w:val="5FF607C4"/>
    <w:rsid w:val="5FFB68ED"/>
    <w:rsid w:val="5FFC200D"/>
    <w:rsid w:val="600168C7"/>
    <w:rsid w:val="60022122"/>
    <w:rsid w:val="60093A2E"/>
    <w:rsid w:val="600E33F2"/>
    <w:rsid w:val="60117ECF"/>
    <w:rsid w:val="60145C01"/>
    <w:rsid w:val="60147DA4"/>
    <w:rsid w:val="60172FFB"/>
    <w:rsid w:val="601E4351"/>
    <w:rsid w:val="60222833"/>
    <w:rsid w:val="60237ECC"/>
    <w:rsid w:val="602F0186"/>
    <w:rsid w:val="60356D91"/>
    <w:rsid w:val="60361BAD"/>
    <w:rsid w:val="6037335C"/>
    <w:rsid w:val="60380C34"/>
    <w:rsid w:val="603D5158"/>
    <w:rsid w:val="603E7D7E"/>
    <w:rsid w:val="604031DB"/>
    <w:rsid w:val="60487659"/>
    <w:rsid w:val="60513939"/>
    <w:rsid w:val="6055022A"/>
    <w:rsid w:val="6055507D"/>
    <w:rsid w:val="60561D75"/>
    <w:rsid w:val="6056540E"/>
    <w:rsid w:val="605D5E0D"/>
    <w:rsid w:val="605F17B4"/>
    <w:rsid w:val="60611002"/>
    <w:rsid w:val="6061643F"/>
    <w:rsid w:val="60623E1F"/>
    <w:rsid w:val="606647BC"/>
    <w:rsid w:val="60696039"/>
    <w:rsid w:val="606C1A01"/>
    <w:rsid w:val="606F334E"/>
    <w:rsid w:val="607131BE"/>
    <w:rsid w:val="60714E01"/>
    <w:rsid w:val="60723264"/>
    <w:rsid w:val="60732927"/>
    <w:rsid w:val="607377E3"/>
    <w:rsid w:val="60763F7C"/>
    <w:rsid w:val="607641C6"/>
    <w:rsid w:val="60792FA8"/>
    <w:rsid w:val="607D470B"/>
    <w:rsid w:val="60864CCB"/>
    <w:rsid w:val="6086721E"/>
    <w:rsid w:val="60870E78"/>
    <w:rsid w:val="6087530D"/>
    <w:rsid w:val="608C5A13"/>
    <w:rsid w:val="60901BF9"/>
    <w:rsid w:val="60912DAE"/>
    <w:rsid w:val="60976E00"/>
    <w:rsid w:val="60A14479"/>
    <w:rsid w:val="60A64770"/>
    <w:rsid w:val="60A919DB"/>
    <w:rsid w:val="60AB42FB"/>
    <w:rsid w:val="60AC0D1D"/>
    <w:rsid w:val="60AE0913"/>
    <w:rsid w:val="60AF4ADF"/>
    <w:rsid w:val="60B160EA"/>
    <w:rsid w:val="60B3261B"/>
    <w:rsid w:val="60B33643"/>
    <w:rsid w:val="60BB459F"/>
    <w:rsid w:val="60BB607C"/>
    <w:rsid w:val="60BE0AE9"/>
    <w:rsid w:val="60C05441"/>
    <w:rsid w:val="60C60726"/>
    <w:rsid w:val="60C82547"/>
    <w:rsid w:val="60CB1591"/>
    <w:rsid w:val="60CF494B"/>
    <w:rsid w:val="60D246D0"/>
    <w:rsid w:val="60D430BC"/>
    <w:rsid w:val="60D72F78"/>
    <w:rsid w:val="60DF1762"/>
    <w:rsid w:val="60E00A1D"/>
    <w:rsid w:val="60E048D5"/>
    <w:rsid w:val="60E4354B"/>
    <w:rsid w:val="60ED7321"/>
    <w:rsid w:val="60F0649E"/>
    <w:rsid w:val="60F35816"/>
    <w:rsid w:val="60F97A9B"/>
    <w:rsid w:val="60FA7E7D"/>
    <w:rsid w:val="60FD1BF8"/>
    <w:rsid w:val="60FE3AFB"/>
    <w:rsid w:val="610B2D58"/>
    <w:rsid w:val="610C5250"/>
    <w:rsid w:val="610C5B76"/>
    <w:rsid w:val="610C629B"/>
    <w:rsid w:val="610C70F8"/>
    <w:rsid w:val="610C76EE"/>
    <w:rsid w:val="610F6495"/>
    <w:rsid w:val="610F7ADC"/>
    <w:rsid w:val="6111263D"/>
    <w:rsid w:val="61127044"/>
    <w:rsid w:val="61147A32"/>
    <w:rsid w:val="611A0837"/>
    <w:rsid w:val="611A2DA3"/>
    <w:rsid w:val="611A6F14"/>
    <w:rsid w:val="611B41D3"/>
    <w:rsid w:val="611E5AAD"/>
    <w:rsid w:val="611F7BBE"/>
    <w:rsid w:val="612719CE"/>
    <w:rsid w:val="612861BC"/>
    <w:rsid w:val="6129316A"/>
    <w:rsid w:val="612A4DC2"/>
    <w:rsid w:val="612A5EE5"/>
    <w:rsid w:val="612A7C83"/>
    <w:rsid w:val="612D6B7D"/>
    <w:rsid w:val="61334045"/>
    <w:rsid w:val="61335CDB"/>
    <w:rsid w:val="613B0F6B"/>
    <w:rsid w:val="61407C51"/>
    <w:rsid w:val="61483DB4"/>
    <w:rsid w:val="61492FD0"/>
    <w:rsid w:val="614D52B5"/>
    <w:rsid w:val="61540553"/>
    <w:rsid w:val="61543232"/>
    <w:rsid w:val="6155177A"/>
    <w:rsid w:val="6158248A"/>
    <w:rsid w:val="61587D6F"/>
    <w:rsid w:val="615A4EF5"/>
    <w:rsid w:val="615C785F"/>
    <w:rsid w:val="61644598"/>
    <w:rsid w:val="61644FE7"/>
    <w:rsid w:val="6164686A"/>
    <w:rsid w:val="616C4B58"/>
    <w:rsid w:val="616E4528"/>
    <w:rsid w:val="617050B9"/>
    <w:rsid w:val="61720E31"/>
    <w:rsid w:val="61736385"/>
    <w:rsid w:val="617701F5"/>
    <w:rsid w:val="61785BA4"/>
    <w:rsid w:val="617A2A42"/>
    <w:rsid w:val="617D1584"/>
    <w:rsid w:val="618017E9"/>
    <w:rsid w:val="61811074"/>
    <w:rsid w:val="61823612"/>
    <w:rsid w:val="618446C0"/>
    <w:rsid w:val="61932B55"/>
    <w:rsid w:val="619A05C2"/>
    <w:rsid w:val="619A2136"/>
    <w:rsid w:val="619B1F32"/>
    <w:rsid w:val="619D39D4"/>
    <w:rsid w:val="619F0059"/>
    <w:rsid w:val="61A5642F"/>
    <w:rsid w:val="61A70152"/>
    <w:rsid w:val="61A909F1"/>
    <w:rsid w:val="61AE197B"/>
    <w:rsid w:val="61AF5651"/>
    <w:rsid w:val="61B052CF"/>
    <w:rsid w:val="61B1749A"/>
    <w:rsid w:val="61B42529"/>
    <w:rsid w:val="61B73502"/>
    <w:rsid w:val="61BC04F6"/>
    <w:rsid w:val="61BD2B79"/>
    <w:rsid w:val="61C44A09"/>
    <w:rsid w:val="61C6117D"/>
    <w:rsid w:val="61C72126"/>
    <w:rsid w:val="61C92322"/>
    <w:rsid w:val="61C92810"/>
    <w:rsid w:val="61CC480A"/>
    <w:rsid w:val="61CE1DDF"/>
    <w:rsid w:val="61D712D5"/>
    <w:rsid w:val="61DC5AEA"/>
    <w:rsid w:val="61E15FB7"/>
    <w:rsid w:val="61E82A7D"/>
    <w:rsid w:val="61E873DA"/>
    <w:rsid w:val="61F71336"/>
    <w:rsid w:val="61F77588"/>
    <w:rsid w:val="61F95869"/>
    <w:rsid w:val="62050C82"/>
    <w:rsid w:val="62065A1D"/>
    <w:rsid w:val="620C24D2"/>
    <w:rsid w:val="620C3034"/>
    <w:rsid w:val="620D2908"/>
    <w:rsid w:val="620D7CFC"/>
    <w:rsid w:val="6217502E"/>
    <w:rsid w:val="621A071E"/>
    <w:rsid w:val="621B3218"/>
    <w:rsid w:val="621B6CC8"/>
    <w:rsid w:val="621E0FA4"/>
    <w:rsid w:val="621E7ECE"/>
    <w:rsid w:val="62200A31"/>
    <w:rsid w:val="62221E0D"/>
    <w:rsid w:val="622358D0"/>
    <w:rsid w:val="62250FC8"/>
    <w:rsid w:val="62257C51"/>
    <w:rsid w:val="62293607"/>
    <w:rsid w:val="622D32B1"/>
    <w:rsid w:val="622D58D2"/>
    <w:rsid w:val="62335F3F"/>
    <w:rsid w:val="62380C13"/>
    <w:rsid w:val="623E1776"/>
    <w:rsid w:val="62410803"/>
    <w:rsid w:val="62444A13"/>
    <w:rsid w:val="6247406C"/>
    <w:rsid w:val="624812F3"/>
    <w:rsid w:val="6249158B"/>
    <w:rsid w:val="624B1FDE"/>
    <w:rsid w:val="624B61B2"/>
    <w:rsid w:val="625C73EB"/>
    <w:rsid w:val="62600BF4"/>
    <w:rsid w:val="62610804"/>
    <w:rsid w:val="6261590B"/>
    <w:rsid w:val="62632AC2"/>
    <w:rsid w:val="62634F10"/>
    <w:rsid w:val="62651E55"/>
    <w:rsid w:val="62660E3D"/>
    <w:rsid w:val="62687C46"/>
    <w:rsid w:val="62697E9C"/>
    <w:rsid w:val="626C2D78"/>
    <w:rsid w:val="626D397C"/>
    <w:rsid w:val="626E3CC8"/>
    <w:rsid w:val="626F35C2"/>
    <w:rsid w:val="62781A05"/>
    <w:rsid w:val="62791D4B"/>
    <w:rsid w:val="627D3951"/>
    <w:rsid w:val="6285656B"/>
    <w:rsid w:val="628841B8"/>
    <w:rsid w:val="62890C71"/>
    <w:rsid w:val="628C2EB8"/>
    <w:rsid w:val="628E2CCB"/>
    <w:rsid w:val="62902C20"/>
    <w:rsid w:val="62913539"/>
    <w:rsid w:val="62920336"/>
    <w:rsid w:val="62994C73"/>
    <w:rsid w:val="629A7990"/>
    <w:rsid w:val="629D0149"/>
    <w:rsid w:val="629E18EF"/>
    <w:rsid w:val="62A50D92"/>
    <w:rsid w:val="62A768B8"/>
    <w:rsid w:val="62AD67B6"/>
    <w:rsid w:val="62AE2023"/>
    <w:rsid w:val="62AE6062"/>
    <w:rsid w:val="62B937F7"/>
    <w:rsid w:val="62BA24A2"/>
    <w:rsid w:val="62BE0F00"/>
    <w:rsid w:val="62BE1C11"/>
    <w:rsid w:val="62BE43D2"/>
    <w:rsid w:val="62BF00A6"/>
    <w:rsid w:val="62BF5F4D"/>
    <w:rsid w:val="62C217B6"/>
    <w:rsid w:val="62CD0E1C"/>
    <w:rsid w:val="62CD7748"/>
    <w:rsid w:val="62D17DD9"/>
    <w:rsid w:val="62D2730F"/>
    <w:rsid w:val="62D30F8A"/>
    <w:rsid w:val="62D82519"/>
    <w:rsid w:val="62D86992"/>
    <w:rsid w:val="62D96C8E"/>
    <w:rsid w:val="62DA5E27"/>
    <w:rsid w:val="62DC4519"/>
    <w:rsid w:val="62DE42A4"/>
    <w:rsid w:val="62DF2ABE"/>
    <w:rsid w:val="62E013B1"/>
    <w:rsid w:val="62E01EC4"/>
    <w:rsid w:val="62E17727"/>
    <w:rsid w:val="62E278F0"/>
    <w:rsid w:val="62EA49F7"/>
    <w:rsid w:val="62EC5C38"/>
    <w:rsid w:val="62EF200D"/>
    <w:rsid w:val="62F4450F"/>
    <w:rsid w:val="62FD0BCE"/>
    <w:rsid w:val="62FD7F32"/>
    <w:rsid w:val="62FF376F"/>
    <w:rsid w:val="630162F6"/>
    <w:rsid w:val="630547C5"/>
    <w:rsid w:val="63076944"/>
    <w:rsid w:val="630A33CD"/>
    <w:rsid w:val="630B228C"/>
    <w:rsid w:val="630D6478"/>
    <w:rsid w:val="630F6C8D"/>
    <w:rsid w:val="63103306"/>
    <w:rsid w:val="631127C2"/>
    <w:rsid w:val="63147CC6"/>
    <w:rsid w:val="63184C6C"/>
    <w:rsid w:val="63190757"/>
    <w:rsid w:val="631A4A47"/>
    <w:rsid w:val="631C5D60"/>
    <w:rsid w:val="631D653F"/>
    <w:rsid w:val="631F6B73"/>
    <w:rsid w:val="632225B3"/>
    <w:rsid w:val="63272EBA"/>
    <w:rsid w:val="632A4016"/>
    <w:rsid w:val="632C223A"/>
    <w:rsid w:val="632D08AA"/>
    <w:rsid w:val="63311F80"/>
    <w:rsid w:val="633609DD"/>
    <w:rsid w:val="63371176"/>
    <w:rsid w:val="633B1E87"/>
    <w:rsid w:val="633E3785"/>
    <w:rsid w:val="63401365"/>
    <w:rsid w:val="63475591"/>
    <w:rsid w:val="634821C8"/>
    <w:rsid w:val="634B5E1D"/>
    <w:rsid w:val="635330EC"/>
    <w:rsid w:val="635922C6"/>
    <w:rsid w:val="63595381"/>
    <w:rsid w:val="63652B79"/>
    <w:rsid w:val="636B11B1"/>
    <w:rsid w:val="636C7B02"/>
    <w:rsid w:val="636D2D43"/>
    <w:rsid w:val="636E440A"/>
    <w:rsid w:val="63702418"/>
    <w:rsid w:val="63706C05"/>
    <w:rsid w:val="63750765"/>
    <w:rsid w:val="63773E7B"/>
    <w:rsid w:val="637830FB"/>
    <w:rsid w:val="637916C8"/>
    <w:rsid w:val="637C6F72"/>
    <w:rsid w:val="637D1D0F"/>
    <w:rsid w:val="63816E79"/>
    <w:rsid w:val="63877A66"/>
    <w:rsid w:val="63904AD5"/>
    <w:rsid w:val="63921E8A"/>
    <w:rsid w:val="639318AD"/>
    <w:rsid w:val="63956E21"/>
    <w:rsid w:val="639B1BC7"/>
    <w:rsid w:val="639C53D2"/>
    <w:rsid w:val="63A252D2"/>
    <w:rsid w:val="63A37553"/>
    <w:rsid w:val="63A47706"/>
    <w:rsid w:val="63A73190"/>
    <w:rsid w:val="63A80370"/>
    <w:rsid w:val="63AA1345"/>
    <w:rsid w:val="63AF02B3"/>
    <w:rsid w:val="63B34D1F"/>
    <w:rsid w:val="63B36AD9"/>
    <w:rsid w:val="63B73B5B"/>
    <w:rsid w:val="63BC6393"/>
    <w:rsid w:val="63C10369"/>
    <w:rsid w:val="63C83BAD"/>
    <w:rsid w:val="63C84CDC"/>
    <w:rsid w:val="63CF22B0"/>
    <w:rsid w:val="63D41FBE"/>
    <w:rsid w:val="63D77671"/>
    <w:rsid w:val="63DD6924"/>
    <w:rsid w:val="63DD7B2A"/>
    <w:rsid w:val="63DE7DC0"/>
    <w:rsid w:val="63E2149B"/>
    <w:rsid w:val="63EB4ECB"/>
    <w:rsid w:val="63F7386F"/>
    <w:rsid w:val="63FC77FF"/>
    <w:rsid w:val="63FF1866"/>
    <w:rsid w:val="64003AD1"/>
    <w:rsid w:val="6401024A"/>
    <w:rsid w:val="64015A35"/>
    <w:rsid w:val="64025CCB"/>
    <w:rsid w:val="64077E60"/>
    <w:rsid w:val="640819C5"/>
    <w:rsid w:val="640C2128"/>
    <w:rsid w:val="640F079D"/>
    <w:rsid w:val="640F290B"/>
    <w:rsid w:val="6412307A"/>
    <w:rsid w:val="641A130C"/>
    <w:rsid w:val="641B3078"/>
    <w:rsid w:val="641C0181"/>
    <w:rsid w:val="6420379D"/>
    <w:rsid w:val="64257BD1"/>
    <w:rsid w:val="642C4A3E"/>
    <w:rsid w:val="6432146B"/>
    <w:rsid w:val="64322AF9"/>
    <w:rsid w:val="643423CE"/>
    <w:rsid w:val="6438165D"/>
    <w:rsid w:val="64393E88"/>
    <w:rsid w:val="643B36EE"/>
    <w:rsid w:val="643B585D"/>
    <w:rsid w:val="643C6145"/>
    <w:rsid w:val="643E149E"/>
    <w:rsid w:val="643E4FFA"/>
    <w:rsid w:val="643E63F1"/>
    <w:rsid w:val="6442107A"/>
    <w:rsid w:val="64436AB5"/>
    <w:rsid w:val="64492F21"/>
    <w:rsid w:val="644D3D14"/>
    <w:rsid w:val="6451723D"/>
    <w:rsid w:val="64573C08"/>
    <w:rsid w:val="64587970"/>
    <w:rsid w:val="645962D8"/>
    <w:rsid w:val="645C2E28"/>
    <w:rsid w:val="645D1DB9"/>
    <w:rsid w:val="645D628E"/>
    <w:rsid w:val="645E651F"/>
    <w:rsid w:val="64623690"/>
    <w:rsid w:val="6464424D"/>
    <w:rsid w:val="646507D9"/>
    <w:rsid w:val="64693CD7"/>
    <w:rsid w:val="6469735E"/>
    <w:rsid w:val="646A4041"/>
    <w:rsid w:val="647543EB"/>
    <w:rsid w:val="647924D6"/>
    <w:rsid w:val="647A7DFB"/>
    <w:rsid w:val="647B7FFD"/>
    <w:rsid w:val="648619C5"/>
    <w:rsid w:val="648C2202"/>
    <w:rsid w:val="64916FED"/>
    <w:rsid w:val="64924634"/>
    <w:rsid w:val="649578F3"/>
    <w:rsid w:val="649752E4"/>
    <w:rsid w:val="649864A1"/>
    <w:rsid w:val="64996F5C"/>
    <w:rsid w:val="649C10AD"/>
    <w:rsid w:val="64A01811"/>
    <w:rsid w:val="64A05E79"/>
    <w:rsid w:val="64A2280B"/>
    <w:rsid w:val="64A258CD"/>
    <w:rsid w:val="64A41536"/>
    <w:rsid w:val="64A63434"/>
    <w:rsid w:val="64AB3381"/>
    <w:rsid w:val="64AB40A0"/>
    <w:rsid w:val="64B40B31"/>
    <w:rsid w:val="64B67287"/>
    <w:rsid w:val="64B81EB5"/>
    <w:rsid w:val="64BD699D"/>
    <w:rsid w:val="64C20C65"/>
    <w:rsid w:val="64C30C1E"/>
    <w:rsid w:val="64C82500"/>
    <w:rsid w:val="64C94FF0"/>
    <w:rsid w:val="64CA01B0"/>
    <w:rsid w:val="64CA0F84"/>
    <w:rsid w:val="64CA3DD2"/>
    <w:rsid w:val="64CD45D0"/>
    <w:rsid w:val="64D21BE7"/>
    <w:rsid w:val="64D36C14"/>
    <w:rsid w:val="64E022C0"/>
    <w:rsid w:val="64E03F34"/>
    <w:rsid w:val="64E3322A"/>
    <w:rsid w:val="64E35BA2"/>
    <w:rsid w:val="64E53367"/>
    <w:rsid w:val="64EB370D"/>
    <w:rsid w:val="64ED7C96"/>
    <w:rsid w:val="64EE3003"/>
    <w:rsid w:val="64EF322F"/>
    <w:rsid w:val="64F102BF"/>
    <w:rsid w:val="64F92C6C"/>
    <w:rsid w:val="64F93617"/>
    <w:rsid w:val="64FE1FA8"/>
    <w:rsid w:val="6502063C"/>
    <w:rsid w:val="65033B84"/>
    <w:rsid w:val="65051FBC"/>
    <w:rsid w:val="65065AB6"/>
    <w:rsid w:val="6512149A"/>
    <w:rsid w:val="65132ADF"/>
    <w:rsid w:val="651D26A1"/>
    <w:rsid w:val="651F307E"/>
    <w:rsid w:val="65202952"/>
    <w:rsid w:val="652A3402"/>
    <w:rsid w:val="652C356B"/>
    <w:rsid w:val="652F3F54"/>
    <w:rsid w:val="653914B1"/>
    <w:rsid w:val="65415223"/>
    <w:rsid w:val="654628C9"/>
    <w:rsid w:val="65467B16"/>
    <w:rsid w:val="654776BB"/>
    <w:rsid w:val="654A0B91"/>
    <w:rsid w:val="654A5B37"/>
    <w:rsid w:val="654E322D"/>
    <w:rsid w:val="655669CC"/>
    <w:rsid w:val="6556794C"/>
    <w:rsid w:val="655C0752"/>
    <w:rsid w:val="656124B3"/>
    <w:rsid w:val="656909FE"/>
    <w:rsid w:val="656B71BD"/>
    <w:rsid w:val="65752C9E"/>
    <w:rsid w:val="6578278E"/>
    <w:rsid w:val="657D1B52"/>
    <w:rsid w:val="6581322A"/>
    <w:rsid w:val="65820F0E"/>
    <w:rsid w:val="65855B94"/>
    <w:rsid w:val="6587477F"/>
    <w:rsid w:val="65886CE5"/>
    <w:rsid w:val="65915CCD"/>
    <w:rsid w:val="65930D07"/>
    <w:rsid w:val="65A73C7A"/>
    <w:rsid w:val="65AA2625"/>
    <w:rsid w:val="65AD6874"/>
    <w:rsid w:val="65AF5970"/>
    <w:rsid w:val="65B31A18"/>
    <w:rsid w:val="65B47EDF"/>
    <w:rsid w:val="65B70D83"/>
    <w:rsid w:val="65BF6897"/>
    <w:rsid w:val="65D427DB"/>
    <w:rsid w:val="65D827AA"/>
    <w:rsid w:val="65DE4CE7"/>
    <w:rsid w:val="65DF19BC"/>
    <w:rsid w:val="65E01371"/>
    <w:rsid w:val="65E252EE"/>
    <w:rsid w:val="65E5228A"/>
    <w:rsid w:val="65E95DEF"/>
    <w:rsid w:val="65F04A1A"/>
    <w:rsid w:val="65F34BCA"/>
    <w:rsid w:val="65F8742B"/>
    <w:rsid w:val="65FC5586"/>
    <w:rsid w:val="65FE557F"/>
    <w:rsid w:val="65FE7137"/>
    <w:rsid w:val="660109D5"/>
    <w:rsid w:val="66020D12"/>
    <w:rsid w:val="660C0B62"/>
    <w:rsid w:val="660D1128"/>
    <w:rsid w:val="660E6FC0"/>
    <w:rsid w:val="66110EC7"/>
    <w:rsid w:val="66154481"/>
    <w:rsid w:val="661A02DA"/>
    <w:rsid w:val="661C1A68"/>
    <w:rsid w:val="662356C6"/>
    <w:rsid w:val="662A2516"/>
    <w:rsid w:val="662C36BF"/>
    <w:rsid w:val="66307D70"/>
    <w:rsid w:val="66341D23"/>
    <w:rsid w:val="66365FD9"/>
    <w:rsid w:val="66384919"/>
    <w:rsid w:val="663A7A43"/>
    <w:rsid w:val="663C7C5F"/>
    <w:rsid w:val="663D3A56"/>
    <w:rsid w:val="663E374A"/>
    <w:rsid w:val="664002BE"/>
    <w:rsid w:val="66456B14"/>
    <w:rsid w:val="6646766D"/>
    <w:rsid w:val="66475879"/>
    <w:rsid w:val="664870DE"/>
    <w:rsid w:val="66562A63"/>
    <w:rsid w:val="66582E23"/>
    <w:rsid w:val="665931F4"/>
    <w:rsid w:val="665A4EDB"/>
    <w:rsid w:val="665E6A84"/>
    <w:rsid w:val="665E75A0"/>
    <w:rsid w:val="665F78C7"/>
    <w:rsid w:val="66612387"/>
    <w:rsid w:val="66631C4F"/>
    <w:rsid w:val="66636F9A"/>
    <w:rsid w:val="666431AD"/>
    <w:rsid w:val="66646249"/>
    <w:rsid w:val="66682803"/>
    <w:rsid w:val="666F4237"/>
    <w:rsid w:val="66723681"/>
    <w:rsid w:val="66723DA6"/>
    <w:rsid w:val="66741416"/>
    <w:rsid w:val="66761EE6"/>
    <w:rsid w:val="667E3DD4"/>
    <w:rsid w:val="667E4280"/>
    <w:rsid w:val="66807ADF"/>
    <w:rsid w:val="6681678C"/>
    <w:rsid w:val="66835660"/>
    <w:rsid w:val="66861029"/>
    <w:rsid w:val="66877EC6"/>
    <w:rsid w:val="668C4743"/>
    <w:rsid w:val="668D6CDE"/>
    <w:rsid w:val="66931BEC"/>
    <w:rsid w:val="669C6179"/>
    <w:rsid w:val="669D352A"/>
    <w:rsid w:val="66A15D14"/>
    <w:rsid w:val="66A454F2"/>
    <w:rsid w:val="66A74F3F"/>
    <w:rsid w:val="66A96D21"/>
    <w:rsid w:val="66AF4D91"/>
    <w:rsid w:val="66AF79A6"/>
    <w:rsid w:val="66B30BD3"/>
    <w:rsid w:val="66B650CD"/>
    <w:rsid w:val="66B912B0"/>
    <w:rsid w:val="66BB7AE0"/>
    <w:rsid w:val="66BC2339"/>
    <w:rsid w:val="66BD5B8A"/>
    <w:rsid w:val="66BD75B0"/>
    <w:rsid w:val="66C03632"/>
    <w:rsid w:val="66C20E7C"/>
    <w:rsid w:val="66C238D4"/>
    <w:rsid w:val="66C304E6"/>
    <w:rsid w:val="66C70092"/>
    <w:rsid w:val="66CB1165"/>
    <w:rsid w:val="66CE3A79"/>
    <w:rsid w:val="66D04A39"/>
    <w:rsid w:val="66D53406"/>
    <w:rsid w:val="66D53FF1"/>
    <w:rsid w:val="66E873C2"/>
    <w:rsid w:val="66EB03AE"/>
    <w:rsid w:val="66EC277A"/>
    <w:rsid w:val="66ED0FFC"/>
    <w:rsid w:val="66ED4AB6"/>
    <w:rsid w:val="66F422E8"/>
    <w:rsid w:val="66F57630"/>
    <w:rsid w:val="66F7221C"/>
    <w:rsid w:val="66FB3677"/>
    <w:rsid w:val="66FE2FE9"/>
    <w:rsid w:val="66FE3167"/>
    <w:rsid w:val="670342D9"/>
    <w:rsid w:val="6705488D"/>
    <w:rsid w:val="670A34FC"/>
    <w:rsid w:val="670A63F8"/>
    <w:rsid w:val="670D5DDA"/>
    <w:rsid w:val="670E2E3D"/>
    <w:rsid w:val="670E33AA"/>
    <w:rsid w:val="671473D7"/>
    <w:rsid w:val="671604E7"/>
    <w:rsid w:val="67194F00"/>
    <w:rsid w:val="671C3E03"/>
    <w:rsid w:val="6727127D"/>
    <w:rsid w:val="67283D40"/>
    <w:rsid w:val="672A0297"/>
    <w:rsid w:val="672E1BB9"/>
    <w:rsid w:val="672E40D5"/>
    <w:rsid w:val="672E57FA"/>
    <w:rsid w:val="6737032F"/>
    <w:rsid w:val="673821D5"/>
    <w:rsid w:val="6739288B"/>
    <w:rsid w:val="673D053F"/>
    <w:rsid w:val="6747066A"/>
    <w:rsid w:val="675016AD"/>
    <w:rsid w:val="675375CF"/>
    <w:rsid w:val="67570789"/>
    <w:rsid w:val="675826C2"/>
    <w:rsid w:val="67584625"/>
    <w:rsid w:val="67587852"/>
    <w:rsid w:val="6759039D"/>
    <w:rsid w:val="675C63DC"/>
    <w:rsid w:val="67604DBC"/>
    <w:rsid w:val="676776F7"/>
    <w:rsid w:val="676F196F"/>
    <w:rsid w:val="67717495"/>
    <w:rsid w:val="677526EE"/>
    <w:rsid w:val="677531D6"/>
    <w:rsid w:val="6776387B"/>
    <w:rsid w:val="677B47B7"/>
    <w:rsid w:val="67803B7C"/>
    <w:rsid w:val="678278F4"/>
    <w:rsid w:val="67836389"/>
    <w:rsid w:val="67845968"/>
    <w:rsid w:val="67854E2C"/>
    <w:rsid w:val="678846A7"/>
    <w:rsid w:val="678C0773"/>
    <w:rsid w:val="6791279C"/>
    <w:rsid w:val="67966EFB"/>
    <w:rsid w:val="679A69EC"/>
    <w:rsid w:val="679B2764"/>
    <w:rsid w:val="67A506CD"/>
    <w:rsid w:val="67AD27D7"/>
    <w:rsid w:val="67AE06E9"/>
    <w:rsid w:val="67B0620F"/>
    <w:rsid w:val="67BA5C01"/>
    <w:rsid w:val="67C3109B"/>
    <w:rsid w:val="67C31806"/>
    <w:rsid w:val="67C47F0C"/>
    <w:rsid w:val="67C62FB3"/>
    <w:rsid w:val="67CC0BD6"/>
    <w:rsid w:val="67CD5013"/>
    <w:rsid w:val="67CF2647"/>
    <w:rsid w:val="67CF4726"/>
    <w:rsid w:val="67D16931"/>
    <w:rsid w:val="67D31EFE"/>
    <w:rsid w:val="67DB6D92"/>
    <w:rsid w:val="67DD5F1A"/>
    <w:rsid w:val="67E51B87"/>
    <w:rsid w:val="67E902FD"/>
    <w:rsid w:val="67E97065"/>
    <w:rsid w:val="67F634C9"/>
    <w:rsid w:val="68000819"/>
    <w:rsid w:val="68021F70"/>
    <w:rsid w:val="68037FDF"/>
    <w:rsid w:val="68091DC3"/>
    <w:rsid w:val="68092AD1"/>
    <w:rsid w:val="680F301B"/>
    <w:rsid w:val="68127979"/>
    <w:rsid w:val="681361C5"/>
    <w:rsid w:val="68142C42"/>
    <w:rsid w:val="68151AB0"/>
    <w:rsid w:val="6815774F"/>
    <w:rsid w:val="68172D5E"/>
    <w:rsid w:val="68190258"/>
    <w:rsid w:val="681A18DB"/>
    <w:rsid w:val="681A7B2C"/>
    <w:rsid w:val="681D261C"/>
    <w:rsid w:val="68202928"/>
    <w:rsid w:val="6828621E"/>
    <w:rsid w:val="682A7C88"/>
    <w:rsid w:val="683851C9"/>
    <w:rsid w:val="68395314"/>
    <w:rsid w:val="683A6742"/>
    <w:rsid w:val="683C524E"/>
    <w:rsid w:val="683D600D"/>
    <w:rsid w:val="683E7EEC"/>
    <w:rsid w:val="6841155D"/>
    <w:rsid w:val="684352D5"/>
    <w:rsid w:val="68453C1C"/>
    <w:rsid w:val="684611D7"/>
    <w:rsid w:val="68464DC5"/>
    <w:rsid w:val="68511756"/>
    <w:rsid w:val="685230BB"/>
    <w:rsid w:val="68525518"/>
    <w:rsid w:val="68544A88"/>
    <w:rsid w:val="6855791D"/>
    <w:rsid w:val="68585A0D"/>
    <w:rsid w:val="685A28EA"/>
    <w:rsid w:val="685B786B"/>
    <w:rsid w:val="685E23F3"/>
    <w:rsid w:val="685E6B05"/>
    <w:rsid w:val="68670F13"/>
    <w:rsid w:val="68690F04"/>
    <w:rsid w:val="686E699A"/>
    <w:rsid w:val="686F3ED2"/>
    <w:rsid w:val="686F7842"/>
    <w:rsid w:val="687078B0"/>
    <w:rsid w:val="68720205"/>
    <w:rsid w:val="68727AEC"/>
    <w:rsid w:val="68731391"/>
    <w:rsid w:val="68747FC1"/>
    <w:rsid w:val="68752A81"/>
    <w:rsid w:val="687731D1"/>
    <w:rsid w:val="68803A47"/>
    <w:rsid w:val="688348E0"/>
    <w:rsid w:val="68906E9A"/>
    <w:rsid w:val="68925915"/>
    <w:rsid w:val="68994EF5"/>
    <w:rsid w:val="68A57FC2"/>
    <w:rsid w:val="68AA7102"/>
    <w:rsid w:val="68AA78F2"/>
    <w:rsid w:val="68AB6164"/>
    <w:rsid w:val="68AB6821"/>
    <w:rsid w:val="68B2190A"/>
    <w:rsid w:val="68B2519B"/>
    <w:rsid w:val="68B63144"/>
    <w:rsid w:val="68B852C3"/>
    <w:rsid w:val="68BD3BC7"/>
    <w:rsid w:val="68BD52C3"/>
    <w:rsid w:val="68C161FA"/>
    <w:rsid w:val="68C53B3E"/>
    <w:rsid w:val="68D53926"/>
    <w:rsid w:val="68D92A15"/>
    <w:rsid w:val="68DB4723"/>
    <w:rsid w:val="68DC11D9"/>
    <w:rsid w:val="68DC4739"/>
    <w:rsid w:val="68DD1DE6"/>
    <w:rsid w:val="68E04191"/>
    <w:rsid w:val="68E36170"/>
    <w:rsid w:val="68E47FED"/>
    <w:rsid w:val="68EA74FF"/>
    <w:rsid w:val="68EB4E0B"/>
    <w:rsid w:val="68ED60DB"/>
    <w:rsid w:val="68EF077E"/>
    <w:rsid w:val="68F0088D"/>
    <w:rsid w:val="68FC7232"/>
    <w:rsid w:val="68FE11FC"/>
    <w:rsid w:val="6901203E"/>
    <w:rsid w:val="69036A27"/>
    <w:rsid w:val="69116ACA"/>
    <w:rsid w:val="691C62D0"/>
    <w:rsid w:val="69210824"/>
    <w:rsid w:val="69260A14"/>
    <w:rsid w:val="692D5624"/>
    <w:rsid w:val="692E1C73"/>
    <w:rsid w:val="6934422B"/>
    <w:rsid w:val="69344839"/>
    <w:rsid w:val="6935288E"/>
    <w:rsid w:val="69371955"/>
    <w:rsid w:val="69385685"/>
    <w:rsid w:val="693C5FA2"/>
    <w:rsid w:val="69402BF8"/>
    <w:rsid w:val="6941314D"/>
    <w:rsid w:val="694442E9"/>
    <w:rsid w:val="69531548"/>
    <w:rsid w:val="69551A76"/>
    <w:rsid w:val="695E1C9B"/>
    <w:rsid w:val="695E52B7"/>
    <w:rsid w:val="69600855"/>
    <w:rsid w:val="69640903"/>
    <w:rsid w:val="696A4AE4"/>
    <w:rsid w:val="696C6F94"/>
    <w:rsid w:val="696E0130"/>
    <w:rsid w:val="696E7ABF"/>
    <w:rsid w:val="696F3EA8"/>
    <w:rsid w:val="696F5446"/>
    <w:rsid w:val="69731BEA"/>
    <w:rsid w:val="69744294"/>
    <w:rsid w:val="6975577E"/>
    <w:rsid w:val="69757BD6"/>
    <w:rsid w:val="69783528"/>
    <w:rsid w:val="69784FBE"/>
    <w:rsid w:val="697F233D"/>
    <w:rsid w:val="698010DB"/>
    <w:rsid w:val="6984483D"/>
    <w:rsid w:val="69845BA5"/>
    <w:rsid w:val="69915149"/>
    <w:rsid w:val="699A2669"/>
    <w:rsid w:val="699F077D"/>
    <w:rsid w:val="699F2B6C"/>
    <w:rsid w:val="699F653B"/>
    <w:rsid w:val="699F7F40"/>
    <w:rsid w:val="69AA5BBC"/>
    <w:rsid w:val="69B12607"/>
    <w:rsid w:val="69B1626F"/>
    <w:rsid w:val="69B25B26"/>
    <w:rsid w:val="69B266DE"/>
    <w:rsid w:val="69B44B75"/>
    <w:rsid w:val="69B87885"/>
    <w:rsid w:val="69BA11A7"/>
    <w:rsid w:val="69BA2751"/>
    <w:rsid w:val="69BB1792"/>
    <w:rsid w:val="69C30AC0"/>
    <w:rsid w:val="69C40803"/>
    <w:rsid w:val="69C43AEF"/>
    <w:rsid w:val="69C650CD"/>
    <w:rsid w:val="69C66504"/>
    <w:rsid w:val="69C66CD0"/>
    <w:rsid w:val="69C906D2"/>
    <w:rsid w:val="69D12417"/>
    <w:rsid w:val="69D53AF9"/>
    <w:rsid w:val="69D64DD2"/>
    <w:rsid w:val="69DB0968"/>
    <w:rsid w:val="69DC7D20"/>
    <w:rsid w:val="69DC7ED6"/>
    <w:rsid w:val="69DD0FAB"/>
    <w:rsid w:val="69DE2152"/>
    <w:rsid w:val="69E06B54"/>
    <w:rsid w:val="69E54278"/>
    <w:rsid w:val="69EB4B37"/>
    <w:rsid w:val="69EF253C"/>
    <w:rsid w:val="69F04FE9"/>
    <w:rsid w:val="69F109A3"/>
    <w:rsid w:val="69F543AD"/>
    <w:rsid w:val="6A0067D7"/>
    <w:rsid w:val="6A035DA4"/>
    <w:rsid w:val="6A1047C4"/>
    <w:rsid w:val="6A1265C0"/>
    <w:rsid w:val="6A132A85"/>
    <w:rsid w:val="6A1973EB"/>
    <w:rsid w:val="6A1A27ED"/>
    <w:rsid w:val="6A1E7E12"/>
    <w:rsid w:val="6A221DF4"/>
    <w:rsid w:val="6A2313FB"/>
    <w:rsid w:val="6A26111C"/>
    <w:rsid w:val="6A291911"/>
    <w:rsid w:val="6A41193D"/>
    <w:rsid w:val="6A413A96"/>
    <w:rsid w:val="6A435E96"/>
    <w:rsid w:val="6A44663C"/>
    <w:rsid w:val="6A49718E"/>
    <w:rsid w:val="6A4C271E"/>
    <w:rsid w:val="6A4F2E1A"/>
    <w:rsid w:val="6A5469E4"/>
    <w:rsid w:val="6A5549A3"/>
    <w:rsid w:val="6A5A325D"/>
    <w:rsid w:val="6A5B3471"/>
    <w:rsid w:val="6A694087"/>
    <w:rsid w:val="6A6A5225"/>
    <w:rsid w:val="6A6A6101"/>
    <w:rsid w:val="6A6E0176"/>
    <w:rsid w:val="6A7157A9"/>
    <w:rsid w:val="6A793769"/>
    <w:rsid w:val="6A8246F4"/>
    <w:rsid w:val="6A883473"/>
    <w:rsid w:val="6A883982"/>
    <w:rsid w:val="6A8D6CDC"/>
    <w:rsid w:val="6A8E57CD"/>
    <w:rsid w:val="6A9811DC"/>
    <w:rsid w:val="6A9D144E"/>
    <w:rsid w:val="6A9E2C97"/>
    <w:rsid w:val="6A9F2904"/>
    <w:rsid w:val="6AA168E8"/>
    <w:rsid w:val="6AA56787"/>
    <w:rsid w:val="6AA61BD5"/>
    <w:rsid w:val="6AA75BA8"/>
    <w:rsid w:val="6AA86AB1"/>
    <w:rsid w:val="6AB844F7"/>
    <w:rsid w:val="6ABB79F7"/>
    <w:rsid w:val="6ABD4DBC"/>
    <w:rsid w:val="6ACB4E31"/>
    <w:rsid w:val="6ACB678B"/>
    <w:rsid w:val="6ACE029F"/>
    <w:rsid w:val="6AD17B23"/>
    <w:rsid w:val="6AD22940"/>
    <w:rsid w:val="6AD246EE"/>
    <w:rsid w:val="6AD55800"/>
    <w:rsid w:val="6AD77E2D"/>
    <w:rsid w:val="6AD77F57"/>
    <w:rsid w:val="6AD903BB"/>
    <w:rsid w:val="6ADC1E9D"/>
    <w:rsid w:val="6ADC37BF"/>
    <w:rsid w:val="6ADE3832"/>
    <w:rsid w:val="6ADF06DE"/>
    <w:rsid w:val="6AE30927"/>
    <w:rsid w:val="6AE74869"/>
    <w:rsid w:val="6AE82164"/>
    <w:rsid w:val="6AEA33A5"/>
    <w:rsid w:val="6AEC5EBB"/>
    <w:rsid w:val="6AED777A"/>
    <w:rsid w:val="6AF00EE6"/>
    <w:rsid w:val="6AF24D91"/>
    <w:rsid w:val="6AF77361"/>
    <w:rsid w:val="6AF9611F"/>
    <w:rsid w:val="6B025A6F"/>
    <w:rsid w:val="6B046E59"/>
    <w:rsid w:val="6B066991"/>
    <w:rsid w:val="6B0D1BCA"/>
    <w:rsid w:val="6B0D3978"/>
    <w:rsid w:val="6B1116BB"/>
    <w:rsid w:val="6B1940CB"/>
    <w:rsid w:val="6B1C4F90"/>
    <w:rsid w:val="6B1F0677"/>
    <w:rsid w:val="6B25268C"/>
    <w:rsid w:val="6B273C50"/>
    <w:rsid w:val="6B2A452A"/>
    <w:rsid w:val="6B2A5874"/>
    <w:rsid w:val="6B2B3DFF"/>
    <w:rsid w:val="6B385EB4"/>
    <w:rsid w:val="6B3A163D"/>
    <w:rsid w:val="6B3C1670"/>
    <w:rsid w:val="6B4372AD"/>
    <w:rsid w:val="6B43739A"/>
    <w:rsid w:val="6B476C2D"/>
    <w:rsid w:val="6B496724"/>
    <w:rsid w:val="6B4B1036"/>
    <w:rsid w:val="6B4F5D3F"/>
    <w:rsid w:val="6B4F61BF"/>
    <w:rsid w:val="6B507294"/>
    <w:rsid w:val="6B513865"/>
    <w:rsid w:val="6B5216DD"/>
    <w:rsid w:val="6B546645"/>
    <w:rsid w:val="6B554422"/>
    <w:rsid w:val="6B5C220A"/>
    <w:rsid w:val="6B5E41D4"/>
    <w:rsid w:val="6B684B4C"/>
    <w:rsid w:val="6B6A3D5A"/>
    <w:rsid w:val="6B6A4927"/>
    <w:rsid w:val="6B81028B"/>
    <w:rsid w:val="6B822EE9"/>
    <w:rsid w:val="6B845F39"/>
    <w:rsid w:val="6B87197D"/>
    <w:rsid w:val="6B895BD2"/>
    <w:rsid w:val="6B8A0AC6"/>
    <w:rsid w:val="6B91660C"/>
    <w:rsid w:val="6B95347C"/>
    <w:rsid w:val="6B9853AF"/>
    <w:rsid w:val="6B9D6CA6"/>
    <w:rsid w:val="6BA348FB"/>
    <w:rsid w:val="6BAA0D42"/>
    <w:rsid w:val="6BAA5BA6"/>
    <w:rsid w:val="6BAD30F8"/>
    <w:rsid w:val="6BAE6F0A"/>
    <w:rsid w:val="6BB7368E"/>
    <w:rsid w:val="6BBB3E48"/>
    <w:rsid w:val="6BC26511"/>
    <w:rsid w:val="6BC37D58"/>
    <w:rsid w:val="6BC63F3A"/>
    <w:rsid w:val="6BCC5210"/>
    <w:rsid w:val="6BD050D2"/>
    <w:rsid w:val="6BD065D4"/>
    <w:rsid w:val="6BD525D8"/>
    <w:rsid w:val="6BDD0389"/>
    <w:rsid w:val="6BDD2F6C"/>
    <w:rsid w:val="6BDE1541"/>
    <w:rsid w:val="6BDE4E99"/>
    <w:rsid w:val="6BE12084"/>
    <w:rsid w:val="6BEE3567"/>
    <w:rsid w:val="6BF110CF"/>
    <w:rsid w:val="6BF26915"/>
    <w:rsid w:val="6BF637E3"/>
    <w:rsid w:val="6BF84E53"/>
    <w:rsid w:val="6BF8798E"/>
    <w:rsid w:val="6BFB1A23"/>
    <w:rsid w:val="6BFD39ED"/>
    <w:rsid w:val="6BFF1513"/>
    <w:rsid w:val="6C001882"/>
    <w:rsid w:val="6C0139F0"/>
    <w:rsid w:val="6C052128"/>
    <w:rsid w:val="6C060AF4"/>
    <w:rsid w:val="6C090C57"/>
    <w:rsid w:val="6C1270FF"/>
    <w:rsid w:val="6C132789"/>
    <w:rsid w:val="6C13669E"/>
    <w:rsid w:val="6C164AAF"/>
    <w:rsid w:val="6C190CFF"/>
    <w:rsid w:val="6C1A00FB"/>
    <w:rsid w:val="6C1C314D"/>
    <w:rsid w:val="6C1C3356"/>
    <w:rsid w:val="6C1F36D1"/>
    <w:rsid w:val="6C2008BD"/>
    <w:rsid w:val="6C21592D"/>
    <w:rsid w:val="6C220D52"/>
    <w:rsid w:val="6C256AA0"/>
    <w:rsid w:val="6C2934E8"/>
    <w:rsid w:val="6C2B3640"/>
    <w:rsid w:val="6C2C1662"/>
    <w:rsid w:val="6C2C6080"/>
    <w:rsid w:val="6C341537"/>
    <w:rsid w:val="6C3746D6"/>
    <w:rsid w:val="6C3876CA"/>
    <w:rsid w:val="6C3C4515"/>
    <w:rsid w:val="6C3D203B"/>
    <w:rsid w:val="6C3F3781"/>
    <w:rsid w:val="6C3F3F7C"/>
    <w:rsid w:val="6C400DED"/>
    <w:rsid w:val="6C414E16"/>
    <w:rsid w:val="6C4242DA"/>
    <w:rsid w:val="6C425C56"/>
    <w:rsid w:val="6C431C4F"/>
    <w:rsid w:val="6C4367F5"/>
    <w:rsid w:val="6C4476FA"/>
    <w:rsid w:val="6C44786E"/>
    <w:rsid w:val="6C453A26"/>
    <w:rsid w:val="6C467464"/>
    <w:rsid w:val="6C4D0140"/>
    <w:rsid w:val="6C4F47B7"/>
    <w:rsid w:val="6C504377"/>
    <w:rsid w:val="6C547DE8"/>
    <w:rsid w:val="6C57134F"/>
    <w:rsid w:val="6C5775A1"/>
    <w:rsid w:val="6C5A4700"/>
    <w:rsid w:val="6C5A6D52"/>
    <w:rsid w:val="6C5C4BB7"/>
    <w:rsid w:val="6C64761B"/>
    <w:rsid w:val="6C6B559C"/>
    <w:rsid w:val="6C6E6699"/>
    <w:rsid w:val="6C7041BF"/>
    <w:rsid w:val="6C7308D9"/>
    <w:rsid w:val="6C733C7B"/>
    <w:rsid w:val="6C74510B"/>
    <w:rsid w:val="6C76021C"/>
    <w:rsid w:val="6C77797C"/>
    <w:rsid w:val="6C7C0DB6"/>
    <w:rsid w:val="6C8D09BE"/>
    <w:rsid w:val="6C8F247C"/>
    <w:rsid w:val="6C917A19"/>
    <w:rsid w:val="6C971DBA"/>
    <w:rsid w:val="6C992C0F"/>
    <w:rsid w:val="6C9C1458"/>
    <w:rsid w:val="6C9D6EE8"/>
    <w:rsid w:val="6CA218CA"/>
    <w:rsid w:val="6CA336E2"/>
    <w:rsid w:val="6CAA7EAD"/>
    <w:rsid w:val="6CAB51F7"/>
    <w:rsid w:val="6CAE643E"/>
    <w:rsid w:val="6CB0430A"/>
    <w:rsid w:val="6CB26F15"/>
    <w:rsid w:val="6CB347D0"/>
    <w:rsid w:val="6CB669EB"/>
    <w:rsid w:val="6CBE13CE"/>
    <w:rsid w:val="6CBE15F3"/>
    <w:rsid w:val="6CCA67F5"/>
    <w:rsid w:val="6CD429A0"/>
    <w:rsid w:val="6CD44D6B"/>
    <w:rsid w:val="6CD53438"/>
    <w:rsid w:val="6CDB1910"/>
    <w:rsid w:val="6CE36B4B"/>
    <w:rsid w:val="6CE46DF0"/>
    <w:rsid w:val="6CEC150E"/>
    <w:rsid w:val="6CED6E0A"/>
    <w:rsid w:val="6CF9021D"/>
    <w:rsid w:val="6CFB26FD"/>
    <w:rsid w:val="6CFE5E7F"/>
    <w:rsid w:val="6D00601D"/>
    <w:rsid w:val="6D013E44"/>
    <w:rsid w:val="6D0D0841"/>
    <w:rsid w:val="6D1234C8"/>
    <w:rsid w:val="6D1763FC"/>
    <w:rsid w:val="6D181AF9"/>
    <w:rsid w:val="6D192AA9"/>
    <w:rsid w:val="6D1E1E6D"/>
    <w:rsid w:val="6D212ED6"/>
    <w:rsid w:val="6D221D5A"/>
    <w:rsid w:val="6D287DD7"/>
    <w:rsid w:val="6D2F1E6A"/>
    <w:rsid w:val="6D303E5D"/>
    <w:rsid w:val="6D323B6A"/>
    <w:rsid w:val="6D350F65"/>
    <w:rsid w:val="6D413DAD"/>
    <w:rsid w:val="6D454822"/>
    <w:rsid w:val="6D475C2D"/>
    <w:rsid w:val="6D4F2026"/>
    <w:rsid w:val="6D524541"/>
    <w:rsid w:val="6D527D69"/>
    <w:rsid w:val="6D5C2995"/>
    <w:rsid w:val="6D5D5F11"/>
    <w:rsid w:val="6D5E47ED"/>
    <w:rsid w:val="6D60461E"/>
    <w:rsid w:val="6D652AF4"/>
    <w:rsid w:val="6D6539A0"/>
    <w:rsid w:val="6D655CEE"/>
    <w:rsid w:val="6D681F26"/>
    <w:rsid w:val="6D6B4264"/>
    <w:rsid w:val="6D6C1375"/>
    <w:rsid w:val="6D6D1651"/>
    <w:rsid w:val="6D7221B9"/>
    <w:rsid w:val="6D74033C"/>
    <w:rsid w:val="6D780E19"/>
    <w:rsid w:val="6D793229"/>
    <w:rsid w:val="6D7D22A5"/>
    <w:rsid w:val="6D7F296A"/>
    <w:rsid w:val="6D83643A"/>
    <w:rsid w:val="6D85612D"/>
    <w:rsid w:val="6D8D489C"/>
    <w:rsid w:val="6D967B0A"/>
    <w:rsid w:val="6D986F75"/>
    <w:rsid w:val="6D9E6B0A"/>
    <w:rsid w:val="6DA22D00"/>
    <w:rsid w:val="6DA47B21"/>
    <w:rsid w:val="6DA61459"/>
    <w:rsid w:val="6DA76C84"/>
    <w:rsid w:val="6DB02FDD"/>
    <w:rsid w:val="6DB427D1"/>
    <w:rsid w:val="6DB47310"/>
    <w:rsid w:val="6DBA3482"/>
    <w:rsid w:val="6DBB3B60"/>
    <w:rsid w:val="6DBB6A0D"/>
    <w:rsid w:val="6DBC1D8B"/>
    <w:rsid w:val="6DBD764E"/>
    <w:rsid w:val="6DBE13AC"/>
    <w:rsid w:val="6DC5712B"/>
    <w:rsid w:val="6DC9627D"/>
    <w:rsid w:val="6DCB3599"/>
    <w:rsid w:val="6DCD5EEB"/>
    <w:rsid w:val="6DD30A37"/>
    <w:rsid w:val="6DDF3059"/>
    <w:rsid w:val="6DE63034"/>
    <w:rsid w:val="6DE704B1"/>
    <w:rsid w:val="6DF13F1B"/>
    <w:rsid w:val="6DF2036B"/>
    <w:rsid w:val="6DF55674"/>
    <w:rsid w:val="6DF63C69"/>
    <w:rsid w:val="6E022344"/>
    <w:rsid w:val="6E030F2D"/>
    <w:rsid w:val="6E05486B"/>
    <w:rsid w:val="6E0E2CA1"/>
    <w:rsid w:val="6E0E5A3E"/>
    <w:rsid w:val="6E1010AF"/>
    <w:rsid w:val="6E112D3E"/>
    <w:rsid w:val="6E193B7A"/>
    <w:rsid w:val="6E2214E9"/>
    <w:rsid w:val="6E226710"/>
    <w:rsid w:val="6E233ABF"/>
    <w:rsid w:val="6E250FD9"/>
    <w:rsid w:val="6E260C96"/>
    <w:rsid w:val="6E27620E"/>
    <w:rsid w:val="6E281C6D"/>
    <w:rsid w:val="6E2C0469"/>
    <w:rsid w:val="6E3A26AB"/>
    <w:rsid w:val="6E3B7BBF"/>
    <w:rsid w:val="6E3E600B"/>
    <w:rsid w:val="6E433472"/>
    <w:rsid w:val="6E4334F3"/>
    <w:rsid w:val="6E4574F2"/>
    <w:rsid w:val="6E4870A7"/>
    <w:rsid w:val="6E492F1A"/>
    <w:rsid w:val="6E494CC8"/>
    <w:rsid w:val="6E4A6B8C"/>
    <w:rsid w:val="6E4F6056"/>
    <w:rsid w:val="6E5418B1"/>
    <w:rsid w:val="6E587601"/>
    <w:rsid w:val="6E590265"/>
    <w:rsid w:val="6E5A0C83"/>
    <w:rsid w:val="6E674A87"/>
    <w:rsid w:val="6E6A4E4D"/>
    <w:rsid w:val="6E70000E"/>
    <w:rsid w:val="6E737F96"/>
    <w:rsid w:val="6E744072"/>
    <w:rsid w:val="6E825C33"/>
    <w:rsid w:val="6E851A78"/>
    <w:rsid w:val="6E871B8D"/>
    <w:rsid w:val="6E891649"/>
    <w:rsid w:val="6E957F0D"/>
    <w:rsid w:val="6E972A43"/>
    <w:rsid w:val="6E9A19C7"/>
    <w:rsid w:val="6E9E4EA3"/>
    <w:rsid w:val="6E9F7FE1"/>
    <w:rsid w:val="6EA14B04"/>
    <w:rsid w:val="6EA42846"/>
    <w:rsid w:val="6EAA516E"/>
    <w:rsid w:val="6EAB5982"/>
    <w:rsid w:val="6EAC5256"/>
    <w:rsid w:val="6EB071D1"/>
    <w:rsid w:val="6EB72EEC"/>
    <w:rsid w:val="6EBC5733"/>
    <w:rsid w:val="6EC42B5A"/>
    <w:rsid w:val="6EC440DF"/>
    <w:rsid w:val="6EC648B3"/>
    <w:rsid w:val="6EC84F2F"/>
    <w:rsid w:val="6EC9705E"/>
    <w:rsid w:val="6EC978BE"/>
    <w:rsid w:val="6ECD58F9"/>
    <w:rsid w:val="6ED22F0F"/>
    <w:rsid w:val="6ED26EEB"/>
    <w:rsid w:val="6ED3187C"/>
    <w:rsid w:val="6EDC1FE0"/>
    <w:rsid w:val="6EDF0F11"/>
    <w:rsid w:val="6EDF6383"/>
    <w:rsid w:val="6EE113A4"/>
    <w:rsid w:val="6EE87822"/>
    <w:rsid w:val="6EEB6902"/>
    <w:rsid w:val="6EEB6CE5"/>
    <w:rsid w:val="6EEE2A89"/>
    <w:rsid w:val="6EF16C22"/>
    <w:rsid w:val="6EF274D9"/>
    <w:rsid w:val="6EF83DD7"/>
    <w:rsid w:val="6EF95E62"/>
    <w:rsid w:val="6EFA07C6"/>
    <w:rsid w:val="6EFA4214"/>
    <w:rsid w:val="6EFC7F8C"/>
    <w:rsid w:val="6EFE2749"/>
    <w:rsid w:val="6EFF09BF"/>
    <w:rsid w:val="6F011A46"/>
    <w:rsid w:val="6F030D06"/>
    <w:rsid w:val="6F030FB4"/>
    <w:rsid w:val="6F05121A"/>
    <w:rsid w:val="6F0859D8"/>
    <w:rsid w:val="6F092045"/>
    <w:rsid w:val="6F094CB0"/>
    <w:rsid w:val="6F1103E5"/>
    <w:rsid w:val="6F1654F2"/>
    <w:rsid w:val="6F1756D8"/>
    <w:rsid w:val="6F23376B"/>
    <w:rsid w:val="6F291EEA"/>
    <w:rsid w:val="6F2B6AC3"/>
    <w:rsid w:val="6F2C03CD"/>
    <w:rsid w:val="6F2F210F"/>
    <w:rsid w:val="6F3040D9"/>
    <w:rsid w:val="6F3A4D84"/>
    <w:rsid w:val="6F3D79CF"/>
    <w:rsid w:val="6F410095"/>
    <w:rsid w:val="6F42621A"/>
    <w:rsid w:val="6F466A9E"/>
    <w:rsid w:val="6F502482"/>
    <w:rsid w:val="6F502CE5"/>
    <w:rsid w:val="6F505649"/>
    <w:rsid w:val="6F51652A"/>
    <w:rsid w:val="6F540CD9"/>
    <w:rsid w:val="6F63000B"/>
    <w:rsid w:val="6F675D4D"/>
    <w:rsid w:val="6F6948C0"/>
    <w:rsid w:val="6F6A0833"/>
    <w:rsid w:val="6F6E31AE"/>
    <w:rsid w:val="6F73194A"/>
    <w:rsid w:val="6F7C731F"/>
    <w:rsid w:val="6F7D30DE"/>
    <w:rsid w:val="6F7E47DB"/>
    <w:rsid w:val="6F80261F"/>
    <w:rsid w:val="6F810491"/>
    <w:rsid w:val="6F8166E3"/>
    <w:rsid w:val="6F830CBF"/>
    <w:rsid w:val="6F836FCE"/>
    <w:rsid w:val="6F855C67"/>
    <w:rsid w:val="6F875DE5"/>
    <w:rsid w:val="6F881820"/>
    <w:rsid w:val="6F917C7D"/>
    <w:rsid w:val="6F946416"/>
    <w:rsid w:val="6F955B30"/>
    <w:rsid w:val="6F962654"/>
    <w:rsid w:val="6F9A176F"/>
    <w:rsid w:val="6FA22496"/>
    <w:rsid w:val="6FA43C2D"/>
    <w:rsid w:val="6FA67EF8"/>
    <w:rsid w:val="6FAB19FA"/>
    <w:rsid w:val="6FAB6B7E"/>
    <w:rsid w:val="6FAE0037"/>
    <w:rsid w:val="6FAF13ED"/>
    <w:rsid w:val="6FB25798"/>
    <w:rsid w:val="6FB44055"/>
    <w:rsid w:val="6FB447C9"/>
    <w:rsid w:val="6FBA295A"/>
    <w:rsid w:val="6FBD133A"/>
    <w:rsid w:val="6FBF1211"/>
    <w:rsid w:val="6FBF3A3B"/>
    <w:rsid w:val="6FC12511"/>
    <w:rsid w:val="6FC1608F"/>
    <w:rsid w:val="6FC3279B"/>
    <w:rsid w:val="6FC463B9"/>
    <w:rsid w:val="6FC50CC6"/>
    <w:rsid w:val="6FC575C6"/>
    <w:rsid w:val="6FC628AC"/>
    <w:rsid w:val="6FC70FEC"/>
    <w:rsid w:val="6FC80D63"/>
    <w:rsid w:val="6FCB2F5F"/>
    <w:rsid w:val="6FD02E8D"/>
    <w:rsid w:val="6FD430CB"/>
    <w:rsid w:val="6FE253D4"/>
    <w:rsid w:val="6FE253E5"/>
    <w:rsid w:val="6FE426E6"/>
    <w:rsid w:val="6FE46D0A"/>
    <w:rsid w:val="6FE5484F"/>
    <w:rsid w:val="6FEC5DB0"/>
    <w:rsid w:val="6FED55F9"/>
    <w:rsid w:val="6FF70753"/>
    <w:rsid w:val="6FFD1E01"/>
    <w:rsid w:val="6FFE6DB7"/>
    <w:rsid w:val="70027205"/>
    <w:rsid w:val="7003718F"/>
    <w:rsid w:val="70045CAD"/>
    <w:rsid w:val="700A3022"/>
    <w:rsid w:val="700D6055"/>
    <w:rsid w:val="70124AF0"/>
    <w:rsid w:val="7013537A"/>
    <w:rsid w:val="701557A9"/>
    <w:rsid w:val="70157426"/>
    <w:rsid w:val="701B617F"/>
    <w:rsid w:val="701B7D3D"/>
    <w:rsid w:val="701D27F2"/>
    <w:rsid w:val="701F74FE"/>
    <w:rsid w:val="70223A22"/>
    <w:rsid w:val="70251764"/>
    <w:rsid w:val="702552C0"/>
    <w:rsid w:val="702A0B29"/>
    <w:rsid w:val="702A3ADC"/>
    <w:rsid w:val="702D0C71"/>
    <w:rsid w:val="702F1BCD"/>
    <w:rsid w:val="702F5A17"/>
    <w:rsid w:val="70351797"/>
    <w:rsid w:val="703839EF"/>
    <w:rsid w:val="70391526"/>
    <w:rsid w:val="70397B2E"/>
    <w:rsid w:val="703C1AF2"/>
    <w:rsid w:val="703D5F48"/>
    <w:rsid w:val="703E6382"/>
    <w:rsid w:val="703F47CD"/>
    <w:rsid w:val="704020FA"/>
    <w:rsid w:val="70476155"/>
    <w:rsid w:val="704E4817"/>
    <w:rsid w:val="70521BB1"/>
    <w:rsid w:val="70530695"/>
    <w:rsid w:val="705C0686"/>
    <w:rsid w:val="70624AA5"/>
    <w:rsid w:val="706347FA"/>
    <w:rsid w:val="706A076E"/>
    <w:rsid w:val="706B72E9"/>
    <w:rsid w:val="7073427E"/>
    <w:rsid w:val="707703C6"/>
    <w:rsid w:val="70785D38"/>
    <w:rsid w:val="707924DE"/>
    <w:rsid w:val="707A7240"/>
    <w:rsid w:val="707F70C6"/>
    <w:rsid w:val="707F724D"/>
    <w:rsid w:val="70820965"/>
    <w:rsid w:val="708A2490"/>
    <w:rsid w:val="708C2FB6"/>
    <w:rsid w:val="7093000E"/>
    <w:rsid w:val="70967F6C"/>
    <w:rsid w:val="70983ACB"/>
    <w:rsid w:val="70A22892"/>
    <w:rsid w:val="70A86F08"/>
    <w:rsid w:val="70B12FF8"/>
    <w:rsid w:val="70B166D1"/>
    <w:rsid w:val="70B22511"/>
    <w:rsid w:val="70B452BC"/>
    <w:rsid w:val="70B67777"/>
    <w:rsid w:val="70BA00FF"/>
    <w:rsid w:val="70BA4772"/>
    <w:rsid w:val="70BA5E8F"/>
    <w:rsid w:val="70BC3377"/>
    <w:rsid w:val="70BD1913"/>
    <w:rsid w:val="70BF65BA"/>
    <w:rsid w:val="70C155BC"/>
    <w:rsid w:val="70C51232"/>
    <w:rsid w:val="70CA108C"/>
    <w:rsid w:val="70D31FDB"/>
    <w:rsid w:val="70D3259D"/>
    <w:rsid w:val="70D35434"/>
    <w:rsid w:val="70D37EBE"/>
    <w:rsid w:val="70D46DE8"/>
    <w:rsid w:val="70D5314C"/>
    <w:rsid w:val="70D6480D"/>
    <w:rsid w:val="70E46F2A"/>
    <w:rsid w:val="70E970B4"/>
    <w:rsid w:val="70F31F6D"/>
    <w:rsid w:val="70F33611"/>
    <w:rsid w:val="70FA4428"/>
    <w:rsid w:val="710203C4"/>
    <w:rsid w:val="71031AA6"/>
    <w:rsid w:val="7104581E"/>
    <w:rsid w:val="71084C3D"/>
    <w:rsid w:val="710B1736"/>
    <w:rsid w:val="710F044A"/>
    <w:rsid w:val="711549FE"/>
    <w:rsid w:val="71161F56"/>
    <w:rsid w:val="711B4EA6"/>
    <w:rsid w:val="711B69C2"/>
    <w:rsid w:val="71201650"/>
    <w:rsid w:val="71233EF6"/>
    <w:rsid w:val="712612F0"/>
    <w:rsid w:val="712C0089"/>
    <w:rsid w:val="712E7A17"/>
    <w:rsid w:val="71312913"/>
    <w:rsid w:val="71333A0D"/>
    <w:rsid w:val="713420C5"/>
    <w:rsid w:val="71367F51"/>
    <w:rsid w:val="713734FD"/>
    <w:rsid w:val="71421DD4"/>
    <w:rsid w:val="714542BF"/>
    <w:rsid w:val="714734AD"/>
    <w:rsid w:val="714D2290"/>
    <w:rsid w:val="714F0A66"/>
    <w:rsid w:val="715043AA"/>
    <w:rsid w:val="71527EB0"/>
    <w:rsid w:val="71594887"/>
    <w:rsid w:val="715D5E53"/>
    <w:rsid w:val="71635F5C"/>
    <w:rsid w:val="716562BC"/>
    <w:rsid w:val="71672F07"/>
    <w:rsid w:val="716C7B4C"/>
    <w:rsid w:val="716D6F1F"/>
    <w:rsid w:val="71766B9D"/>
    <w:rsid w:val="71771B57"/>
    <w:rsid w:val="71782674"/>
    <w:rsid w:val="717F1456"/>
    <w:rsid w:val="717F7BE0"/>
    <w:rsid w:val="718A4E8A"/>
    <w:rsid w:val="718B3849"/>
    <w:rsid w:val="718C06C8"/>
    <w:rsid w:val="718F0882"/>
    <w:rsid w:val="71920FB5"/>
    <w:rsid w:val="71930BD3"/>
    <w:rsid w:val="7195377D"/>
    <w:rsid w:val="719721EE"/>
    <w:rsid w:val="71975A9D"/>
    <w:rsid w:val="719F6E44"/>
    <w:rsid w:val="71A07496"/>
    <w:rsid w:val="71AC656D"/>
    <w:rsid w:val="71AD1A11"/>
    <w:rsid w:val="71AF5F44"/>
    <w:rsid w:val="71B72099"/>
    <w:rsid w:val="71B92C84"/>
    <w:rsid w:val="71BA53B9"/>
    <w:rsid w:val="71C006C3"/>
    <w:rsid w:val="71C019AC"/>
    <w:rsid w:val="71C04054"/>
    <w:rsid w:val="71C07997"/>
    <w:rsid w:val="71CA611F"/>
    <w:rsid w:val="71CD3E62"/>
    <w:rsid w:val="71CE21E8"/>
    <w:rsid w:val="71E15445"/>
    <w:rsid w:val="71E27F8C"/>
    <w:rsid w:val="71E37FE1"/>
    <w:rsid w:val="71E759E0"/>
    <w:rsid w:val="71E76837"/>
    <w:rsid w:val="71E833B8"/>
    <w:rsid w:val="71EA492E"/>
    <w:rsid w:val="71F00B3D"/>
    <w:rsid w:val="71F41151"/>
    <w:rsid w:val="71F41C95"/>
    <w:rsid w:val="71FB20C0"/>
    <w:rsid w:val="71FC5476"/>
    <w:rsid w:val="72030A57"/>
    <w:rsid w:val="72090944"/>
    <w:rsid w:val="72097936"/>
    <w:rsid w:val="720D5015"/>
    <w:rsid w:val="720E1DF4"/>
    <w:rsid w:val="7210243F"/>
    <w:rsid w:val="72113D4E"/>
    <w:rsid w:val="72170A72"/>
    <w:rsid w:val="721C3A9F"/>
    <w:rsid w:val="721F7EEB"/>
    <w:rsid w:val="72200435"/>
    <w:rsid w:val="722315F1"/>
    <w:rsid w:val="722570B1"/>
    <w:rsid w:val="722F3262"/>
    <w:rsid w:val="72317208"/>
    <w:rsid w:val="723414D5"/>
    <w:rsid w:val="72363559"/>
    <w:rsid w:val="72392E45"/>
    <w:rsid w:val="72395C10"/>
    <w:rsid w:val="723C2892"/>
    <w:rsid w:val="723D3896"/>
    <w:rsid w:val="723E2669"/>
    <w:rsid w:val="72421353"/>
    <w:rsid w:val="72426FFA"/>
    <w:rsid w:val="7251239D"/>
    <w:rsid w:val="72513250"/>
    <w:rsid w:val="72550CB7"/>
    <w:rsid w:val="72567431"/>
    <w:rsid w:val="725A0E4E"/>
    <w:rsid w:val="725C503F"/>
    <w:rsid w:val="725F5C27"/>
    <w:rsid w:val="726245AA"/>
    <w:rsid w:val="72653947"/>
    <w:rsid w:val="726B29A6"/>
    <w:rsid w:val="727049DE"/>
    <w:rsid w:val="727131F3"/>
    <w:rsid w:val="727147ED"/>
    <w:rsid w:val="72743CEF"/>
    <w:rsid w:val="7275396F"/>
    <w:rsid w:val="7276127B"/>
    <w:rsid w:val="727E27EB"/>
    <w:rsid w:val="727E6B96"/>
    <w:rsid w:val="72846009"/>
    <w:rsid w:val="728C1627"/>
    <w:rsid w:val="72904389"/>
    <w:rsid w:val="72914E8F"/>
    <w:rsid w:val="7298612F"/>
    <w:rsid w:val="72A07A51"/>
    <w:rsid w:val="72A42E14"/>
    <w:rsid w:val="72A65382"/>
    <w:rsid w:val="72A7755F"/>
    <w:rsid w:val="72AC3873"/>
    <w:rsid w:val="72AD76B6"/>
    <w:rsid w:val="72BC20E7"/>
    <w:rsid w:val="72C139C6"/>
    <w:rsid w:val="72D703EA"/>
    <w:rsid w:val="72D728E3"/>
    <w:rsid w:val="72D93D15"/>
    <w:rsid w:val="72DF191D"/>
    <w:rsid w:val="72DF5BFA"/>
    <w:rsid w:val="72E0339F"/>
    <w:rsid w:val="72E133AF"/>
    <w:rsid w:val="72E40B34"/>
    <w:rsid w:val="72EC0317"/>
    <w:rsid w:val="72EC2688"/>
    <w:rsid w:val="72F01BB6"/>
    <w:rsid w:val="72F072B0"/>
    <w:rsid w:val="72F07E08"/>
    <w:rsid w:val="72F1282E"/>
    <w:rsid w:val="72F43A0C"/>
    <w:rsid w:val="72F6757D"/>
    <w:rsid w:val="72FC67AC"/>
    <w:rsid w:val="73025C98"/>
    <w:rsid w:val="730438B3"/>
    <w:rsid w:val="731037D9"/>
    <w:rsid w:val="73187D7A"/>
    <w:rsid w:val="731955B0"/>
    <w:rsid w:val="731B7B5F"/>
    <w:rsid w:val="731E2BC7"/>
    <w:rsid w:val="731F249B"/>
    <w:rsid w:val="732855E2"/>
    <w:rsid w:val="732C1FC1"/>
    <w:rsid w:val="733158E0"/>
    <w:rsid w:val="73353A6C"/>
    <w:rsid w:val="733D7717"/>
    <w:rsid w:val="7349598F"/>
    <w:rsid w:val="734C5836"/>
    <w:rsid w:val="734D708D"/>
    <w:rsid w:val="734F19AD"/>
    <w:rsid w:val="735071F1"/>
    <w:rsid w:val="73507CCF"/>
    <w:rsid w:val="73526806"/>
    <w:rsid w:val="73556C1C"/>
    <w:rsid w:val="735E082A"/>
    <w:rsid w:val="735F6D3B"/>
    <w:rsid w:val="735F7B4C"/>
    <w:rsid w:val="73644352"/>
    <w:rsid w:val="7364685B"/>
    <w:rsid w:val="736A56BF"/>
    <w:rsid w:val="736B313E"/>
    <w:rsid w:val="736F421A"/>
    <w:rsid w:val="73740A39"/>
    <w:rsid w:val="73760918"/>
    <w:rsid w:val="737A5923"/>
    <w:rsid w:val="73824229"/>
    <w:rsid w:val="738362F2"/>
    <w:rsid w:val="73845231"/>
    <w:rsid w:val="738661CC"/>
    <w:rsid w:val="738B3C5C"/>
    <w:rsid w:val="738D2E91"/>
    <w:rsid w:val="739001B7"/>
    <w:rsid w:val="73920EBF"/>
    <w:rsid w:val="739F6DA7"/>
    <w:rsid w:val="73A01530"/>
    <w:rsid w:val="73A0182E"/>
    <w:rsid w:val="73A61D75"/>
    <w:rsid w:val="73AB3FFD"/>
    <w:rsid w:val="73AC27BA"/>
    <w:rsid w:val="73AE4F1D"/>
    <w:rsid w:val="73AF56DD"/>
    <w:rsid w:val="73B10181"/>
    <w:rsid w:val="73B15730"/>
    <w:rsid w:val="73B21561"/>
    <w:rsid w:val="73BE4B6D"/>
    <w:rsid w:val="73C3551C"/>
    <w:rsid w:val="73C66DBA"/>
    <w:rsid w:val="73C8044D"/>
    <w:rsid w:val="73CB1645"/>
    <w:rsid w:val="73CE0806"/>
    <w:rsid w:val="73D47729"/>
    <w:rsid w:val="73D5257E"/>
    <w:rsid w:val="73E25A74"/>
    <w:rsid w:val="73E76F91"/>
    <w:rsid w:val="73E819A5"/>
    <w:rsid w:val="73EB05CF"/>
    <w:rsid w:val="73EB6821"/>
    <w:rsid w:val="73ED4347"/>
    <w:rsid w:val="73EE1A27"/>
    <w:rsid w:val="73F112D6"/>
    <w:rsid w:val="73F15E96"/>
    <w:rsid w:val="73F36140"/>
    <w:rsid w:val="73F54526"/>
    <w:rsid w:val="73F61362"/>
    <w:rsid w:val="73F73D09"/>
    <w:rsid w:val="73F755C4"/>
    <w:rsid w:val="73F86752"/>
    <w:rsid w:val="73F90394"/>
    <w:rsid w:val="73FB5727"/>
    <w:rsid w:val="73FD79FC"/>
    <w:rsid w:val="74012809"/>
    <w:rsid w:val="74031DBD"/>
    <w:rsid w:val="7405426D"/>
    <w:rsid w:val="74105C0A"/>
    <w:rsid w:val="741337FF"/>
    <w:rsid w:val="74165C25"/>
    <w:rsid w:val="7418684A"/>
    <w:rsid w:val="741D2E7E"/>
    <w:rsid w:val="742A3671"/>
    <w:rsid w:val="7438503D"/>
    <w:rsid w:val="743D5B60"/>
    <w:rsid w:val="744463E4"/>
    <w:rsid w:val="74455F31"/>
    <w:rsid w:val="74493F52"/>
    <w:rsid w:val="744C72C0"/>
    <w:rsid w:val="745078D0"/>
    <w:rsid w:val="7453031D"/>
    <w:rsid w:val="7456013E"/>
    <w:rsid w:val="74573C7D"/>
    <w:rsid w:val="745A0297"/>
    <w:rsid w:val="745D0743"/>
    <w:rsid w:val="745D1DF2"/>
    <w:rsid w:val="746335E0"/>
    <w:rsid w:val="746748B4"/>
    <w:rsid w:val="7469245C"/>
    <w:rsid w:val="746B02DE"/>
    <w:rsid w:val="746C4DC6"/>
    <w:rsid w:val="746D7236"/>
    <w:rsid w:val="7470070A"/>
    <w:rsid w:val="74716D26"/>
    <w:rsid w:val="74746816"/>
    <w:rsid w:val="74747483"/>
    <w:rsid w:val="747616AC"/>
    <w:rsid w:val="747C0427"/>
    <w:rsid w:val="747C7B03"/>
    <w:rsid w:val="747F4194"/>
    <w:rsid w:val="748050C8"/>
    <w:rsid w:val="7481100B"/>
    <w:rsid w:val="74861C89"/>
    <w:rsid w:val="74863F93"/>
    <w:rsid w:val="74883614"/>
    <w:rsid w:val="749312CB"/>
    <w:rsid w:val="74940D67"/>
    <w:rsid w:val="749C48A6"/>
    <w:rsid w:val="74A144D3"/>
    <w:rsid w:val="74A83017"/>
    <w:rsid w:val="74A92DB1"/>
    <w:rsid w:val="74AD2004"/>
    <w:rsid w:val="74AD2FE1"/>
    <w:rsid w:val="74B2748C"/>
    <w:rsid w:val="74B43B24"/>
    <w:rsid w:val="74B65081"/>
    <w:rsid w:val="74C652C4"/>
    <w:rsid w:val="74C96D9D"/>
    <w:rsid w:val="74CA6436"/>
    <w:rsid w:val="74D024F7"/>
    <w:rsid w:val="74D05E32"/>
    <w:rsid w:val="74D06143"/>
    <w:rsid w:val="74D21440"/>
    <w:rsid w:val="74D3353D"/>
    <w:rsid w:val="74D37E9F"/>
    <w:rsid w:val="74D53759"/>
    <w:rsid w:val="74D703E1"/>
    <w:rsid w:val="74D73693"/>
    <w:rsid w:val="74D95A94"/>
    <w:rsid w:val="74DB75F9"/>
    <w:rsid w:val="74DC5D39"/>
    <w:rsid w:val="74DD0693"/>
    <w:rsid w:val="74E03F9D"/>
    <w:rsid w:val="74E66303"/>
    <w:rsid w:val="74E71189"/>
    <w:rsid w:val="74E77FFF"/>
    <w:rsid w:val="74EC6A40"/>
    <w:rsid w:val="74F11BE7"/>
    <w:rsid w:val="74F35C97"/>
    <w:rsid w:val="74F37229"/>
    <w:rsid w:val="74F45B9C"/>
    <w:rsid w:val="74FC6F38"/>
    <w:rsid w:val="74FF2FA7"/>
    <w:rsid w:val="75035007"/>
    <w:rsid w:val="75037125"/>
    <w:rsid w:val="7504746A"/>
    <w:rsid w:val="750556C0"/>
    <w:rsid w:val="750D7D7F"/>
    <w:rsid w:val="750F179B"/>
    <w:rsid w:val="750F1A37"/>
    <w:rsid w:val="751128FC"/>
    <w:rsid w:val="75145A45"/>
    <w:rsid w:val="751634FE"/>
    <w:rsid w:val="751E4096"/>
    <w:rsid w:val="75211CF0"/>
    <w:rsid w:val="75241FEA"/>
    <w:rsid w:val="752B7F16"/>
    <w:rsid w:val="752C0889"/>
    <w:rsid w:val="752C0E9F"/>
    <w:rsid w:val="753016A8"/>
    <w:rsid w:val="75327821"/>
    <w:rsid w:val="7538008B"/>
    <w:rsid w:val="75426C6E"/>
    <w:rsid w:val="75436915"/>
    <w:rsid w:val="75461650"/>
    <w:rsid w:val="75497CA3"/>
    <w:rsid w:val="754C5594"/>
    <w:rsid w:val="75560FE8"/>
    <w:rsid w:val="755634B9"/>
    <w:rsid w:val="755A2E0E"/>
    <w:rsid w:val="75610B49"/>
    <w:rsid w:val="75640917"/>
    <w:rsid w:val="756A7000"/>
    <w:rsid w:val="756D573F"/>
    <w:rsid w:val="756F67BD"/>
    <w:rsid w:val="75747288"/>
    <w:rsid w:val="75751540"/>
    <w:rsid w:val="75787C5A"/>
    <w:rsid w:val="75790B8C"/>
    <w:rsid w:val="75805BB6"/>
    <w:rsid w:val="758354A2"/>
    <w:rsid w:val="758366FC"/>
    <w:rsid w:val="75862D2A"/>
    <w:rsid w:val="75894543"/>
    <w:rsid w:val="758A21BC"/>
    <w:rsid w:val="758B02BC"/>
    <w:rsid w:val="758D4034"/>
    <w:rsid w:val="759712C6"/>
    <w:rsid w:val="75976523"/>
    <w:rsid w:val="759B72E6"/>
    <w:rsid w:val="759C4EF4"/>
    <w:rsid w:val="759E7102"/>
    <w:rsid w:val="75A05205"/>
    <w:rsid w:val="75A2213D"/>
    <w:rsid w:val="75A37EBA"/>
    <w:rsid w:val="75AA5497"/>
    <w:rsid w:val="75AB479D"/>
    <w:rsid w:val="75AD0232"/>
    <w:rsid w:val="75B144DC"/>
    <w:rsid w:val="75B65A81"/>
    <w:rsid w:val="75BC5701"/>
    <w:rsid w:val="75BF1BC5"/>
    <w:rsid w:val="75BF3AC1"/>
    <w:rsid w:val="75C128B8"/>
    <w:rsid w:val="75C22A91"/>
    <w:rsid w:val="75C61709"/>
    <w:rsid w:val="75CB0AC7"/>
    <w:rsid w:val="75CB19AE"/>
    <w:rsid w:val="75CC4039"/>
    <w:rsid w:val="75CD5A50"/>
    <w:rsid w:val="75D05CCE"/>
    <w:rsid w:val="75D06D38"/>
    <w:rsid w:val="75D37A22"/>
    <w:rsid w:val="75D637A2"/>
    <w:rsid w:val="75D8385C"/>
    <w:rsid w:val="75DA32E5"/>
    <w:rsid w:val="75E05554"/>
    <w:rsid w:val="75E35A02"/>
    <w:rsid w:val="75E55DBE"/>
    <w:rsid w:val="75E85738"/>
    <w:rsid w:val="75EA1F29"/>
    <w:rsid w:val="75ED6880"/>
    <w:rsid w:val="75EF463B"/>
    <w:rsid w:val="75F251E4"/>
    <w:rsid w:val="75F900E8"/>
    <w:rsid w:val="75F96221"/>
    <w:rsid w:val="75FD10F2"/>
    <w:rsid w:val="76004806"/>
    <w:rsid w:val="7601057E"/>
    <w:rsid w:val="760140DA"/>
    <w:rsid w:val="7606408C"/>
    <w:rsid w:val="76071E66"/>
    <w:rsid w:val="76082766"/>
    <w:rsid w:val="760870B2"/>
    <w:rsid w:val="760950A4"/>
    <w:rsid w:val="760B4F58"/>
    <w:rsid w:val="760E58F2"/>
    <w:rsid w:val="760F3042"/>
    <w:rsid w:val="761C3A1F"/>
    <w:rsid w:val="761C7D99"/>
    <w:rsid w:val="761F544A"/>
    <w:rsid w:val="76214099"/>
    <w:rsid w:val="76261D92"/>
    <w:rsid w:val="762656E4"/>
    <w:rsid w:val="76277FE4"/>
    <w:rsid w:val="762A18ED"/>
    <w:rsid w:val="762D3121"/>
    <w:rsid w:val="763025FA"/>
    <w:rsid w:val="76315454"/>
    <w:rsid w:val="76316710"/>
    <w:rsid w:val="76367EA1"/>
    <w:rsid w:val="76373058"/>
    <w:rsid w:val="76397D18"/>
    <w:rsid w:val="763B3D06"/>
    <w:rsid w:val="763C3364"/>
    <w:rsid w:val="763F7C1C"/>
    <w:rsid w:val="76417211"/>
    <w:rsid w:val="764741E2"/>
    <w:rsid w:val="76477EF3"/>
    <w:rsid w:val="764A2D47"/>
    <w:rsid w:val="764A5A81"/>
    <w:rsid w:val="764A7757"/>
    <w:rsid w:val="764C7A4B"/>
    <w:rsid w:val="764E6BCF"/>
    <w:rsid w:val="76507A9D"/>
    <w:rsid w:val="76524935"/>
    <w:rsid w:val="76533F0B"/>
    <w:rsid w:val="765661D4"/>
    <w:rsid w:val="76580A47"/>
    <w:rsid w:val="765B2E6F"/>
    <w:rsid w:val="76614845"/>
    <w:rsid w:val="76654E7F"/>
    <w:rsid w:val="76671D59"/>
    <w:rsid w:val="76675C3B"/>
    <w:rsid w:val="767228B5"/>
    <w:rsid w:val="767814E2"/>
    <w:rsid w:val="76794EAF"/>
    <w:rsid w:val="767E1BCE"/>
    <w:rsid w:val="7682647B"/>
    <w:rsid w:val="768C6099"/>
    <w:rsid w:val="76930E09"/>
    <w:rsid w:val="769A6A08"/>
    <w:rsid w:val="769D2054"/>
    <w:rsid w:val="769F1C96"/>
    <w:rsid w:val="769F6864"/>
    <w:rsid w:val="76A165B6"/>
    <w:rsid w:val="76A32642"/>
    <w:rsid w:val="76A42B08"/>
    <w:rsid w:val="76AB3F46"/>
    <w:rsid w:val="76AD3CD2"/>
    <w:rsid w:val="76B25017"/>
    <w:rsid w:val="76B44B7C"/>
    <w:rsid w:val="76B51574"/>
    <w:rsid w:val="76B52298"/>
    <w:rsid w:val="76B949B4"/>
    <w:rsid w:val="76BE5FD4"/>
    <w:rsid w:val="76BF071E"/>
    <w:rsid w:val="76CD072A"/>
    <w:rsid w:val="76CD3907"/>
    <w:rsid w:val="76CF109E"/>
    <w:rsid w:val="76CF6530"/>
    <w:rsid w:val="76D12520"/>
    <w:rsid w:val="76D23B71"/>
    <w:rsid w:val="76D2457D"/>
    <w:rsid w:val="76D34F81"/>
    <w:rsid w:val="76D64A64"/>
    <w:rsid w:val="76D860BA"/>
    <w:rsid w:val="76DD31DC"/>
    <w:rsid w:val="76DF266D"/>
    <w:rsid w:val="76E01F41"/>
    <w:rsid w:val="76E40E51"/>
    <w:rsid w:val="76E77696"/>
    <w:rsid w:val="76E77774"/>
    <w:rsid w:val="76EC6B38"/>
    <w:rsid w:val="76ED4281"/>
    <w:rsid w:val="76EE6E72"/>
    <w:rsid w:val="76EF6C97"/>
    <w:rsid w:val="76F529A6"/>
    <w:rsid w:val="76F6287A"/>
    <w:rsid w:val="76FB0AD5"/>
    <w:rsid w:val="770611C6"/>
    <w:rsid w:val="77091483"/>
    <w:rsid w:val="770B11D8"/>
    <w:rsid w:val="770C0F88"/>
    <w:rsid w:val="770C6193"/>
    <w:rsid w:val="77104CB6"/>
    <w:rsid w:val="771137B1"/>
    <w:rsid w:val="77126D41"/>
    <w:rsid w:val="771527C9"/>
    <w:rsid w:val="771D5CCB"/>
    <w:rsid w:val="771F2FA1"/>
    <w:rsid w:val="772306F8"/>
    <w:rsid w:val="77242776"/>
    <w:rsid w:val="77275DC2"/>
    <w:rsid w:val="772938E8"/>
    <w:rsid w:val="772E7150"/>
    <w:rsid w:val="772F0647"/>
    <w:rsid w:val="7730030E"/>
    <w:rsid w:val="7735770E"/>
    <w:rsid w:val="773E47C6"/>
    <w:rsid w:val="77453F58"/>
    <w:rsid w:val="774C3A9F"/>
    <w:rsid w:val="774C7610"/>
    <w:rsid w:val="774E334F"/>
    <w:rsid w:val="77520274"/>
    <w:rsid w:val="775841CD"/>
    <w:rsid w:val="775E3C1A"/>
    <w:rsid w:val="776112D4"/>
    <w:rsid w:val="77644920"/>
    <w:rsid w:val="77647CB6"/>
    <w:rsid w:val="776F2028"/>
    <w:rsid w:val="7770350F"/>
    <w:rsid w:val="77756F07"/>
    <w:rsid w:val="777613EC"/>
    <w:rsid w:val="777A1857"/>
    <w:rsid w:val="777D59E2"/>
    <w:rsid w:val="777F0496"/>
    <w:rsid w:val="7782124A"/>
    <w:rsid w:val="778422CE"/>
    <w:rsid w:val="778721B7"/>
    <w:rsid w:val="778E13D9"/>
    <w:rsid w:val="778E4BDC"/>
    <w:rsid w:val="778E7BEF"/>
    <w:rsid w:val="778F3379"/>
    <w:rsid w:val="77901C9E"/>
    <w:rsid w:val="7798319D"/>
    <w:rsid w:val="779B57ED"/>
    <w:rsid w:val="77A10D47"/>
    <w:rsid w:val="77A35292"/>
    <w:rsid w:val="77A64F39"/>
    <w:rsid w:val="77A73B7B"/>
    <w:rsid w:val="77A80CB1"/>
    <w:rsid w:val="77A91023"/>
    <w:rsid w:val="77B164B3"/>
    <w:rsid w:val="77B4189C"/>
    <w:rsid w:val="77B661C7"/>
    <w:rsid w:val="77C217CE"/>
    <w:rsid w:val="77C47A51"/>
    <w:rsid w:val="77C60F55"/>
    <w:rsid w:val="77C67389"/>
    <w:rsid w:val="77CD4D9A"/>
    <w:rsid w:val="77D35B3C"/>
    <w:rsid w:val="77D4784B"/>
    <w:rsid w:val="77DC6F3D"/>
    <w:rsid w:val="77E07A92"/>
    <w:rsid w:val="77E51202"/>
    <w:rsid w:val="77EA418E"/>
    <w:rsid w:val="77EE068E"/>
    <w:rsid w:val="77EE25AC"/>
    <w:rsid w:val="77F14D19"/>
    <w:rsid w:val="77F22330"/>
    <w:rsid w:val="77F42F94"/>
    <w:rsid w:val="77F521E0"/>
    <w:rsid w:val="77FC0FFD"/>
    <w:rsid w:val="77FE4D75"/>
    <w:rsid w:val="77FF5B8E"/>
    <w:rsid w:val="78007550"/>
    <w:rsid w:val="780250F0"/>
    <w:rsid w:val="78054355"/>
    <w:rsid w:val="780659D7"/>
    <w:rsid w:val="780675B9"/>
    <w:rsid w:val="780A04FC"/>
    <w:rsid w:val="780A42B6"/>
    <w:rsid w:val="780B305C"/>
    <w:rsid w:val="780C20BB"/>
    <w:rsid w:val="780D6D66"/>
    <w:rsid w:val="781A3AA8"/>
    <w:rsid w:val="781C0E7F"/>
    <w:rsid w:val="781C169F"/>
    <w:rsid w:val="781E5B7E"/>
    <w:rsid w:val="7820118F"/>
    <w:rsid w:val="782555FC"/>
    <w:rsid w:val="782B5E90"/>
    <w:rsid w:val="78305249"/>
    <w:rsid w:val="7833750B"/>
    <w:rsid w:val="78380F8C"/>
    <w:rsid w:val="78383F1C"/>
    <w:rsid w:val="783B3D54"/>
    <w:rsid w:val="78473460"/>
    <w:rsid w:val="78476B80"/>
    <w:rsid w:val="78482494"/>
    <w:rsid w:val="784C0116"/>
    <w:rsid w:val="784D1858"/>
    <w:rsid w:val="785030F6"/>
    <w:rsid w:val="7855070D"/>
    <w:rsid w:val="78565D1D"/>
    <w:rsid w:val="785B0E59"/>
    <w:rsid w:val="785B3F75"/>
    <w:rsid w:val="785B7AEC"/>
    <w:rsid w:val="785C7CED"/>
    <w:rsid w:val="785E5813"/>
    <w:rsid w:val="78633BB9"/>
    <w:rsid w:val="7866480C"/>
    <w:rsid w:val="78695D2B"/>
    <w:rsid w:val="78697340"/>
    <w:rsid w:val="786E205E"/>
    <w:rsid w:val="787119EB"/>
    <w:rsid w:val="78723A52"/>
    <w:rsid w:val="78782D79"/>
    <w:rsid w:val="787A08FC"/>
    <w:rsid w:val="787C1597"/>
    <w:rsid w:val="788208F8"/>
    <w:rsid w:val="7883171E"/>
    <w:rsid w:val="78852DA0"/>
    <w:rsid w:val="788570DA"/>
    <w:rsid w:val="788B2898"/>
    <w:rsid w:val="788D60F9"/>
    <w:rsid w:val="78917805"/>
    <w:rsid w:val="78931961"/>
    <w:rsid w:val="78931D48"/>
    <w:rsid w:val="78965E4A"/>
    <w:rsid w:val="789E6309"/>
    <w:rsid w:val="789F47A8"/>
    <w:rsid w:val="78AA493F"/>
    <w:rsid w:val="78AD22F7"/>
    <w:rsid w:val="78B25709"/>
    <w:rsid w:val="78B673FD"/>
    <w:rsid w:val="78BA00D2"/>
    <w:rsid w:val="78BA152E"/>
    <w:rsid w:val="78C22246"/>
    <w:rsid w:val="78C563D4"/>
    <w:rsid w:val="78C65643"/>
    <w:rsid w:val="78CA10FB"/>
    <w:rsid w:val="78CC4E73"/>
    <w:rsid w:val="78CD0377"/>
    <w:rsid w:val="78D36A6B"/>
    <w:rsid w:val="78D45AB3"/>
    <w:rsid w:val="78D6038F"/>
    <w:rsid w:val="78D74152"/>
    <w:rsid w:val="78DB50B6"/>
    <w:rsid w:val="78DD498A"/>
    <w:rsid w:val="78E46179"/>
    <w:rsid w:val="78E81581"/>
    <w:rsid w:val="78E8332F"/>
    <w:rsid w:val="78E8667F"/>
    <w:rsid w:val="78EF2783"/>
    <w:rsid w:val="78EF290F"/>
    <w:rsid w:val="78F1327B"/>
    <w:rsid w:val="78F166CE"/>
    <w:rsid w:val="78F16E83"/>
    <w:rsid w:val="78F87697"/>
    <w:rsid w:val="78FB12B4"/>
    <w:rsid w:val="78FF5307"/>
    <w:rsid w:val="7904460D"/>
    <w:rsid w:val="790E2D96"/>
    <w:rsid w:val="790E7A95"/>
    <w:rsid w:val="7915054A"/>
    <w:rsid w:val="79166140"/>
    <w:rsid w:val="791B7630"/>
    <w:rsid w:val="791F5C70"/>
    <w:rsid w:val="792151BF"/>
    <w:rsid w:val="79232399"/>
    <w:rsid w:val="7929584B"/>
    <w:rsid w:val="793119E3"/>
    <w:rsid w:val="79312F28"/>
    <w:rsid w:val="79361772"/>
    <w:rsid w:val="793A1D16"/>
    <w:rsid w:val="793B5291"/>
    <w:rsid w:val="793D7B1F"/>
    <w:rsid w:val="793E6D9E"/>
    <w:rsid w:val="79433E60"/>
    <w:rsid w:val="79515378"/>
    <w:rsid w:val="795378C2"/>
    <w:rsid w:val="79553815"/>
    <w:rsid w:val="79580D8B"/>
    <w:rsid w:val="795D0A33"/>
    <w:rsid w:val="796138D7"/>
    <w:rsid w:val="7961683A"/>
    <w:rsid w:val="79651524"/>
    <w:rsid w:val="7969129E"/>
    <w:rsid w:val="796A2308"/>
    <w:rsid w:val="796B47EC"/>
    <w:rsid w:val="796D7F54"/>
    <w:rsid w:val="796E5F2A"/>
    <w:rsid w:val="796F62A7"/>
    <w:rsid w:val="797177C8"/>
    <w:rsid w:val="797A48CF"/>
    <w:rsid w:val="79821614"/>
    <w:rsid w:val="7985274B"/>
    <w:rsid w:val="79872B48"/>
    <w:rsid w:val="79892D64"/>
    <w:rsid w:val="79892F17"/>
    <w:rsid w:val="798B2638"/>
    <w:rsid w:val="798E36DA"/>
    <w:rsid w:val="79902D65"/>
    <w:rsid w:val="79947930"/>
    <w:rsid w:val="799559BB"/>
    <w:rsid w:val="79976421"/>
    <w:rsid w:val="79991008"/>
    <w:rsid w:val="799B65F3"/>
    <w:rsid w:val="799B7BCE"/>
    <w:rsid w:val="79A95AD2"/>
    <w:rsid w:val="79AC6AC3"/>
    <w:rsid w:val="79B053D5"/>
    <w:rsid w:val="79B34430"/>
    <w:rsid w:val="79B9330B"/>
    <w:rsid w:val="79C36345"/>
    <w:rsid w:val="79C91AFC"/>
    <w:rsid w:val="79CC6F2F"/>
    <w:rsid w:val="79CE4F1A"/>
    <w:rsid w:val="79D24C8C"/>
    <w:rsid w:val="79D259EB"/>
    <w:rsid w:val="79DA536E"/>
    <w:rsid w:val="79DD1412"/>
    <w:rsid w:val="79DF5CBF"/>
    <w:rsid w:val="79E4516F"/>
    <w:rsid w:val="79E462FC"/>
    <w:rsid w:val="79E81839"/>
    <w:rsid w:val="79E8408D"/>
    <w:rsid w:val="79E9404F"/>
    <w:rsid w:val="79EB279B"/>
    <w:rsid w:val="79EF0484"/>
    <w:rsid w:val="79F22848"/>
    <w:rsid w:val="79F44681"/>
    <w:rsid w:val="79F602BD"/>
    <w:rsid w:val="79F672EA"/>
    <w:rsid w:val="79F857F4"/>
    <w:rsid w:val="79FE7282"/>
    <w:rsid w:val="7A02130C"/>
    <w:rsid w:val="7A0423EA"/>
    <w:rsid w:val="7A0554A4"/>
    <w:rsid w:val="7A093C81"/>
    <w:rsid w:val="7A0D129F"/>
    <w:rsid w:val="7A0D1C3D"/>
    <w:rsid w:val="7A1E1264"/>
    <w:rsid w:val="7A2212DA"/>
    <w:rsid w:val="7A227B5B"/>
    <w:rsid w:val="7A25475F"/>
    <w:rsid w:val="7A262361"/>
    <w:rsid w:val="7A2A2604"/>
    <w:rsid w:val="7A2B7BB1"/>
    <w:rsid w:val="7A2E1215"/>
    <w:rsid w:val="7A2E5DB1"/>
    <w:rsid w:val="7A2F7D3E"/>
    <w:rsid w:val="7A326F58"/>
    <w:rsid w:val="7A38281E"/>
    <w:rsid w:val="7A3902E6"/>
    <w:rsid w:val="7A3B11AA"/>
    <w:rsid w:val="7A3E07D4"/>
    <w:rsid w:val="7A3E76AA"/>
    <w:rsid w:val="7A401675"/>
    <w:rsid w:val="7A421A85"/>
    <w:rsid w:val="7A43089A"/>
    <w:rsid w:val="7A433E64"/>
    <w:rsid w:val="7A481196"/>
    <w:rsid w:val="7A486B67"/>
    <w:rsid w:val="7A49604F"/>
    <w:rsid w:val="7A4B0019"/>
    <w:rsid w:val="7A4B0EF9"/>
    <w:rsid w:val="7A4E5630"/>
    <w:rsid w:val="7A524A5B"/>
    <w:rsid w:val="7A5769BE"/>
    <w:rsid w:val="7A5C4692"/>
    <w:rsid w:val="7A5D7C6A"/>
    <w:rsid w:val="7A5F3089"/>
    <w:rsid w:val="7A667AB5"/>
    <w:rsid w:val="7A6A2192"/>
    <w:rsid w:val="7A732256"/>
    <w:rsid w:val="7A7415D3"/>
    <w:rsid w:val="7A7632E8"/>
    <w:rsid w:val="7A770E0E"/>
    <w:rsid w:val="7A773114"/>
    <w:rsid w:val="7A7A27B8"/>
    <w:rsid w:val="7A7A4CFD"/>
    <w:rsid w:val="7A7B4F6C"/>
    <w:rsid w:val="7A7C43AE"/>
    <w:rsid w:val="7A7F0AE4"/>
    <w:rsid w:val="7A815907"/>
    <w:rsid w:val="7A841936"/>
    <w:rsid w:val="7A867D67"/>
    <w:rsid w:val="7A88301C"/>
    <w:rsid w:val="7A88520F"/>
    <w:rsid w:val="7A885287"/>
    <w:rsid w:val="7A8A5729"/>
    <w:rsid w:val="7A8D23E0"/>
    <w:rsid w:val="7A95198B"/>
    <w:rsid w:val="7A9569B1"/>
    <w:rsid w:val="7A990535"/>
    <w:rsid w:val="7A995229"/>
    <w:rsid w:val="7A9B107F"/>
    <w:rsid w:val="7A9D6AC7"/>
    <w:rsid w:val="7AA3688D"/>
    <w:rsid w:val="7AA41AC2"/>
    <w:rsid w:val="7AA634A2"/>
    <w:rsid w:val="7AA84137"/>
    <w:rsid w:val="7AB124AD"/>
    <w:rsid w:val="7AB404E5"/>
    <w:rsid w:val="7AB5380E"/>
    <w:rsid w:val="7ABA0452"/>
    <w:rsid w:val="7ABA46F2"/>
    <w:rsid w:val="7ABB7A96"/>
    <w:rsid w:val="7AC1208A"/>
    <w:rsid w:val="7AC207D8"/>
    <w:rsid w:val="7ACA7190"/>
    <w:rsid w:val="7ACF0C4A"/>
    <w:rsid w:val="7AD55005"/>
    <w:rsid w:val="7ADB7996"/>
    <w:rsid w:val="7ADC1408"/>
    <w:rsid w:val="7ADE2C3C"/>
    <w:rsid w:val="7AE2097E"/>
    <w:rsid w:val="7AE21AF2"/>
    <w:rsid w:val="7AE446F6"/>
    <w:rsid w:val="7AE502BA"/>
    <w:rsid w:val="7AE575DB"/>
    <w:rsid w:val="7AEA3436"/>
    <w:rsid w:val="7AEB48C6"/>
    <w:rsid w:val="7AEF7254"/>
    <w:rsid w:val="7AF34B9C"/>
    <w:rsid w:val="7AF52785"/>
    <w:rsid w:val="7AF74DA8"/>
    <w:rsid w:val="7B042D84"/>
    <w:rsid w:val="7B053505"/>
    <w:rsid w:val="7B0749C7"/>
    <w:rsid w:val="7B0D5E20"/>
    <w:rsid w:val="7B1651F8"/>
    <w:rsid w:val="7B19005A"/>
    <w:rsid w:val="7B1C747A"/>
    <w:rsid w:val="7B1D68AD"/>
    <w:rsid w:val="7B1E74DC"/>
    <w:rsid w:val="7B203F27"/>
    <w:rsid w:val="7B29035B"/>
    <w:rsid w:val="7B2C01F1"/>
    <w:rsid w:val="7B333078"/>
    <w:rsid w:val="7B354F51"/>
    <w:rsid w:val="7B38119B"/>
    <w:rsid w:val="7B38715D"/>
    <w:rsid w:val="7B387BB6"/>
    <w:rsid w:val="7B3F5F83"/>
    <w:rsid w:val="7B4026D1"/>
    <w:rsid w:val="7B492D83"/>
    <w:rsid w:val="7B4F44A7"/>
    <w:rsid w:val="7B501CA8"/>
    <w:rsid w:val="7B537186"/>
    <w:rsid w:val="7B561FE1"/>
    <w:rsid w:val="7B581051"/>
    <w:rsid w:val="7B582367"/>
    <w:rsid w:val="7B583E02"/>
    <w:rsid w:val="7B585622"/>
    <w:rsid w:val="7B630405"/>
    <w:rsid w:val="7B630A59"/>
    <w:rsid w:val="7B6326CC"/>
    <w:rsid w:val="7B68568E"/>
    <w:rsid w:val="7B6B280D"/>
    <w:rsid w:val="7B6C46EB"/>
    <w:rsid w:val="7B71585E"/>
    <w:rsid w:val="7B732647"/>
    <w:rsid w:val="7B736506"/>
    <w:rsid w:val="7B767318"/>
    <w:rsid w:val="7B7B3D39"/>
    <w:rsid w:val="7B80272C"/>
    <w:rsid w:val="7B8321F9"/>
    <w:rsid w:val="7B84600B"/>
    <w:rsid w:val="7B86488F"/>
    <w:rsid w:val="7B876E2F"/>
    <w:rsid w:val="7B8D1796"/>
    <w:rsid w:val="7B8D60F3"/>
    <w:rsid w:val="7B8E2477"/>
    <w:rsid w:val="7BA1528F"/>
    <w:rsid w:val="7BAE03BE"/>
    <w:rsid w:val="7BAE4F8D"/>
    <w:rsid w:val="7BAF1D95"/>
    <w:rsid w:val="7BB73BB8"/>
    <w:rsid w:val="7BB81656"/>
    <w:rsid w:val="7BB91A25"/>
    <w:rsid w:val="7BC00C7D"/>
    <w:rsid w:val="7BC2255D"/>
    <w:rsid w:val="7BC2401A"/>
    <w:rsid w:val="7BC65BA9"/>
    <w:rsid w:val="7BC77904"/>
    <w:rsid w:val="7BC80791"/>
    <w:rsid w:val="7BC91660"/>
    <w:rsid w:val="7BCB431A"/>
    <w:rsid w:val="7BCE4A5E"/>
    <w:rsid w:val="7BD42F30"/>
    <w:rsid w:val="7BD55DED"/>
    <w:rsid w:val="7BDB33AA"/>
    <w:rsid w:val="7BDC717B"/>
    <w:rsid w:val="7BDF0A19"/>
    <w:rsid w:val="7BE239A7"/>
    <w:rsid w:val="7BE64FBE"/>
    <w:rsid w:val="7BED44D0"/>
    <w:rsid w:val="7BEE7A3A"/>
    <w:rsid w:val="7BF30969"/>
    <w:rsid w:val="7BF57AED"/>
    <w:rsid w:val="7BFB5E4A"/>
    <w:rsid w:val="7BFC15CB"/>
    <w:rsid w:val="7BFE016D"/>
    <w:rsid w:val="7BFF27A7"/>
    <w:rsid w:val="7C016BE2"/>
    <w:rsid w:val="7C0E7382"/>
    <w:rsid w:val="7C1259B6"/>
    <w:rsid w:val="7C143AD8"/>
    <w:rsid w:val="7C15504B"/>
    <w:rsid w:val="7C156B31"/>
    <w:rsid w:val="7C1E1418"/>
    <w:rsid w:val="7C1F03DB"/>
    <w:rsid w:val="7C1F175E"/>
    <w:rsid w:val="7C1F387A"/>
    <w:rsid w:val="7C2449E1"/>
    <w:rsid w:val="7C286BC1"/>
    <w:rsid w:val="7C323A24"/>
    <w:rsid w:val="7C343E10"/>
    <w:rsid w:val="7C384D5B"/>
    <w:rsid w:val="7C4371FA"/>
    <w:rsid w:val="7C440BE5"/>
    <w:rsid w:val="7C442F72"/>
    <w:rsid w:val="7C4458CC"/>
    <w:rsid w:val="7C460A98"/>
    <w:rsid w:val="7C4660A6"/>
    <w:rsid w:val="7C484880"/>
    <w:rsid w:val="7C4D1E27"/>
    <w:rsid w:val="7C4E5882"/>
    <w:rsid w:val="7C5219EE"/>
    <w:rsid w:val="7C521B7C"/>
    <w:rsid w:val="7C540B05"/>
    <w:rsid w:val="7C5546E4"/>
    <w:rsid w:val="7C5E4757"/>
    <w:rsid w:val="7C5F1B5A"/>
    <w:rsid w:val="7C635583"/>
    <w:rsid w:val="7C6860B0"/>
    <w:rsid w:val="7C6879D4"/>
    <w:rsid w:val="7C6B04FF"/>
    <w:rsid w:val="7C6F7FEF"/>
    <w:rsid w:val="7C75137E"/>
    <w:rsid w:val="7C814335"/>
    <w:rsid w:val="7C860296"/>
    <w:rsid w:val="7C896BD7"/>
    <w:rsid w:val="7C8A2035"/>
    <w:rsid w:val="7C8A4E29"/>
    <w:rsid w:val="7C8A620E"/>
    <w:rsid w:val="7C8D2B6B"/>
    <w:rsid w:val="7C936F49"/>
    <w:rsid w:val="7C9712F4"/>
    <w:rsid w:val="7C9865C8"/>
    <w:rsid w:val="7C992B5F"/>
    <w:rsid w:val="7C9F01CF"/>
    <w:rsid w:val="7CA0289E"/>
    <w:rsid w:val="7CA05373"/>
    <w:rsid w:val="7CA22456"/>
    <w:rsid w:val="7CA2697F"/>
    <w:rsid w:val="7CAA5868"/>
    <w:rsid w:val="7CAE2BAE"/>
    <w:rsid w:val="7CB023B6"/>
    <w:rsid w:val="7CB579CC"/>
    <w:rsid w:val="7CBA5DA3"/>
    <w:rsid w:val="7CBC5361"/>
    <w:rsid w:val="7CBC5583"/>
    <w:rsid w:val="7CBD6B2A"/>
    <w:rsid w:val="7CBE2D25"/>
    <w:rsid w:val="7CC124B0"/>
    <w:rsid w:val="7CC529AF"/>
    <w:rsid w:val="7CC77678"/>
    <w:rsid w:val="7CCA16C9"/>
    <w:rsid w:val="7CCD2F68"/>
    <w:rsid w:val="7CCD4D16"/>
    <w:rsid w:val="7CCE7D48"/>
    <w:rsid w:val="7CCF0A8E"/>
    <w:rsid w:val="7CD267D0"/>
    <w:rsid w:val="7CD80082"/>
    <w:rsid w:val="7CDE3CF8"/>
    <w:rsid w:val="7CE96E67"/>
    <w:rsid w:val="7CF77FE5"/>
    <w:rsid w:val="7CFB604F"/>
    <w:rsid w:val="7D072780"/>
    <w:rsid w:val="7D083FA0"/>
    <w:rsid w:val="7D0C76D0"/>
    <w:rsid w:val="7D124E1E"/>
    <w:rsid w:val="7D132D54"/>
    <w:rsid w:val="7D1634EE"/>
    <w:rsid w:val="7D197F35"/>
    <w:rsid w:val="7D197F5B"/>
    <w:rsid w:val="7D203B81"/>
    <w:rsid w:val="7D225061"/>
    <w:rsid w:val="7D242CD4"/>
    <w:rsid w:val="7D2569AA"/>
    <w:rsid w:val="7D2610E2"/>
    <w:rsid w:val="7D2B2DDE"/>
    <w:rsid w:val="7D2C4132"/>
    <w:rsid w:val="7D2D069E"/>
    <w:rsid w:val="7D2E7EAA"/>
    <w:rsid w:val="7D2F2F60"/>
    <w:rsid w:val="7D31109D"/>
    <w:rsid w:val="7D317177"/>
    <w:rsid w:val="7D31799A"/>
    <w:rsid w:val="7D320E55"/>
    <w:rsid w:val="7D33726F"/>
    <w:rsid w:val="7D342FE7"/>
    <w:rsid w:val="7D4476CE"/>
    <w:rsid w:val="7D461A2A"/>
    <w:rsid w:val="7D465FC8"/>
    <w:rsid w:val="7D49070E"/>
    <w:rsid w:val="7D4A0A5C"/>
    <w:rsid w:val="7D4A1D97"/>
    <w:rsid w:val="7D4C6582"/>
    <w:rsid w:val="7D4C731A"/>
    <w:rsid w:val="7D4E22FA"/>
    <w:rsid w:val="7D4E2E80"/>
    <w:rsid w:val="7D4F0A19"/>
    <w:rsid w:val="7D570CB6"/>
    <w:rsid w:val="7D5C1608"/>
    <w:rsid w:val="7D5D30F3"/>
    <w:rsid w:val="7D5E4D55"/>
    <w:rsid w:val="7D5F5CD7"/>
    <w:rsid w:val="7D60586B"/>
    <w:rsid w:val="7D68318B"/>
    <w:rsid w:val="7D684AEE"/>
    <w:rsid w:val="7D6D130D"/>
    <w:rsid w:val="7D731D61"/>
    <w:rsid w:val="7D732FF0"/>
    <w:rsid w:val="7D7734B7"/>
    <w:rsid w:val="7D79534F"/>
    <w:rsid w:val="7D7A3DA6"/>
    <w:rsid w:val="7D7F0706"/>
    <w:rsid w:val="7D8A7D63"/>
    <w:rsid w:val="7D8E26F7"/>
    <w:rsid w:val="7D913F95"/>
    <w:rsid w:val="7D937BB3"/>
    <w:rsid w:val="7D947DEE"/>
    <w:rsid w:val="7D97102F"/>
    <w:rsid w:val="7D973F15"/>
    <w:rsid w:val="7D9A2A39"/>
    <w:rsid w:val="7D9C4475"/>
    <w:rsid w:val="7D9D488E"/>
    <w:rsid w:val="7D9F3AB7"/>
    <w:rsid w:val="7DA15827"/>
    <w:rsid w:val="7DA57A41"/>
    <w:rsid w:val="7DA9663A"/>
    <w:rsid w:val="7DAB4365"/>
    <w:rsid w:val="7DB0591E"/>
    <w:rsid w:val="7DB54EBB"/>
    <w:rsid w:val="7DB61C4E"/>
    <w:rsid w:val="7DB63D13"/>
    <w:rsid w:val="7DB63F5A"/>
    <w:rsid w:val="7DB859C6"/>
    <w:rsid w:val="7DB85A82"/>
    <w:rsid w:val="7DBE3BDC"/>
    <w:rsid w:val="7DC1182B"/>
    <w:rsid w:val="7DC20AAD"/>
    <w:rsid w:val="7DC35DA7"/>
    <w:rsid w:val="7DC907E3"/>
    <w:rsid w:val="7DC9372F"/>
    <w:rsid w:val="7DCD4F88"/>
    <w:rsid w:val="7DCD75AF"/>
    <w:rsid w:val="7DCE51E9"/>
    <w:rsid w:val="7DD23BEB"/>
    <w:rsid w:val="7DD302BC"/>
    <w:rsid w:val="7DD30A52"/>
    <w:rsid w:val="7DD86A7B"/>
    <w:rsid w:val="7DD86DC5"/>
    <w:rsid w:val="7DD9051A"/>
    <w:rsid w:val="7DDB16B4"/>
    <w:rsid w:val="7DDB3462"/>
    <w:rsid w:val="7DDC7906"/>
    <w:rsid w:val="7DDF5BA7"/>
    <w:rsid w:val="7DF019A2"/>
    <w:rsid w:val="7DF157F3"/>
    <w:rsid w:val="7DF26EF2"/>
    <w:rsid w:val="7DF85D02"/>
    <w:rsid w:val="7DF86410"/>
    <w:rsid w:val="7DFD1722"/>
    <w:rsid w:val="7E015BC0"/>
    <w:rsid w:val="7E0547FB"/>
    <w:rsid w:val="7E0667DF"/>
    <w:rsid w:val="7E08550C"/>
    <w:rsid w:val="7E0E3764"/>
    <w:rsid w:val="7E0F5C0B"/>
    <w:rsid w:val="7E1150D6"/>
    <w:rsid w:val="7E165D60"/>
    <w:rsid w:val="7E176B90"/>
    <w:rsid w:val="7E192908"/>
    <w:rsid w:val="7E1E0FAA"/>
    <w:rsid w:val="7E222493"/>
    <w:rsid w:val="7E256F3A"/>
    <w:rsid w:val="7E265025"/>
    <w:rsid w:val="7E285E41"/>
    <w:rsid w:val="7E2C3CBE"/>
    <w:rsid w:val="7E2F7B38"/>
    <w:rsid w:val="7E343B5B"/>
    <w:rsid w:val="7E372D8F"/>
    <w:rsid w:val="7E37679A"/>
    <w:rsid w:val="7E377F1E"/>
    <w:rsid w:val="7E3A287F"/>
    <w:rsid w:val="7E3D5ECB"/>
    <w:rsid w:val="7E3D783E"/>
    <w:rsid w:val="7E413C0D"/>
    <w:rsid w:val="7E422725"/>
    <w:rsid w:val="7E467CE8"/>
    <w:rsid w:val="7E470AF8"/>
    <w:rsid w:val="7E4B1B41"/>
    <w:rsid w:val="7E4B683A"/>
    <w:rsid w:val="7E4F377D"/>
    <w:rsid w:val="7E507057"/>
    <w:rsid w:val="7E5356EF"/>
    <w:rsid w:val="7E5533A9"/>
    <w:rsid w:val="7E5C4EFF"/>
    <w:rsid w:val="7E5C7A06"/>
    <w:rsid w:val="7E5E658D"/>
    <w:rsid w:val="7E66788B"/>
    <w:rsid w:val="7E6D5828"/>
    <w:rsid w:val="7E6E1C40"/>
    <w:rsid w:val="7E700D50"/>
    <w:rsid w:val="7E715FA3"/>
    <w:rsid w:val="7E7538B7"/>
    <w:rsid w:val="7E790FDA"/>
    <w:rsid w:val="7E7C4F2E"/>
    <w:rsid w:val="7E7D156B"/>
    <w:rsid w:val="7E834E22"/>
    <w:rsid w:val="7E841750"/>
    <w:rsid w:val="7E867872"/>
    <w:rsid w:val="7E876F14"/>
    <w:rsid w:val="7E8A55B4"/>
    <w:rsid w:val="7E8B6C36"/>
    <w:rsid w:val="7E8E266E"/>
    <w:rsid w:val="7E906943"/>
    <w:rsid w:val="7E9149BA"/>
    <w:rsid w:val="7E921852"/>
    <w:rsid w:val="7E940BC6"/>
    <w:rsid w:val="7E9C0E44"/>
    <w:rsid w:val="7E9F0934"/>
    <w:rsid w:val="7E9F26E2"/>
    <w:rsid w:val="7EA05563"/>
    <w:rsid w:val="7EA6334F"/>
    <w:rsid w:val="7EA63DDD"/>
    <w:rsid w:val="7EAA6A11"/>
    <w:rsid w:val="7EAE3786"/>
    <w:rsid w:val="7EAF6449"/>
    <w:rsid w:val="7EB03CDB"/>
    <w:rsid w:val="7EB22A1D"/>
    <w:rsid w:val="7EB663A9"/>
    <w:rsid w:val="7EB83D78"/>
    <w:rsid w:val="7EB95BF8"/>
    <w:rsid w:val="7EBB2475"/>
    <w:rsid w:val="7EBD1E63"/>
    <w:rsid w:val="7EBD69B8"/>
    <w:rsid w:val="7EBE700C"/>
    <w:rsid w:val="7EC24E3A"/>
    <w:rsid w:val="7EC825E4"/>
    <w:rsid w:val="7ECD54A1"/>
    <w:rsid w:val="7ED16DE7"/>
    <w:rsid w:val="7ED33D79"/>
    <w:rsid w:val="7ED40141"/>
    <w:rsid w:val="7EDC4BBA"/>
    <w:rsid w:val="7EDF0647"/>
    <w:rsid w:val="7EE011E6"/>
    <w:rsid w:val="7EE051D4"/>
    <w:rsid w:val="7EE10361"/>
    <w:rsid w:val="7EE53694"/>
    <w:rsid w:val="7EF11EAA"/>
    <w:rsid w:val="7EF421D6"/>
    <w:rsid w:val="7EF46ED2"/>
    <w:rsid w:val="7EFE4B8C"/>
    <w:rsid w:val="7EFF28BB"/>
    <w:rsid w:val="7F00043A"/>
    <w:rsid w:val="7F017854"/>
    <w:rsid w:val="7F053EE9"/>
    <w:rsid w:val="7F0F1615"/>
    <w:rsid w:val="7F10538E"/>
    <w:rsid w:val="7F112C33"/>
    <w:rsid w:val="7F116CAB"/>
    <w:rsid w:val="7F1715F4"/>
    <w:rsid w:val="7F17534F"/>
    <w:rsid w:val="7F17671C"/>
    <w:rsid w:val="7F1949EB"/>
    <w:rsid w:val="7F1B445E"/>
    <w:rsid w:val="7F1D501C"/>
    <w:rsid w:val="7F226EA1"/>
    <w:rsid w:val="7F2514E7"/>
    <w:rsid w:val="7F257827"/>
    <w:rsid w:val="7F2712C4"/>
    <w:rsid w:val="7F293D20"/>
    <w:rsid w:val="7F2A2345"/>
    <w:rsid w:val="7F2E04CD"/>
    <w:rsid w:val="7F3345C7"/>
    <w:rsid w:val="7F365E18"/>
    <w:rsid w:val="7F3924D3"/>
    <w:rsid w:val="7F3A1854"/>
    <w:rsid w:val="7F3E639F"/>
    <w:rsid w:val="7F4F5EB6"/>
    <w:rsid w:val="7F517421"/>
    <w:rsid w:val="7F590614"/>
    <w:rsid w:val="7F5931D8"/>
    <w:rsid w:val="7F5B6D59"/>
    <w:rsid w:val="7F6310E9"/>
    <w:rsid w:val="7F651B7D"/>
    <w:rsid w:val="7F670D60"/>
    <w:rsid w:val="7F6A2CF0"/>
    <w:rsid w:val="7F6C4CBA"/>
    <w:rsid w:val="7F6E4F2C"/>
    <w:rsid w:val="7F6E52F3"/>
    <w:rsid w:val="7F6F47AA"/>
    <w:rsid w:val="7F731EA8"/>
    <w:rsid w:val="7F77092E"/>
    <w:rsid w:val="7F7D572F"/>
    <w:rsid w:val="7F7E5056"/>
    <w:rsid w:val="7F83401D"/>
    <w:rsid w:val="7F85081C"/>
    <w:rsid w:val="7F8759F2"/>
    <w:rsid w:val="7F8C0830"/>
    <w:rsid w:val="7F935CC2"/>
    <w:rsid w:val="7F9F3437"/>
    <w:rsid w:val="7F9F4D2B"/>
    <w:rsid w:val="7FA8300C"/>
    <w:rsid w:val="7FAE1EEA"/>
    <w:rsid w:val="7FB126CD"/>
    <w:rsid w:val="7FB55C1C"/>
    <w:rsid w:val="7FBA7D0A"/>
    <w:rsid w:val="7FBD5515"/>
    <w:rsid w:val="7FBE274D"/>
    <w:rsid w:val="7FC248DA"/>
    <w:rsid w:val="7FC5755B"/>
    <w:rsid w:val="7FC71EF0"/>
    <w:rsid w:val="7FC95C68"/>
    <w:rsid w:val="7FCC605A"/>
    <w:rsid w:val="7FD7685E"/>
    <w:rsid w:val="7FDE05EA"/>
    <w:rsid w:val="7FE021F4"/>
    <w:rsid w:val="7FE31053"/>
    <w:rsid w:val="7FE7641E"/>
    <w:rsid w:val="7FEA0CD3"/>
    <w:rsid w:val="7FEC059A"/>
    <w:rsid w:val="7FEC1642"/>
    <w:rsid w:val="7FEF3629"/>
    <w:rsid w:val="7FF32C78"/>
    <w:rsid w:val="7FF4549F"/>
    <w:rsid w:val="7FF4774B"/>
    <w:rsid w:val="7FF705ED"/>
    <w:rsid w:val="7FF90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iPriority="99"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pPr>
    <w:rPr>
      <w:rFonts w:ascii="Times New Roman" w:hAnsi="Times New Roman" w:eastAsia="宋体" w:cstheme="minorBidi"/>
      <w:b/>
      <w:kern w:val="2"/>
      <w:sz w:val="24"/>
      <w:szCs w:val="24"/>
      <w:lang w:val="en-US" w:eastAsia="zh-CN" w:bidi="ar-SA"/>
    </w:rPr>
  </w:style>
  <w:style w:type="paragraph" w:styleId="4">
    <w:name w:val="heading 1"/>
    <w:basedOn w:val="1"/>
    <w:next w:val="1"/>
    <w:autoRedefine/>
    <w:qFormat/>
    <w:uiPriority w:val="0"/>
    <w:pPr>
      <w:keepNext/>
      <w:keepLines/>
      <w:outlineLvl w:val="0"/>
    </w:pPr>
    <w:rPr>
      <w:kern w:val="44"/>
      <w:sz w:val="30"/>
    </w:rPr>
  </w:style>
  <w:style w:type="paragraph" w:styleId="5">
    <w:name w:val="heading 2"/>
    <w:basedOn w:val="1"/>
    <w:next w:val="1"/>
    <w:autoRedefine/>
    <w:unhideWhenUsed/>
    <w:qFormat/>
    <w:uiPriority w:val="0"/>
    <w:pPr>
      <w:keepNext/>
      <w:keepLines/>
      <w:outlineLvl w:val="1"/>
    </w:pPr>
    <w:rPr>
      <w:sz w:val="28"/>
    </w:rPr>
  </w:style>
  <w:style w:type="paragraph" w:styleId="6">
    <w:name w:val="heading 3"/>
    <w:basedOn w:val="1"/>
    <w:next w:val="1"/>
    <w:autoRedefine/>
    <w:unhideWhenUsed/>
    <w:qFormat/>
    <w:uiPriority w:val="0"/>
    <w:pPr>
      <w:keepNext/>
      <w:keepLines/>
      <w:spacing w:line="360" w:lineRule="auto"/>
      <w:outlineLvl w:val="2"/>
    </w:pPr>
  </w:style>
  <w:style w:type="paragraph" w:styleId="7">
    <w:name w:val="heading 4"/>
    <w:basedOn w:val="1"/>
    <w:next w:val="1"/>
    <w:autoRedefine/>
    <w:unhideWhenUsed/>
    <w:qFormat/>
    <w:uiPriority w:val="0"/>
    <w:pPr>
      <w:keepNext/>
      <w:keepLines/>
      <w:spacing w:line="360" w:lineRule="auto"/>
      <w:outlineLvl w:val="3"/>
    </w:pPr>
    <w:rPr>
      <w:bCs/>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pPr>
      <w:widowControl/>
      <w:snapToGrid w:val="0"/>
      <w:spacing w:before="60" w:after="160" w:line="259" w:lineRule="auto"/>
      <w:ind w:right="113"/>
    </w:pPr>
    <w:rPr>
      <w:kern w:val="0"/>
      <w:sz w:val="18"/>
      <w:szCs w:val="20"/>
    </w:rPr>
  </w:style>
  <w:style w:type="paragraph" w:styleId="3">
    <w:name w:val="Body Text 2"/>
    <w:basedOn w:val="1"/>
    <w:link w:val="74"/>
    <w:autoRedefine/>
    <w:unhideWhenUsed/>
    <w:qFormat/>
    <w:uiPriority w:val="99"/>
    <w:pPr>
      <w:spacing w:line="360" w:lineRule="auto"/>
      <w:ind w:firstLine="602" w:firstLineChars="200"/>
    </w:pPr>
    <w:rPr>
      <w:b w:val="0"/>
    </w:rPr>
  </w:style>
  <w:style w:type="paragraph" w:styleId="8">
    <w:name w:val="Note Heading"/>
    <w:basedOn w:val="1"/>
    <w:next w:val="1"/>
    <w:qFormat/>
    <w:uiPriority w:val="0"/>
    <w:pPr>
      <w:jc w:val="center"/>
    </w:pPr>
    <w:rPr>
      <w:rFonts w:ascii="宋体"/>
      <w:szCs w:val="20"/>
    </w:rPr>
  </w:style>
  <w:style w:type="paragraph" w:styleId="9">
    <w:name w:val="Normal Indent"/>
    <w:basedOn w:val="1"/>
    <w:next w:val="1"/>
    <w:autoRedefine/>
    <w:qFormat/>
    <w:uiPriority w:val="0"/>
    <w:pPr>
      <w:ind w:firstLine="420" w:firstLineChars="200"/>
    </w:pPr>
  </w:style>
  <w:style w:type="paragraph" w:styleId="10">
    <w:name w:val="caption"/>
    <w:basedOn w:val="1"/>
    <w:next w:val="1"/>
    <w:autoRedefine/>
    <w:qFormat/>
    <w:uiPriority w:val="35"/>
    <w:pPr>
      <w:jc w:val="center"/>
    </w:pPr>
    <w:rPr>
      <w:szCs w:val="20"/>
    </w:rPr>
  </w:style>
  <w:style w:type="paragraph" w:styleId="11">
    <w:name w:val="annotation text"/>
    <w:basedOn w:val="1"/>
    <w:link w:val="68"/>
    <w:autoRedefine/>
    <w:qFormat/>
    <w:uiPriority w:val="0"/>
  </w:style>
  <w:style w:type="paragraph" w:styleId="12">
    <w:name w:val="Body Text Indent"/>
    <w:basedOn w:val="1"/>
    <w:next w:val="1"/>
    <w:autoRedefine/>
    <w:qFormat/>
    <w:uiPriority w:val="0"/>
    <w:pPr>
      <w:spacing w:after="120"/>
      <w:ind w:left="420" w:leftChars="200"/>
    </w:pPr>
    <w:rPr>
      <w:kern w:val="0"/>
      <w:szCs w:val="20"/>
    </w:rPr>
  </w:style>
  <w:style w:type="paragraph" w:styleId="13">
    <w:name w:val="Plain Text"/>
    <w:basedOn w:val="1"/>
    <w:autoRedefine/>
    <w:qFormat/>
    <w:uiPriority w:val="0"/>
    <w:rPr>
      <w:rFonts w:hAnsi="Courier New" w:cs="Courier New"/>
      <w:szCs w:val="21"/>
    </w:rPr>
  </w:style>
  <w:style w:type="paragraph" w:styleId="14">
    <w:name w:val="List Bullet 5"/>
    <w:basedOn w:val="1"/>
    <w:autoRedefine/>
    <w:qFormat/>
    <w:uiPriority w:val="0"/>
    <w:pPr>
      <w:numPr>
        <w:ilvl w:val="0"/>
        <w:numId w:val="1"/>
      </w:numPr>
    </w:pPr>
  </w:style>
  <w:style w:type="paragraph" w:styleId="15">
    <w:name w:val="Body Text Indent 2"/>
    <w:basedOn w:val="1"/>
    <w:next w:val="1"/>
    <w:autoRedefine/>
    <w:qFormat/>
    <w:uiPriority w:val="99"/>
    <w:pPr>
      <w:spacing w:after="120" w:line="480" w:lineRule="auto"/>
      <w:ind w:left="420" w:leftChars="200"/>
    </w:pPr>
  </w:style>
  <w:style w:type="paragraph" w:styleId="16">
    <w:name w:val="Balloon Text"/>
    <w:basedOn w:val="1"/>
    <w:autoRedefine/>
    <w:semiHidden/>
    <w:qFormat/>
    <w:uiPriority w:val="0"/>
    <w:rPr>
      <w:kern w:val="0"/>
      <w:sz w:val="18"/>
      <w:szCs w:val="20"/>
    </w:rPr>
  </w:style>
  <w:style w:type="paragraph" w:styleId="17">
    <w:name w:val="footer"/>
    <w:basedOn w:val="1"/>
    <w:autoRedefine/>
    <w:qFormat/>
    <w:uiPriority w:val="99"/>
    <w:pPr>
      <w:tabs>
        <w:tab w:val="center" w:pos="4153"/>
        <w:tab w:val="right" w:pos="8306"/>
      </w:tabs>
      <w:snapToGrid w:val="0"/>
    </w:pPr>
    <w:rPr>
      <w:kern w:val="0"/>
      <w:sz w:val="18"/>
      <w:szCs w:val="20"/>
    </w:rPr>
  </w:style>
  <w:style w:type="paragraph" w:styleId="18">
    <w:name w:val="header"/>
    <w:basedOn w:val="1"/>
    <w:next w:val="1"/>
    <w:link w:val="7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9">
    <w:name w:val="List"/>
    <w:basedOn w:val="1"/>
    <w:next w:val="1"/>
    <w:autoRedefine/>
    <w:unhideWhenUsed/>
    <w:qFormat/>
    <w:uiPriority w:val="0"/>
    <w:pPr>
      <w:widowControl w:val="0"/>
      <w:wordWrap w:val="0"/>
      <w:autoSpaceDE w:val="0"/>
      <w:autoSpaceDN w:val="0"/>
      <w:adjustRightInd w:val="0"/>
      <w:spacing w:line="360" w:lineRule="auto"/>
      <w:ind w:left="-2" w:leftChars="-1" w:right="-108" w:rightChars="-45" w:firstLine="420" w:firstLineChars="200"/>
      <w:jc w:val="left"/>
    </w:pPr>
    <w:rPr>
      <w:rFonts w:ascii="黑体" w:hAnsi="Times New Roman" w:eastAsia="黑体" w:cs="Times New Roman"/>
      <w:kern w:val="0"/>
      <w:sz w:val="20"/>
      <w:szCs w:val="20"/>
      <w:lang w:val="zh-CN" w:eastAsia="zh-CN" w:bidi="zh-CN"/>
    </w:rPr>
  </w:style>
  <w:style w:type="paragraph" w:styleId="20">
    <w:name w:val="table of figures"/>
    <w:basedOn w:val="1"/>
    <w:next w:val="1"/>
    <w:semiHidden/>
    <w:qFormat/>
    <w:uiPriority w:val="99"/>
    <w:pPr>
      <w:jc w:val="center"/>
    </w:pPr>
    <w:rPr>
      <w:rFonts w:eastAsia="楷体_GB2312"/>
      <w:color w:val="000000"/>
      <w:spacing w:val="-4"/>
      <w:szCs w:val="20"/>
    </w:rPr>
  </w:style>
  <w:style w:type="paragraph" w:styleId="21">
    <w:name w:val="Normal (Web)"/>
    <w:basedOn w:val="1"/>
    <w:link w:val="59"/>
    <w:autoRedefine/>
    <w:qFormat/>
    <w:uiPriority w:val="0"/>
    <w:pPr>
      <w:widowControl/>
      <w:spacing w:before="100" w:beforeAutospacing="1" w:after="100" w:afterAutospacing="1"/>
    </w:pPr>
    <w:rPr>
      <w:rFonts w:ascii="宋体" w:hAnsi="宋体"/>
      <w:kern w:val="0"/>
      <w:szCs w:val="20"/>
    </w:rPr>
  </w:style>
  <w:style w:type="paragraph" w:styleId="22">
    <w:name w:val="annotation subject"/>
    <w:basedOn w:val="11"/>
    <w:next w:val="11"/>
    <w:link w:val="69"/>
    <w:autoRedefine/>
    <w:qFormat/>
    <w:uiPriority w:val="0"/>
    <w:rPr>
      <w:bCs/>
    </w:rPr>
  </w:style>
  <w:style w:type="paragraph" w:styleId="23">
    <w:name w:val="Body Text First Indent"/>
    <w:basedOn w:val="2"/>
    <w:next w:val="1"/>
    <w:autoRedefine/>
    <w:qFormat/>
    <w:uiPriority w:val="0"/>
    <w:pPr>
      <w:ind w:firstLine="420" w:firstLineChars="100"/>
    </w:pPr>
  </w:style>
  <w:style w:type="paragraph" w:styleId="24">
    <w:name w:val="Body Text First Indent 2"/>
    <w:basedOn w:val="12"/>
    <w:next w:val="2"/>
    <w:autoRedefine/>
    <w:qFormat/>
    <w:uiPriority w:val="0"/>
    <w:pPr>
      <w:ind w:firstLine="420"/>
    </w:pPr>
    <w:rPr>
      <w:rFonts w:ascii="Calibri" w:hAnsi="Calibri"/>
      <w:sz w:val="28"/>
      <w:szCs w:val="22"/>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autoRedefine/>
    <w:qFormat/>
    <w:uiPriority w:val="0"/>
  </w:style>
  <w:style w:type="character" w:styleId="29">
    <w:name w:val="Hyperlink"/>
    <w:basedOn w:val="27"/>
    <w:autoRedefine/>
    <w:qFormat/>
    <w:uiPriority w:val="0"/>
    <w:rPr>
      <w:color w:val="0000FF"/>
      <w:u w:val="single"/>
    </w:rPr>
  </w:style>
  <w:style w:type="character" w:styleId="30">
    <w:name w:val="annotation reference"/>
    <w:basedOn w:val="27"/>
    <w:autoRedefine/>
    <w:qFormat/>
    <w:uiPriority w:val="0"/>
    <w:rPr>
      <w:sz w:val="21"/>
      <w:szCs w:val="21"/>
    </w:rPr>
  </w:style>
  <w:style w:type="paragraph" w:customStyle="1" w:styleId="31">
    <w:name w:val="Body Text 21"/>
    <w:basedOn w:val="1"/>
    <w:autoRedefine/>
    <w:qFormat/>
    <w:uiPriority w:val="0"/>
    <w:pPr>
      <w:spacing w:after="120" w:line="480" w:lineRule="auto"/>
    </w:pPr>
  </w:style>
  <w:style w:type="paragraph" w:customStyle="1" w:styleId="32">
    <w:name w:val="默认段落"/>
    <w:basedOn w:val="1"/>
    <w:autoRedefine/>
    <w:qFormat/>
    <w:uiPriority w:val="0"/>
  </w:style>
  <w:style w:type="paragraph" w:customStyle="1" w:styleId="33">
    <w:name w:val="样式 首行缩进:  2 字符1"/>
    <w:basedOn w:val="1"/>
    <w:autoRedefine/>
    <w:qFormat/>
    <w:uiPriority w:val="0"/>
    <w:pPr>
      <w:adjustRightInd w:val="0"/>
      <w:snapToGrid w:val="0"/>
      <w:spacing w:line="360" w:lineRule="auto"/>
      <w:ind w:firstLine="480" w:firstLineChars="200"/>
    </w:pPr>
    <w:rPr>
      <w:rFonts w:cs="宋体"/>
      <w:sz w:val="24"/>
      <w:lang w:val="en-US" w:eastAsia="zh-CN"/>
    </w:rPr>
  </w:style>
  <w:style w:type="paragraph" w:customStyle="1" w:styleId="34">
    <w:name w:val="表头字体"/>
    <w:basedOn w:val="1"/>
    <w:autoRedefine/>
    <w:qFormat/>
    <w:uiPriority w:val="0"/>
    <w:pPr>
      <w:spacing w:line="360" w:lineRule="auto"/>
      <w:jc w:val="center"/>
    </w:pPr>
  </w:style>
  <w:style w:type="paragraph" w:customStyle="1" w:styleId="35">
    <w:name w:val="表格内容"/>
    <w:next w:val="36"/>
    <w:link w:val="72"/>
    <w:autoRedefine/>
    <w:qFormat/>
    <w:uiPriority w:val="0"/>
    <w:pPr>
      <w:jc w:val="center"/>
    </w:pPr>
    <w:rPr>
      <w:rFonts w:ascii="Times New Roman" w:hAnsi="Times New Roman" w:eastAsia="宋体" w:cs="Times New Roman"/>
      <w:kern w:val="2"/>
      <w:sz w:val="21"/>
      <w:szCs w:val="24"/>
      <w:lang w:val="zh-TW" w:eastAsia="zh-TW" w:bidi="ar-SA"/>
    </w:rPr>
  </w:style>
  <w:style w:type="paragraph" w:customStyle="1" w:styleId="36">
    <w:name w:val="文本正文"/>
    <w:basedOn w:val="1"/>
    <w:autoRedefine/>
    <w:qFormat/>
    <w:uiPriority w:val="0"/>
    <w:pPr>
      <w:ind w:firstLine="480"/>
    </w:pPr>
  </w:style>
  <w:style w:type="paragraph" w:customStyle="1" w:styleId="37">
    <w:name w:val="xl27"/>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8">
    <w:name w:val="Default"/>
    <w:basedOn w:val="39"/>
    <w:next w:val="24"/>
    <w:autoRedefine/>
    <w:qFormat/>
    <w:uiPriority w:val="0"/>
    <w:pPr>
      <w:autoSpaceDE w:val="0"/>
      <w:autoSpaceDN w:val="0"/>
      <w:adjustRightInd w:val="0"/>
    </w:pPr>
    <w:rPr>
      <w:rFonts w:hAnsi="Times New Roman" w:cs="宋体"/>
      <w:color w:val="000000"/>
      <w:sz w:val="24"/>
      <w:szCs w:val="24"/>
    </w:rPr>
  </w:style>
  <w:style w:type="paragraph" w:customStyle="1" w:styleId="39">
    <w:name w:val="纯文本1"/>
    <w:basedOn w:val="1"/>
    <w:autoRedefine/>
    <w:qFormat/>
    <w:uiPriority w:val="0"/>
    <w:rPr>
      <w:rFonts w:ascii="宋体" w:hAnsi="Courier New" w:cs="Courier New"/>
      <w:sz w:val="21"/>
      <w:szCs w:val="21"/>
    </w:rPr>
  </w:style>
  <w:style w:type="paragraph" w:customStyle="1" w:styleId="40">
    <w:name w:val="1 表头"/>
    <w:basedOn w:val="1"/>
    <w:autoRedefine/>
    <w:qFormat/>
    <w:uiPriority w:val="0"/>
    <w:pPr>
      <w:adjustRightInd w:val="0"/>
      <w:snapToGrid w:val="0"/>
      <w:jc w:val="center"/>
    </w:pPr>
    <w:rPr>
      <w:color w:val="000000"/>
      <w:sz w:val="21"/>
      <w:szCs w:val="21"/>
    </w:rPr>
  </w:style>
  <w:style w:type="paragraph" w:customStyle="1" w:styleId="41">
    <w:name w:val="正文1"/>
    <w:basedOn w:val="9"/>
    <w:next w:val="9"/>
    <w:autoRedefine/>
    <w:qFormat/>
    <w:uiPriority w:val="0"/>
    <w:pPr>
      <w:ind w:firstLine="0" w:firstLineChars="0"/>
      <w:jc w:val="center"/>
    </w:pPr>
    <w:rPr>
      <w:b w:val="0"/>
      <w:sz w:val="21"/>
    </w:rPr>
  </w:style>
  <w:style w:type="paragraph" w:customStyle="1" w:styleId="42">
    <w:name w:val="表格字体"/>
    <w:basedOn w:val="34"/>
    <w:autoRedefine/>
    <w:qFormat/>
    <w:uiPriority w:val="0"/>
    <w:pPr>
      <w:spacing w:line="240" w:lineRule="auto"/>
    </w:pPr>
    <w:rPr>
      <w:b w:val="0"/>
    </w:rPr>
  </w:style>
  <w:style w:type="paragraph" w:customStyle="1" w:styleId="43">
    <w:name w:val="正文格式"/>
    <w:basedOn w:val="1"/>
    <w:autoRedefine/>
    <w:qFormat/>
    <w:uiPriority w:val="0"/>
    <w:pPr>
      <w:spacing w:before="78" w:beforeLines="25" w:after="78" w:afterLines="25" w:line="360" w:lineRule="auto"/>
      <w:ind w:firstLine="40"/>
    </w:pPr>
  </w:style>
  <w:style w:type="paragraph" w:customStyle="1" w:styleId="44">
    <w:name w:val="正文首行缩进 21"/>
    <w:basedOn w:val="45"/>
    <w:next w:val="2"/>
    <w:autoRedefine/>
    <w:qFormat/>
    <w:uiPriority w:val="0"/>
    <w:pPr>
      <w:spacing w:after="120"/>
      <w:ind w:left="420" w:leftChars="200" w:firstLine="420" w:firstLineChars="200"/>
    </w:pPr>
    <w:rPr>
      <w:sz w:val="21"/>
    </w:rPr>
  </w:style>
  <w:style w:type="paragraph" w:customStyle="1" w:styleId="45">
    <w:name w:val="正文文本缩进1"/>
    <w:basedOn w:val="1"/>
    <w:autoRedefine/>
    <w:qFormat/>
    <w:uiPriority w:val="0"/>
    <w:pPr>
      <w:ind w:firstLine="538" w:firstLineChars="192"/>
    </w:pPr>
    <w:rPr>
      <w:kern w:val="0"/>
      <w:sz w:val="28"/>
    </w:rPr>
  </w:style>
  <w:style w:type="paragraph" w:customStyle="1" w:styleId="46">
    <w:name w:val="1"/>
    <w:basedOn w:val="1"/>
    <w:autoRedefine/>
    <w:qFormat/>
    <w:uiPriority w:val="0"/>
    <w:pPr>
      <w:ind w:firstLine="720" w:firstLineChars="200"/>
    </w:pPr>
    <w:rPr>
      <w:rFonts w:hint="eastAsia" w:cs="Times New Roman"/>
      <w:szCs w:val="32"/>
    </w:rPr>
  </w:style>
  <w:style w:type="paragraph" w:customStyle="1" w:styleId="47">
    <w:name w:val="样式 正文缩进正文缩进2正文缩进 Char Char正文缩进 Char Char Char Char正文缩进 Char ..."/>
    <w:basedOn w:val="9"/>
    <w:autoRedefine/>
    <w:qFormat/>
    <w:uiPriority w:val="0"/>
    <w:pPr>
      <w:tabs>
        <w:tab w:val="left" w:pos="840"/>
      </w:tabs>
      <w:spacing w:line="360" w:lineRule="auto"/>
      <w:ind w:firstLine="200"/>
      <w:jc w:val="both"/>
    </w:pPr>
  </w:style>
  <w:style w:type="paragraph" w:customStyle="1" w:styleId="48">
    <w:name w:val="表头"/>
    <w:basedOn w:val="49"/>
    <w:next w:val="1"/>
    <w:autoRedefine/>
    <w:qFormat/>
    <w:uiPriority w:val="0"/>
    <w:pPr>
      <w:ind w:firstLine="0" w:firstLineChars="0"/>
      <w:jc w:val="center"/>
    </w:pPr>
    <w:rPr>
      <w:bCs/>
      <w:sz w:val="21"/>
      <w:szCs w:val="21"/>
    </w:rPr>
  </w:style>
  <w:style w:type="paragraph" w:customStyle="1" w:styleId="49">
    <w:name w:val="表格"/>
    <w:basedOn w:val="19"/>
    <w:autoRedefine/>
    <w:qFormat/>
    <w:uiPriority w:val="0"/>
    <w:pPr>
      <w:adjustRightInd w:val="0"/>
      <w:snapToGrid w:val="0"/>
      <w:spacing w:beforeLines="10" w:afterLines="10" w:line="259" w:lineRule="auto"/>
      <w:jc w:val="center"/>
    </w:pPr>
  </w:style>
  <w:style w:type="paragraph" w:customStyle="1" w:styleId="50">
    <w:name w:val="正文001"/>
    <w:basedOn w:val="1"/>
    <w:autoRedefine/>
    <w:qFormat/>
    <w:uiPriority w:val="0"/>
    <w:pPr>
      <w:spacing w:before="60" w:line="460" w:lineRule="exact"/>
      <w:ind w:firstLine="482"/>
    </w:pPr>
    <w:rPr>
      <w:szCs w:val="20"/>
    </w:rPr>
  </w:style>
  <w:style w:type="paragraph" w:customStyle="1" w:styleId="51">
    <w:name w:val="表格001"/>
    <w:basedOn w:val="1"/>
    <w:autoRedefine/>
    <w:qFormat/>
    <w:uiPriority w:val="0"/>
    <w:pPr>
      <w:jc w:val="center"/>
    </w:pPr>
    <w:rPr>
      <w:szCs w:val="20"/>
    </w:rPr>
  </w:style>
  <w:style w:type="paragraph" w:customStyle="1" w:styleId="52">
    <w:name w:val="M正文"/>
    <w:basedOn w:val="1"/>
    <w:autoRedefine/>
    <w:qFormat/>
    <w:uiPriority w:val="0"/>
    <w:pPr>
      <w:ind w:firstLine="200"/>
    </w:pPr>
    <w:rPr>
      <w:szCs w:val="21"/>
    </w:rPr>
  </w:style>
  <w:style w:type="paragraph" w:customStyle="1" w:styleId="53">
    <w:name w:val="德源报告表表格"/>
    <w:autoRedefine/>
    <w:qFormat/>
    <w:uiPriority w:val="0"/>
    <w:pPr>
      <w:adjustRightInd w:val="0"/>
      <w:snapToGrid w:val="0"/>
      <w:spacing w:line="360" w:lineRule="exact"/>
      <w:jc w:val="center"/>
    </w:pPr>
    <w:rPr>
      <w:rFonts w:ascii="Times New Roman" w:hAnsi="Times New Roman" w:eastAsia="宋体" w:cs="Times New Roman"/>
      <w:snapToGrid w:val="0"/>
      <w:sz w:val="21"/>
      <w:szCs w:val="21"/>
      <w:lang w:val="en-US" w:eastAsia="zh-CN" w:bidi="ar-SA"/>
    </w:rPr>
  </w:style>
  <w:style w:type="paragraph" w:customStyle="1" w:styleId="54">
    <w:name w:val="表中文字"/>
    <w:next w:val="1"/>
    <w:autoRedefine/>
    <w:qFormat/>
    <w:uiPriority w:val="0"/>
    <w:pPr>
      <w:jc w:val="center"/>
    </w:pPr>
    <w:rPr>
      <w:rFonts w:ascii="Times New Roman" w:hAnsi="Times New Roman" w:eastAsia="宋体" w:cstheme="minorBidi"/>
      <w:color w:val="000000"/>
      <w:kern w:val="2"/>
      <w:sz w:val="21"/>
      <w:szCs w:val="24"/>
      <w:lang w:val="en-US" w:eastAsia="zh-CN" w:bidi="ar-SA"/>
    </w:rPr>
  </w:style>
  <w:style w:type="paragraph" w:customStyle="1" w:styleId="55">
    <w:name w:val="图表后空行"/>
    <w:next w:val="1"/>
    <w:autoRedefine/>
    <w:qFormat/>
    <w:uiPriority w:val="0"/>
    <w:pPr>
      <w:ind w:firstLine="200"/>
    </w:pPr>
    <w:rPr>
      <w:rFonts w:ascii="Times New Roman" w:hAnsi="Times New Roman" w:eastAsia="宋体" w:cstheme="minorBidi"/>
      <w:kern w:val="2"/>
      <w:sz w:val="18"/>
      <w:szCs w:val="24"/>
      <w:lang w:val="en-US" w:eastAsia="zh-CN" w:bidi="ar-SA"/>
    </w:rPr>
  </w:style>
  <w:style w:type="paragraph" w:customStyle="1" w:styleId="56">
    <w:name w:val="表格1"/>
    <w:basedOn w:val="1"/>
    <w:autoRedefine/>
    <w:qFormat/>
    <w:uiPriority w:val="0"/>
    <w:pPr>
      <w:adjustRightInd w:val="0"/>
      <w:snapToGrid w:val="0"/>
      <w:jc w:val="center"/>
    </w:pPr>
    <w:rPr>
      <w:rFonts w:eastAsia="方正仿宋_GBK"/>
      <w:color w:val="000000"/>
      <w:kern w:val="0"/>
    </w:rPr>
  </w:style>
  <w:style w:type="paragraph" w:customStyle="1" w:styleId="57">
    <w:name w:val="表格正文"/>
    <w:basedOn w:val="58"/>
    <w:autoRedefine/>
    <w:qFormat/>
    <w:uiPriority w:val="0"/>
    <w:pPr>
      <w:wordWrap w:val="0"/>
    </w:pPr>
    <w:rPr>
      <w:b w:val="0"/>
    </w:rPr>
  </w:style>
  <w:style w:type="paragraph" w:customStyle="1" w:styleId="58">
    <w:name w:val="表格标题"/>
    <w:basedOn w:val="48"/>
    <w:autoRedefine/>
    <w:qFormat/>
    <w:uiPriority w:val="0"/>
  </w:style>
  <w:style w:type="character" w:customStyle="1" w:styleId="59">
    <w:name w:val="普通(网站) Char"/>
    <w:link w:val="21"/>
    <w:autoRedefine/>
    <w:qFormat/>
    <w:uiPriority w:val="0"/>
    <w:rPr>
      <w:rFonts w:ascii="宋体" w:hAnsi="宋体"/>
      <w:kern w:val="0"/>
      <w:sz w:val="24"/>
      <w:szCs w:val="20"/>
    </w:rPr>
  </w:style>
  <w:style w:type="character" w:customStyle="1" w:styleId="60">
    <w:name w:val="正文文本 2 Char"/>
    <w:link w:val="3"/>
    <w:autoRedefine/>
    <w:qFormat/>
    <w:uiPriority w:val="99"/>
    <w:rPr>
      <w:rFonts w:ascii="Times New Roman" w:hAnsi="Times New Roman" w:eastAsia="宋体"/>
      <w:sz w:val="24"/>
    </w:rPr>
  </w:style>
  <w:style w:type="character" w:customStyle="1" w:styleId="61">
    <w:name w:val="font31"/>
    <w:autoRedefine/>
    <w:qFormat/>
    <w:uiPriority w:val="0"/>
    <w:rPr>
      <w:rFonts w:hint="eastAsia" w:ascii="宋体" w:hAnsi="宋体" w:eastAsia="宋体" w:cs="宋体"/>
      <w:b/>
      <w:color w:val="FF0000"/>
      <w:sz w:val="21"/>
      <w:szCs w:val="21"/>
      <w:u w:val="none"/>
    </w:rPr>
  </w:style>
  <w:style w:type="character" w:customStyle="1" w:styleId="62">
    <w:name w:val="font51"/>
    <w:autoRedefine/>
    <w:qFormat/>
    <w:uiPriority w:val="0"/>
    <w:rPr>
      <w:rFonts w:hint="eastAsia" w:ascii="宋体" w:hAnsi="宋体" w:eastAsia="宋体" w:cs="宋体"/>
      <w:color w:val="FF0000"/>
      <w:sz w:val="21"/>
      <w:szCs w:val="21"/>
      <w:u w:val="none"/>
    </w:rPr>
  </w:style>
  <w:style w:type="paragraph" w:customStyle="1" w:styleId="63">
    <w:name w:val="正文样式"/>
    <w:basedOn w:val="1"/>
    <w:autoRedefine/>
    <w:qFormat/>
    <w:uiPriority w:val="0"/>
    <w:pPr>
      <w:adjustRightInd w:val="0"/>
      <w:snapToGrid w:val="0"/>
      <w:spacing w:line="360" w:lineRule="auto"/>
      <w:ind w:firstLine="542" w:firstLineChars="225"/>
      <w:jc w:val="center"/>
    </w:pPr>
    <w:rPr>
      <w:color w:val="FF0000"/>
    </w:rPr>
  </w:style>
  <w:style w:type="paragraph" w:customStyle="1" w:styleId="64">
    <w:name w:val="正文（缩进）"/>
    <w:basedOn w:val="1"/>
    <w:next w:val="1"/>
    <w:autoRedefine/>
    <w:qFormat/>
    <w:uiPriority w:val="99"/>
    <w:pPr>
      <w:spacing w:line="360" w:lineRule="auto"/>
      <w:ind w:firstLine="480" w:firstLineChars="200"/>
    </w:pPr>
    <w:rPr>
      <w:rFonts w:cs="Times New Roman"/>
    </w:rPr>
  </w:style>
  <w:style w:type="table" w:customStyle="1" w:styleId="65">
    <w:name w:val="网格型3"/>
    <w:basedOn w:val="25"/>
    <w:autoRedefine/>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6">
    <w:name w:val="环评正文"/>
    <w:basedOn w:val="1"/>
    <w:autoRedefine/>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67">
    <w:name w:val="！正文"/>
    <w:basedOn w:val="1"/>
    <w:autoRedefine/>
    <w:qFormat/>
    <w:uiPriority w:val="0"/>
    <w:pPr>
      <w:spacing w:line="500" w:lineRule="exact"/>
      <w:ind w:firstLine="200" w:firstLineChars="200"/>
    </w:pPr>
    <w:rPr>
      <w:kern w:val="0"/>
    </w:rPr>
  </w:style>
  <w:style w:type="character" w:customStyle="1" w:styleId="68">
    <w:name w:val="批注文字 Char"/>
    <w:basedOn w:val="27"/>
    <w:link w:val="11"/>
    <w:autoRedefine/>
    <w:qFormat/>
    <w:uiPriority w:val="0"/>
    <w:rPr>
      <w:rFonts w:cstheme="minorBidi"/>
      <w:b/>
      <w:kern w:val="2"/>
      <w:sz w:val="24"/>
      <w:szCs w:val="24"/>
    </w:rPr>
  </w:style>
  <w:style w:type="character" w:customStyle="1" w:styleId="69">
    <w:name w:val="批注主题 Char"/>
    <w:basedOn w:val="68"/>
    <w:link w:val="22"/>
    <w:autoRedefine/>
    <w:qFormat/>
    <w:uiPriority w:val="0"/>
    <w:rPr>
      <w:rFonts w:cstheme="minorBidi"/>
      <w:bCs/>
      <w:kern w:val="2"/>
      <w:sz w:val="24"/>
      <w:szCs w:val="24"/>
    </w:rPr>
  </w:style>
  <w:style w:type="character" w:customStyle="1" w:styleId="70">
    <w:name w:val="正文文本 (2)_"/>
    <w:basedOn w:val="27"/>
    <w:link w:val="71"/>
    <w:autoRedefine/>
    <w:qFormat/>
    <w:uiPriority w:val="0"/>
    <w:rPr>
      <w:rFonts w:ascii="仿宋" w:eastAsia="仿宋"/>
      <w:kern w:val="0"/>
      <w:sz w:val="13"/>
      <w:szCs w:val="13"/>
    </w:rPr>
  </w:style>
  <w:style w:type="paragraph" w:customStyle="1" w:styleId="71">
    <w:name w:val="正文文本 (2)1"/>
    <w:basedOn w:val="1"/>
    <w:link w:val="70"/>
    <w:autoRedefine/>
    <w:qFormat/>
    <w:uiPriority w:val="0"/>
    <w:pPr>
      <w:shd w:val="clear" w:color="auto" w:fill="FFFFFF"/>
      <w:spacing w:line="259" w:lineRule="exact"/>
      <w:ind w:firstLine="300"/>
      <w:jc w:val="distribute"/>
    </w:pPr>
    <w:rPr>
      <w:rFonts w:ascii="仿宋" w:eastAsia="仿宋"/>
      <w:kern w:val="0"/>
      <w:sz w:val="13"/>
      <w:szCs w:val="13"/>
    </w:rPr>
  </w:style>
  <w:style w:type="character" w:customStyle="1" w:styleId="72">
    <w:name w:val="表格内容 Char"/>
    <w:link w:val="35"/>
    <w:autoRedefine/>
    <w:qFormat/>
    <w:uiPriority w:val="0"/>
    <w:rPr>
      <w:rFonts w:ascii="Times New Roman" w:hAnsi="Times New Roman" w:eastAsia="宋体" w:cs="Times New Roman"/>
      <w:kern w:val="2"/>
      <w:sz w:val="21"/>
      <w:szCs w:val="24"/>
      <w:lang w:val="zh-TW" w:eastAsia="zh-TW" w:bidi="ar-SA"/>
    </w:rPr>
  </w:style>
  <w:style w:type="character" w:customStyle="1" w:styleId="73">
    <w:name w:val="页眉 Char"/>
    <w:link w:val="18"/>
    <w:autoRedefine/>
    <w:qFormat/>
    <w:uiPriority w:val="0"/>
    <w:rPr>
      <w:sz w:val="18"/>
    </w:rPr>
  </w:style>
  <w:style w:type="character" w:customStyle="1" w:styleId="74">
    <w:name w:val="正文文本 2 Char1"/>
    <w:link w:val="3"/>
    <w:autoRedefine/>
    <w:qFormat/>
    <w:uiPriority w:val="99"/>
    <w:rPr>
      <w:rFonts w:ascii="Times New Roman" w:hAnsi="Times New Roman" w:eastAsia="宋体"/>
      <w:sz w:val="24"/>
    </w:rPr>
  </w:style>
  <w:style w:type="character" w:customStyle="1" w:styleId="75">
    <w:name w:val="textbig1"/>
    <w:basedOn w:val="27"/>
    <w:autoRedefine/>
    <w:qFormat/>
    <w:uiPriority w:val="0"/>
    <w:rPr>
      <w:sz w:val="18"/>
      <w:szCs w:val="18"/>
    </w:rPr>
  </w:style>
  <w:style w:type="paragraph" w:customStyle="1" w:styleId="76">
    <w:name w:val="正文样式1"/>
    <w:basedOn w:val="1"/>
    <w:autoRedefine/>
    <w:qFormat/>
    <w:uiPriority w:val="0"/>
    <w:pPr>
      <w:adjustRightInd w:val="0"/>
      <w:spacing w:line="480" w:lineRule="atLeast"/>
      <w:ind w:firstLine="567"/>
      <w:jc w:val="left"/>
      <w:textAlignment w:val="baseline"/>
    </w:pPr>
    <w:rPr>
      <w:kern w:val="0"/>
      <w:sz w:val="28"/>
      <w:szCs w:val="20"/>
    </w:rPr>
  </w:style>
  <w:style w:type="paragraph" w:customStyle="1" w:styleId="77">
    <w:name w:val="正文新"/>
    <w:basedOn w:val="1"/>
    <w:autoRedefine/>
    <w:qFormat/>
    <w:uiPriority w:val="0"/>
    <w:pPr>
      <w:spacing w:line="460" w:lineRule="exact"/>
      <w:ind w:firstLine="480" w:firstLineChars="200"/>
    </w:pPr>
    <w:rPr>
      <w:sz w:val="24"/>
    </w:rPr>
  </w:style>
  <w:style w:type="paragraph" w:customStyle="1" w:styleId="78">
    <w:name w:val="表格内"/>
    <w:basedOn w:val="1"/>
    <w:autoRedefine/>
    <w:qFormat/>
    <w:uiPriority w:val="0"/>
    <w:pPr>
      <w:adjustRightInd w:val="0"/>
      <w:snapToGrid w:val="0"/>
      <w:spacing w:line="360" w:lineRule="exact"/>
      <w:jc w:val="center"/>
    </w:pPr>
    <w:rPr>
      <w:rFonts w:ascii="Times New Roman" w:hAnsi="Times New Roman" w:cs="Times New Roman"/>
      <w:snapToGrid w:val="0"/>
      <w:kern w:val="0"/>
      <w:szCs w:val="21"/>
    </w:rPr>
  </w:style>
  <w:style w:type="paragraph" w:customStyle="1" w:styleId="79">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80">
    <w:name w:val="报告1"/>
    <w:basedOn w:val="1"/>
    <w:autoRedefine/>
    <w:qFormat/>
    <w:uiPriority w:val="0"/>
    <w:pPr>
      <w:adjustRightInd w:val="0"/>
      <w:spacing w:line="360" w:lineRule="auto"/>
      <w:ind w:firstLine="505"/>
      <w:jc w:val="left"/>
      <w:textAlignment w:val="baseline"/>
    </w:pPr>
    <w:rPr>
      <w:kern w:val="0"/>
      <w:sz w:val="24"/>
    </w:rPr>
  </w:style>
  <w:style w:type="paragraph" w:customStyle="1" w:styleId="81">
    <w:name w:val="@正文缩进"/>
    <w:basedOn w:val="1"/>
    <w:autoRedefine/>
    <w:qFormat/>
    <w:uiPriority w:val="0"/>
    <w:pPr>
      <w:pBdr>
        <w:top w:val="none" w:color="auto" w:sz="0" w:space="3"/>
        <w:left w:val="none" w:color="auto" w:sz="0" w:space="4"/>
        <w:bottom w:val="none" w:color="auto" w:sz="0" w:space="1"/>
        <w:right w:val="none" w:color="auto" w:sz="0" w:space="4"/>
      </w:pBdr>
      <w:spacing w:line="360" w:lineRule="auto"/>
      <w:ind w:firstLine="420" w:firstLineChars="200"/>
      <w:textAlignment w:val="baseline"/>
    </w:pPr>
    <w:rPr>
      <w:sz w:val="24"/>
    </w:rPr>
  </w:style>
  <w:style w:type="paragraph" w:customStyle="1" w:styleId="82">
    <w:name w:val="3博创正文"/>
    <w:basedOn w:val="1"/>
    <w:autoRedefine/>
    <w:unhideWhenUsed/>
    <w:qFormat/>
    <w:uiPriority w:val="0"/>
  </w:style>
  <w:style w:type="paragraph" w:customStyle="1" w:styleId="83">
    <w:name w:val="Table Text"/>
    <w:basedOn w:val="1"/>
    <w:semiHidden/>
    <w:qFormat/>
    <w:uiPriority w:val="0"/>
    <w:rPr>
      <w:rFonts w:ascii="宋体" w:hAnsi="宋体" w:eastAsia="宋体" w:cs="宋体"/>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 w:type="paragraph" w:customStyle="1" w:styleId="85">
    <w:name w:val="正文11"/>
    <w:basedOn w:val="1"/>
    <w:qFormat/>
    <w:uiPriority w:val="0"/>
    <w:pPr>
      <w:spacing w:line="480" w:lineRule="exact"/>
      <w:ind w:firstLine="200" w:firstLineChars="200"/>
    </w:pPr>
    <w:rPr>
      <w:rFonts w:ascii="宋体" w:hAnsi="宋体"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71</Words>
  <Characters>71</Characters>
  <Lines>216</Lines>
  <Paragraphs>60</Paragraphs>
  <TotalTime>23</TotalTime>
  <ScaleCrop>false</ScaleCrop>
  <LinksUpToDate>false</LinksUpToDate>
  <CharactersWithSpaces>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2020-11-16T09:40:00Z</dcterms:created>
  <dc:creator>Administrator</dc:creator>
  <cp:lastModifiedBy>是谁的心啊</cp:lastModifiedBy>
  <cp:lastPrinted>2025-11-11T03:49:00Z</cp:lastPrinted>
  <dcterms:modified xsi:type="dcterms:W3CDTF">2026-02-09T03:03:34Z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26E83B9103A54688B55C6A7004FDED12_13</vt:lpwstr>
  </property>
  <property fmtid="{D5CDD505-2E9C-101B-9397-08002B2CF9AE}" pid="4" name="commondata">
    <vt:lpwstr>eyJoZGlkIjoiZjlmYzk2NWJkMWQ3ZjY5YzdlMjIzMzcyOTVmYTVjNGQifQ==</vt:lpwstr>
  </property>
  <property fmtid="{D5CDD505-2E9C-101B-9397-08002B2CF9AE}" pid="5" name="KSOTemplateDocerSaveRecord">
    <vt:lpwstr>eyJoZGlkIjoiMWQ0ZmZjNzhjODllZGQxMGFlMzU4YWVmYzM4MTE3ZGEiLCJ1c2VySWQiOiI3MzgwMDM2NzgifQ==</vt:lpwstr>
  </property>
</Properties>
</file>